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Normal"/>
        <w:bidiVisual w:val="0"/>
        <w:tblW w:w="0" w:type="auto"/>
        <w:tblLook w:val="06A0" w:firstRow="1" w:lastRow="0" w:firstColumn="1" w:lastColumn="0" w:noHBand="1" w:noVBand="1"/>
      </w:tblPr>
      <w:tblGrid>
        <w:gridCol w:w="4303"/>
        <w:gridCol w:w="4303"/>
      </w:tblGrid>
      <w:tr w:rsidR="105C4FC2" w:rsidTr="105C4FC2" w14:paraId="12266E63">
        <w:trPr>
          <w:trHeight w:val="300"/>
        </w:trPr>
        <w:tc>
          <w:tcPr>
            <w:tcW w:w="43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05C4FC2" w:rsidP="105C4FC2" w:rsidRDefault="105C4FC2" w14:paraId="0AD044E5" w14:textId="0011A6E5">
            <w:pPr>
              <w:spacing w:before="0" w:beforeAutospacing="off" w:after="0" w:afterAutospacing="off"/>
            </w:pPr>
            <w:r w:rsidRPr="105C4FC2" w:rsidR="105C4FC2">
              <w:rPr>
                <w:rFonts w:ascii="Arial" w:hAnsi="Arial" w:eastAsia="Arial" w:cs="Arial"/>
                <w:b w:val="1"/>
                <w:bCs w:val="1"/>
                <w:i w:val="0"/>
                <w:iCs w:val="0"/>
                <w:strike w:val="0"/>
                <w:dstrike w:val="0"/>
                <w:color w:val="000000" w:themeColor="text1" w:themeTint="FF" w:themeShade="FF"/>
                <w:sz w:val="22"/>
                <w:szCs w:val="22"/>
                <w:u w:val="none"/>
              </w:rPr>
              <w:t>NAME</w:t>
            </w:r>
          </w:p>
        </w:tc>
        <w:tc>
          <w:tcPr>
            <w:tcW w:w="43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05C4FC2" w:rsidP="105C4FC2" w:rsidRDefault="105C4FC2" w14:paraId="456D0E5C" w14:textId="1827B2B9">
            <w:pPr>
              <w:spacing w:before="0" w:beforeAutospacing="off" w:after="0" w:afterAutospacing="off"/>
            </w:pPr>
            <w:r w:rsidRPr="105C4FC2" w:rsidR="105C4FC2">
              <w:rPr>
                <w:rFonts w:ascii="Arial" w:hAnsi="Arial" w:eastAsia="Arial" w:cs="Arial"/>
                <w:b w:val="1"/>
                <w:bCs w:val="1"/>
                <w:i w:val="0"/>
                <w:iCs w:val="0"/>
                <w:strike w:val="0"/>
                <w:dstrike w:val="0"/>
                <w:color w:val="000000" w:themeColor="text1" w:themeTint="FF" w:themeShade="FF"/>
                <w:sz w:val="22"/>
                <w:szCs w:val="22"/>
                <w:u w:val="none"/>
              </w:rPr>
              <w:t>UZMA MEHTAB (2330366)</w:t>
            </w:r>
          </w:p>
        </w:tc>
      </w:tr>
      <w:tr w:rsidR="105C4FC2" w:rsidTr="105C4FC2" w14:paraId="1422D32B">
        <w:trPr>
          <w:trHeight w:val="300"/>
        </w:trPr>
        <w:tc>
          <w:tcPr>
            <w:tcW w:w="43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05C4FC2" w:rsidP="105C4FC2" w:rsidRDefault="105C4FC2" w14:paraId="764433A1" w14:textId="156531B6">
            <w:pPr>
              <w:spacing w:before="0" w:beforeAutospacing="off" w:after="0" w:afterAutospacing="off"/>
            </w:pPr>
            <w:r w:rsidRPr="105C4FC2" w:rsidR="105C4FC2">
              <w:rPr>
                <w:rFonts w:ascii="Arial" w:hAnsi="Arial" w:eastAsia="Arial" w:cs="Arial"/>
                <w:b w:val="1"/>
                <w:bCs w:val="1"/>
                <w:i w:val="0"/>
                <w:iCs w:val="0"/>
                <w:strike w:val="0"/>
                <w:dstrike w:val="0"/>
                <w:color w:val="000000" w:themeColor="text1" w:themeTint="FF" w:themeShade="FF"/>
                <w:sz w:val="22"/>
                <w:szCs w:val="22"/>
                <w:u w:val="none"/>
              </w:rPr>
              <w:t>MODULE</w:t>
            </w:r>
          </w:p>
        </w:tc>
        <w:tc>
          <w:tcPr>
            <w:tcW w:w="43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05C4FC2" w:rsidP="105C4FC2" w:rsidRDefault="105C4FC2" w14:paraId="7871C62F" w14:textId="0D6FE311">
            <w:pPr>
              <w:spacing w:before="0" w:beforeAutospacing="off" w:after="0" w:afterAutospacing="off"/>
            </w:pPr>
            <w:r w:rsidRPr="105C4FC2" w:rsidR="105C4FC2">
              <w:rPr>
                <w:rFonts w:ascii="Arial" w:hAnsi="Arial" w:eastAsia="Arial" w:cs="Arial"/>
                <w:b w:val="1"/>
                <w:bCs w:val="1"/>
                <w:i w:val="0"/>
                <w:iCs w:val="0"/>
                <w:strike w:val="0"/>
                <w:dstrike w:val="0"/>
                <w:color w:val="000000" w:themeColor="text1" w:themeTint="FF" w:themeShade="FF"/>
                <w:sz w:val="22"/>
                <w:szCs w:val="22"/>
                <w:u w:val="none"/>
              </w:rPr>
              <w:t>PROTECTING AND SUPPORTING FAMILIES IN HEALTH &amp; CARE</w:t>
            </w:r>
          </w:p>
        </w:tc>
      </w:tr>
      <w:tr w:rsidR="105C4FC2" w:rsidTr="105C4FC2" w14:paraId="3A224A78">
        <w:trPr>
          <w:trHeight w:val="300"/>
        </w:trPr>
        <w:tc>
          <w:tcPr>
            <w:tcW w:w="43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05C4FC2" w:rsidP="105C4FC2" w:rsidRDefault="105C4FC2" w14:paraId="7E2178EA" w14:textId="5EC8E890">
            <w:pPr>
              <w:spacing w:before="0" w:beforeAutospacing="off" w:after="0" w:afterAutospacing="off"/>
            </w:pPr>
            <w:r w:rsidRPr="105C4FC2" w:rsidR="105C4FC2">
              <w:rPr>
                <w:rFonts w:ascii="Arial" w:hAnsi="Arial" w:eastAsia="Arial" w:cs="Arial"/>
                <w:b w:val="1"/>
                <w:bCs w:val="1"/>
                <w:i w:val="0"/>
                <w:iCs w:val="0"/>
                <w:strike w:val="0"/>
                <w:dstrike w:val="0"/>
                <w:color w:val="000000" w:themeColor="text1" w:themeTint="FF" w:themeShade="FF"/>
                <w:sz w:val="22"/>
                <w:szCs w:val="22"/>
                <w:u w:val="none"/>
              </w:rPr>
              <w:t>MODULE CODE</w:t>
            </w:r>
          </w:p>
        </w:tc>
        <w:tc>
          <w:tcPr>
            <w:tcW w:w="43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05C4FC2" w:rsidP="105C4FC2" w:rsidRDefault="105C4FC2" w14:paraId="11769EB2" w14:textId="68B17EAA">
            <w:pPr>
              <w:spacing w:before="0" w:beforeAutospacing="off" w:after="0" w:afterAutospacing="off"/>
            </w:pPr>
            <w:r w:rsidRPr="105C4FC2" w:rsidR="105C4FC2">
              <w:rPr>
                <w:rFonts w:ascii="Arial" w:hAnsi="Arial" w:eastAsia="Arial" w:cs="Arial"/>
                <w:b w:val="1"/>
                <w:bCs w:val="1"/>
                <w:i w:val="0"/>
                <w:iCs w:val="0"/>
                <w:strike w:val="0"/>
                <w:dstrike w:val="0"/>
                <w:color w:val="000000" w:themeColor="text1" w:themeTint="FF" w:themeShade="FF"/>
                <w:sz w:val="22"/>
                <w:szCs w:val="22"/>
                <w:u w:val="none"/>
              </w:rPr>
              <w:t>BMHP5021</w:t>
            </w:r>
          </w:p>
        </w:tc>
      </w:tr>
      <w:tr w:rsidR="105C4FC2" w:rsidTr="105C4FC2" w14:paraId="6FE7A183">
        <w:trPr>
          <w:trHeight w:val="300"/>
        </w:trPr>
        <w:tc>
          <w:tcPr>
            <w:tcW w:w="43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05C4FC2" w:rsidP="105C4FC2" w:rsidRDefault="105C4FC2" w14:paraId="454993D4" w14:textId="4D0E7E27">
            <w:pPr>
              <w:spacing w:before="0" w:beforeAutospacing="off" w:after="0" w:afterAutospacing="off"/>
            </w:pPr>
            <w:r w:rsidRPr="105C4FC2" w:rsidR="105C4FC2">
              <w:rPr>
                <w:rFonts w:ascii="Arial" w:hAnsi="Arial" w:eastAsia="Arial" w:cs="Arial"/>
                <w:b w:val="1"/>
                <w:bCs w:val="1"/>
                <w:i w:val="0"/>
                <w:iCs w:val="0"/>
                <w:strike w:val="0"/>
                <w:dstrike w:val="0"/>
                <w:color w:val="000000" w:themeColor="text1" w:themeTint="FF" w:themeShade="FF"/>
                <w:sz w:val="22"/>
                <w:szCs w:val="22"/>
                <w:u w:val="none"/>
              </w:rPr>
              <w:t>ASSIGNMENT TITLE</w:t>
            </w:r>
          </w:p>
        </w:tc>
        <w:tc>
          <w:tcPr>
            <w:tcW w:w="43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05C4FC2" w:rsidP="105C4FC2" w:rsidRDefault="105C4FC2" w14:paraId="37C97FF9" w14:textId="5E659DC9">
            <w:pPr>
              <w:spacing w:before="0" w:beforeAutospacing="off" w:after="0" w:afterAutospacing="off"/>
            </w:pPr>
            <w:r w:rsidRPr="105C4FC2" w:rsidR="105C4FC2">
              <w:rPr>
                <w:rFonts w:ascii="Arial" w:hAnsi="Arial" w:eastAsia="Arial" w:cs="Arial"/>
                <w:b w:val="1"/>
                <w:bCs w:val="1"/>
                <w:i w:val="0"/>
                <w:iCs w:val="0"/>
                <w:strike w:val="0"/>
                <w:dstrike w:val="0"/>
                <w:color w:val="000000" w:themeColor="text1" w:themeTint="FF" w:themeShade="FF"/>
                <w:sz w:val="22"/>
                <w:szCs w:val="22"/>
                <w:u w:val="none"/>
              </w:rPr>
              <w:t>COMPONENT 2: WRITTEN REPORT</w:t>
            </w:r>
          </w:p>
        </w:tc>
      </w:tr>
      <w:tr w:rsidR="105C4FC2" w:rsidTr="105C4FC2" w14:paraId="6B456E7D">
        <w:trPr>
          <w:trHeight w:val="300"/>
        </w:trPr>
        <w:tc>
          <w:tcPr>
            <w:tcW w:w="43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05C4FC2" w:rsidP="105C4FC2" w:rsidRDefault="105C4FC2" w14:paraId="19259AB9" w14:textId="3114D1AC">
            <w:pPr>
              <w:spacing w:before="0" w:beforeAutospacing="off" w:after="0" w:afterAutospacing="off"/>
            </w:pPr>
            <w:r w:rsidRPr="105C4FC2" w:rsidR="105C4FC2">
              <w:rPr>
                <w:rFonts w:ascii="Arial" w:hAnsi="Arial" w:eastAsia="Arial" w:cs="Arial"/>
                <w:b w:val="1"/>
                <w:bCs w:val="1"/>
                <w:i w:val="0"/>
                <w:iCs w:val="0"/>
                <w:strike w:val="0"/>
                <w:dstrike w:val="0"/>
                <w:color w:val="000000" w:themeColor="text1" w:themeTint="FF" w:themeShade="FF"/>
                <w:sz w:val="22"/>
                <w:szCs w:val="22"/>
                <w:u w:val="none"/>
              </w:rPr>
              <w:t>LECTURER</w:t>
            </w:r>
          </w:p>
        </w:tc>
        <w:tc>
          <w:tcPr>
            <w:tcW w:w="430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05C4FC2" w:rsidP="105C4FC2" w:rsidRDefault="105C4FC2" w14:paraId="3A4F18FF" w14:textId="41E7F63E">
            <w:pPr>
              <w:spacing w:before="0" w:beforeAutospacing="off" w:after="0" w:afterAutospacing="off"/>
            </w:pPr>
            <w:r w:rsidRPr="105C4FC2" w:rsidR="105C4FC2">
              <w:rPr>
                <w:rFonts w:ascii="Arial" w:hAnsi="Arial" w:eastAsia="Arial" w:cs="Arial"/>
                <w:b w:val="1"/>
                <w:bCs w:val="1"/>
                <w:i w:val="0"/>
                <w:iCs w:val="0"/>
                <w:strike w:val="0"/>
                <w:dstrike w:val="0"/>
                <w:color w:val="000000" w:themeColor="text1" w:themeTint="FF" w:themeShade="FF"/>
                <w:sz w:val="22"/>
                <w:szCs w:val="22"/>
                <w:u w:val="none"/>
              </w:rPr>
              <w:t>Gillian Weaver</w:t>
            </w:r>
          </w:p>
        </w:tc>
      </w:tr>
    </w:tbl>
    <w:p xmlns:wp14="http://schemas.microsoft.com/office/word/2010/wordml" wp14:paraId="735D5959" wp14:textId="7FDC8D9A"/>
    <w:p xmlns:wp14="http://schemas.microsoft.com/office/word/2010/wordml" wp14:paraId="22B7F809" wp14:textId="4B25C861"/>
    <w:p xmlns:wp14="http://schemas.microsoft.com/office/word/2010/wordml" w:rsidP="105C4FC2" wp14:paraId="12712E01" wp14:textId="65C764F9">
      <w:pPr>
        <w:bidi w:val="0"/>
        <w:spacing w:before="0" w:beforeAutospacing="off" w:after="0" w:afterAutospacing="off"/>
      </w:pPr>
      <w:r w:rsidRPr="105C4FC2" w:rsidR="219FD793">
        <w:rPr>
          <w:rFonts w:ascii="Arial" w:hAnsi="Arial" w:eastAsia="Arial" w:cs="Arial"/>
          <w:b w:val="1"/>
          <w:bCs w:val="1"/>
          <w:i w:val="0"/>
          <w:iCs w:val="0"/>
          <w:strike w:val="0"/>
          <w:dstrike w:val="0"/>
          <w:noProof w:val="0"/>
          <w:color w:val="000000" w:themeColor="text1" w:themeTint="FF" w:themeShade="FF"/>
          <w:sz w:val="22"/>
          <w:szCs w:val="22"/>
          <w:u w:val="none"/>
          <w:lang w:val="en-GB"/>
        </w:rPr>
        <w:t>INTRODUCTION</w:t>
      </w:r>
    </w:p>
    <w:p xmlns:wp14="http://schemas.microsoft.com/office/word/2010/wordml" wp14:paraId="1A5B9A57" wp14:textId="3B116E89"/>
    <w:p xmlns:wp14="http://schemas.microsoft.com/office/word/2010/wordml" w:rsidP="105C4FC2" wp14:paraId="4BAA93CE" wp14:textId="1C5A42FB">
      <w:pPr>
        <w:bidi w:val="0"/>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Early Help is becoming a </w:t>
      </w:r>
      <w:r w:rsidRPr="105C4FC2" w:rsidR="052C57ED">
        <w:rPr>
          <w:rFonts w:ascii="Arial" w:hAnsi="Arial" w:eastAsia="Arial" w:cs="Arial"/>
          <w:b w:val="0"/>
          <w:bCs w:val="0"/>
          <w:i w:val="0"/>
          <w:iCs w:val="0"/>
          <w:strike w:val="0"/>
          <w:dstrike w:val="0"/>
          <w:noProof w:val="0"/>
          <w:color w:val="000000" w:themeColor="text1" w:themeTint="FF" w:themeShade="FF"/>
          <w:sz w:val="22"/>
          <w:szCs w:val="22"/>
          <w:u w:val="none"/>
          <w:lang w:val="en-GB"/>
        </w:rPr>
        <w:t>more</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important part of keeping children safe in the UK</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goal of this effort is to find issues that are hurting kids, teens, and families before they get worse or need help from the government (Department of Education, 2021).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More and more</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local government websites should have clear and easy-to-find information about Early Help. </w:t>
      </w:r>
      <w:r w:rsidRPr="105C4FC2" w:rsidR="114744A1">
        <w:rPr>
          <w:rFonts w:ascii="Arial" w:hAnsi="Arial" w:eastAsia="Arial" w:cs="Arial"/>
          <w:b w:val="0"/>
          <w:bCs w:val="0"/>
          <w:i w:val="0"/>
          <w:iCs w:val="0"/>
          <w:strike w:val="0"/>
          <w:dstrike w:val="0"/>
          <w:noProof w:val="0"/>
          <w:color w:val="000000" w:themeColor="text1" w:themeTint="FF" w:themeShade="FF"/>
          <w:sz w:val="22"/>
          <w:szCs w:val="22"/>
          <w:u w:val="none"/>
          <w:lang w:val="en-GB"/>
        </w:rPr>
        <w:t>More</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families are using digital information as their first point of contact. The UK government published Working Together to Safeguard Children in 2023. The book focuses on taking quick action. Early intervention must be quick, clear, and easy for families to understand, no matter what their needs are. An investigation of the ways in which Southwark Council, Nottinghamshire County Council, and Leeds City Council make use of their respective websites to engage the </w:t>
      </w:r>
      <w:r w:rsidRPr="105C4FC2" w:rsidR="235271E5">
        <w:rPr>
          <w:rFonts w:ascii="Arial" w:hAnsi="Arial" w:eastAsia="Arial" w:cs="Arial"/>
          <w:b w:val="0"/>
          <w:bCs w:val="0"/>
          <w:i w:val="0"/>
          <w:iCs w:val="0"/>
          <w:strike w:val="0"/>
          <w:dstrike w:val="0"/>
          <w:noProof w:val="0"/>
          <w:color w:val="000000" w:themeColor="text1" w:themeTint="FF" w:themeShade="FF"/>
          <w:sz w:val="22"/>
          <w:szCs w:val="22"/>
          <w:u w:val="none"/>
          <w:lang w:val="en-GB"/>
        </w:rPr>
        <w:t>public</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promote Early Help programs is the subject of this research. Every authority gives the data in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a different way</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based on its goals, design choices, and level of knowledge of national law. This research examines the accessibility, usability, and comprehensibility of Early Help definitions. We also talk about how businesses talk to each other on websites and how to find referral pathways. The goal of this study is to look at the pros and cons of each of the three websites that were looked at. It also wants to know which local government follows the rules and is the most helpful to families who are moving. At the end of the paper, there are suggestions for how all three councils could make internet communication better, more consistent, and easier to use.</w:t>
      </w:r>
    </w:p>
    <w:p xmlns:wp14="http://schemas.microsoft.com/office/word/2010/wordml" wp14:paraId="61FDBA37" wp14:textId="224AEB19"/>
    <w:p xmlns:wp14="http://schemas.microsoft.com/office/word/2010/wordml" w:rsidP="105C4FC2" wp14:paraId="41F2E227" wp14:textId="5C3D134E">
      <w:pPr>
        <w:bidi w:val="0"/>
        <w:spacing w:before="0" w:beforeAutospacing="off" w:after="0" w:afterAutospacing="off"/>
      </w:pPr>
      <w:r w:rsidRPr="105C4FC2" w:rsidR="219FD79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EXPLANATION OF THE EARLY HEALTH SYSTEM </w:t>
      </w:r>
    </w:p>
    <w:p xmlns:wp14="http://schemas.microsoft.com/office/word/2010/wordml" w:rsidP="105C4FC2" wp14:paraId="78073178" wp14:textId="344A778C">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Early Help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benefits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all ages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immediately</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government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won't</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have to do much and things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won't</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worsen. The 2021 Department for Education Early Help System Guide.  It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states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Early Help helps families with money and mental health concerns come together and sends kids to school</w:t>
      </w:r>
      <w:r w:rsidRPr="105C4FC2" w:rsidR="77A4672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Adults may learn from it. The major aims are to strengthen families, promote kids' health, and reduce long-term harm.  HM Government (2023) states that child protectors must provide Early Help for their charges. Youth, schools, police, and health workers must collaborate to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identify</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new needs. No matter how busy, anxious, or tech-savvy, a family should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identify</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comprehend</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Early Help services. The Early Help technique (Davies &amp; Ward, 2012) recommends preventing issues rather than fixing them. Instead of changing the family, the strengths-based approach (Featherstone, White, &amp; Morris, 2014) focusses on their strengths. The abilities, relationships, and environment of parents are considered while providing this care (Barnes, 2022). EI Foundation (2021) argues Early Help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shouldn't</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 difficult for non-tech-savvy families. She thinks people plan, listen, and decide when they work together. These sites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frequently</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provide family and individual assistance.</w:t>
      </w:r>
      <w:r w:rsidRPr="105C4FC2" w:rsidR="69EA497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makes them vital. A family may not seek support if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it's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unclear or hard to discover.           Government aid is increasingly more expensive and dangerous. When web sites are simple to read and set up, people collaborate, solve issues fast, and are intrigued.</w:t>
      </w:r>
    </w:p>
    <w:p xmlns:wp14="http://schemas.microsoft.com/office/word/2010/wordml" wp14:paraId="3CB09E58" wp14:textId="7046C30A"/>
    <w:p xmlns:wp14="http://schemas.microsoft.com/office/word/2010/wordml" w:rsidP="105C4FC2" wp14:paraId="2E71E7D1" wp14:textId="77E64DB7">
      <w:pPr>
        <w:bidi w:val="0"/>
        <w:spacing w:before="0" w:beforeAutospacing="off" w:after="0" w:afterAutospacing="off"/>
      </w:pPr>
      <w:r w:rsidRPr="105C4FC2" w:rsidR="219FD793">
        <w:rPr>
          <w:rFonts w:ascii="Arial" w:hAnsi="Arial" w:eastAsia="Arial" w:cs="Arial"/>
          <w:b w:val="1"/>
          <w:bCs w:val="1"/>
          <w:i w:val="0"/>
          <w:iCs w:val="0"/>
          <w:strike w:val="0"/>
          <w:dstrike w:val="0"/>
          <w:noProof w:val="0"/>
          <w:color w:val="000000" w:themeColor="text1" w:themeTint="FF" w:themeShade="FF"/>
          <w:sz w:val="22"/>
          <w:szCs w:val="22"/>
          <w:u w:val="none"/>
          <w:lang w:val="en-GB"/>
        </w:rPr>
        <w:t>Explanation of Multi-Agency Working</w:t>
      </w:r>
    </w:p>
    <w:p xmlns:wp14="http://schemas.microsoft.com/office/word/2010/wordml" w:rsidP="105C4FC2" wp14:paraId="2235D83F" wp14:textId="347D5884">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Working together between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different groups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is important for Early Help to work well</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Organisational help means that a lot of people, like teachers, health workers, police, youth workers, social workers, and community groups, work together (Frost &amp; Parton, 2009)</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Working Together to Safeguard Children (HM Government, 2023) says that people who work to protect children must share knowledge, find out what children need, and move quickly</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398331DC">
        <w:rPr>
          <w:rFonts w:ascii="Arial" w:hAnsi="Arial" w:eastAsia="Arial" w:cs="Arial"/>
          <w:b w:val="0"/>
          <w:bCs w:val="0"/>
          <w:i w:val="0"/>
          <w:iCs w:val="0"/>
          <w:strike w:val="0"/>
          <w:dstrike w:val="0"/>
          <w:noProof w:val="0"/>
          <w:color w:val="000000" w:themeColor="text1" w:themeTint="FF" w:themeShade="FF"/>
          <w:sz w:val="22"/>
          <w:szCs w:val="22"/>
          <w:u w:val="none"/>
          <w:lang w:val="en-GB"/>
        </w:rPr>
        <w:t>Both parents and working in partnership</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bookmarkStart w:name="_Int_Yl9N2kwI" w:id="2064654354"/>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are in charge of</w:t>
      </w:r>
      <w:bookmarkEnd w:id="2064654354"/>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same things. There are many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perks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working together with other groups. For starters, it saves money because families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don't</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have to tell more than one agency about their experience (Webber, 2017). It also brings together information that helps us fully understand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what's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going on with the child. Third, it keeps care constant because companies work together to set goals and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are in charge of</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seeing them through.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It's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not easy, though. Reference lines that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aren't</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consistent, limits that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aren't</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clear, and poor contact between agencies can all slow things down (Brandon et al.  To get around these issues, there needs to be a lot of digital communication. Websites need to make it clear how partnerships work, how agencies talk to each other, and how families can get joint help. This study looks at the websites of each local authority to see if they meet multi-agency guidelines for Early Help. The goal is to find out if the websites show that Early Help is a professional and helpful service.</w:t>
      </w:r>
    </w:p>
    <w:p xmlns:wp14="http://schemas.microsoft.com/office/word/2010/wordml" wp14:paraId="70D89647" wp14:textId="5C90E26E"/>
    <w:p xmlns:wp14="http://schemas.microsoft.com/office/word/2010/wordml" w:rsidP="105C4FC2" wp14:paraId="05B1DE49" wp14:textId="2BCDE297">
      <w:pPr>
        <w:bidi w:val="0"/>
        <w:spacing w:before="0" w:beforeAutospacing="off" w:after="0" w:afterAutospacing="off"/>
      </w:pPr>
      <w:r w:rsidRPr="105C4FC2" w:rsidR="219FD793">
        <w:rPr>
          <w:rFonts w:ascii="Arial" w:hAnsi="Arial" w:eastAsia="Arial" w:cs="Arial"/>
          <w:b w:val="1"/>
          <w:bCs w:val="1"/>
          <w:i w:val="0"/>
          <w:iCs w:val="0"/>
          <w:strike w:val="0"/>
          <w:dstrike w:val="0"/>
          <w:noProof w:val="0"/>
          <w:color w:val="000000" w:themeColor="text1" w:themeTint="FF" w:themeShade="FF"/>
          <w:sz w:val="22"/>
          <w:szCs w:val="22"/>
          <w:u w:val="none"/>
          <w:lang w:val="en-GB"/>
        </w:rPr>
        <w:t>Evaluation of Local Authority Websites</w:t>
      </w:r>
    </w:p>
    <w:p xmlns:wp14="http://schemas.microsoft.com/office/word/2010/wordml" w:rsidP="105C4FC2" wp14:paraId="015E5C1C" wp14:textId="26803AD0">
      <w:pPr>
        <w:bidi w:val="0"/>
        <w:spacing w:before="0" w:beforeAutospacing="off" w:after="0" w:afterAutospacing="off"/>
      </w:pPr>
      <w:r w:rsidRPr="105C4FC2" w:rsidR="219FD793">
        <w:rPr>
          <w:rFonts w:ascii="Arial" w:hAnsi="Arial" w:eastAsia="Arial" w:cs="Arial"/>
          <w:b w:val="1"/>
          <w:bCs w:val="1"/>
          <w:i w:val="0"/>
          <w:iCs w:val="0"/>
          <w:strike w:val="0"/>
          <w:dstrike w:val="0"/>
          <w:noProof w:val="0"/>
          <w:color w:val="000000" w:themeColor="text1" w:themeTint="FF" w:themeShade="FF"/>
          <w:sz w:val="22"/>
          <w:szCs w:val="22"/>
          <w:u w:val="none"/>
          <w:lang w:val="en-GB"/>
        </w:rPr>
        <w:t>4.1 Southwark Council</w:t>
      </w:r>
    </w:p>
    <w:p xmlns:wp14="http://schemas.microsoft.com/office/word/2010/wordml" wp14:paraId="333206EC" wp14:textId="233FC76D"/>
    <w:p xmlns:wp14="http://schemas.microsoft.com/office/word/2010/wordml" w:rsidP="105C4FC2" wp14:paraId="63145ABE" wp14:textId="0C6586D7">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The Southwark Council has a comprehensive Early Help agreement.  This demonstrates how well various organisations may collaborate. Its webpages make it simple to understand what Early Help is. They discuss resources that support individuals, such as family support services, school assistance, mental health services, and parenting programs. There is a lot of information on Early Help teams in communities on this website. This demonstrates Southwark's desire to work along with its neighbours. This is a fantastic proposal that aligns with the Early Help System Guide (Department for Education, 2021) about the establishment of local solutions. For Southwark employees, there is a wealth of technical knowledge, including concept forms, methods for communicating with the team, and advice on how to establish limits. Groups create strategies for educators, healthcare professionals, and youth workers. The page makes this extremely evident. Working Together lays forth guidelines for how various government agencies should cooperate. The HM Government thinks that this access makes those regulations better in 2023. The page isn't proper, however. It might be challenging to navigate the Early Help material since it is dispersed over several sites.      Families who are always on the road or who are not computer literate may find it difficult to access certain crucial data since they are saved in PDF format. If they are afraid or don't know the safety procedures, they may not want to attend.  Sometimes the tone is too serious and unsuitable for parents. Even though it contains a lot of helpful information, those who need basic assistance shouldn't use it. For businesspeople, it's better.</w:t>
      </w:r>
    </w:p>
    <w:p xmlns:wp14="http://schemas.microsoft.com/office/word/2010/wordml" wp14:paraId="33C99C8E" wp14:textId="290CDA2D"/>
    <w:p xmlns:wp14="http://schemas.microsoft.com/office/word/2010/wordml" w:rsidP="105C4FC2" wp14:paraId="424C781C" wp14:textId="07957FDE">
      <w:pPr>
        <w:bidi w:val="0"/>
        <w:spacing w:before="0" w:beforeAutospacing="off" w:after="0" w:afterAutospacing="off"/>
      </w:pPr>
      <w:r w:rsidRPr="105C4FC2" w:rsidR="219FD793">
        <w:rPr>
          <w:rFonts w:ascii="Arial" w:hAnsi="Arial" w:eastAsia="Arial" w:cs="Arial"/>
          <w:b w:val="1"/>
          <w:bCs w:val="1"/>
          <w:i w:val="0"/>
          <w:iCs w:val="0"/>
          <w:strike w:val="0"/>
          <w:dstrike w:val="0"/>
          <w:noProof w:val="0"/>
          <w:color w:val="000000" w:themeColor="text1" w:themeTint="FF" w:themeShade="FF"/>
          <w:sz w:val="22"/>
          <w:szCs w:val="22"/>
          <w:u w:val="none"/>
          <w:lang w:val="en-GB"/>
        </w:rPr>
        <w:t>4.2 Nottinghamshire County Council</w:t>
      </w:r>
    </w:p>
    <w:p xmlns:wp14="http://schemas.microsoft.com/office/word/2010/wordml" wp14:paraId="3DC62FA5" wp14:textId="53CB91D3"/>
    <w:p xmlns:wp14="http://schemas.microsoft.com/office/word/2010/wordml" w:rsidP="105C4FC2" wp14:paraId="2BA41306" wp14:textId="0956185A">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Nottinghamshire's Early Help is clearest in England. "Pathway to Provision" arranges Early Help stages, needs, and referrals. This entertaining, straightforward strategy catches individuals early. It also meets government needs (Munro, 2011). Clear Early Help landing page language helps professionals, parents, and carers. Families can understand safety regulations using simple labelling, visuals, and menus. Nottinghamshire provides parents with substantial Early Help on family, behaviour, and education. The Early Help System Guide emphasises diversity and openness (Department for Education, 2021). Several issues exist. Many page scrolls are needed for large Early Help. Complex material may frustrate families expecting rapid relief. Very few multimedia or video features make it simpler and more current for challenging readers (Smith, 2020). The Nottinghamshire website is well-organised despite its flaws.</w:t>
      </w:r>
    </w:p>
    <w:p xmlns:wp14="http://schemas.microsoft.com/office/word/2010/wordml" wp14:paraId="0B8554CF" wp14:textId="17C7FA2A"/>
    <w:p xmlns:wp14="http://schemas.microsoft.com/office/word/2010/wordml" w:rsidP="105C4FC2" wp14:paraId="27CEC5E2" wp14:textId="7324F7CD">
      <w:pPr>
        <w:bidi w:val="0"/>
        <w:spacing w:before="0" w:beforeAutospacing="off" w:after="0" w:afterAutospacing="off"/>
      </w:pPr>
      <w:r w:rsidRPr="105C4FC2" w:rsidR="219FD793">
        <w:rPr>
          <w:rFonts w:ascii="Arial" w:hAnsi="Arial" w:eastAsia="Arial" w:cs="Arial"/>
          <w:b w:val="1"/>
          <w:bCs w:val="1"/>
          <w:i w:val="0"/>
          <w:iCs w:val="0"/>
          <w:strike w:val="0"/>
          <w:dstrike w:val="0"/>
          <w:noProof w:val="0"/>
          <w:color w:val="000000" w:themeColor="text1" w:themeTint="FF" w:themeShade="FF"/>
          <w:sz w:val="22"/>
          <w:szCs w:val="22"/>
          <w:u w:val="none"/>
          <w:lang w:val="en-GB"/>
        </w:rPr>
        <w:t>4.3 Leeds City Council</w:t>
      </w:r>
    </w:p>
    <w:p xmlns:wp14="http://schemas.microsoft.com/office/word/2010/wordml" wp14:paraId="0BE13CDB" wp14:textId="38D30180"/>
    <w:p xmlns:wp14="http://schemas.microsoft.com/office/word/2010/wordml" w:rsidP="105C4FC2" wp14:paraId="21933703" wp14:textId="058C58FD">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The Early Help pages at LCC show that they help people based on their skills and that family comes first at all times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When people in Leeds talk about Early Help, they do so in simple terms. They thought "support for parents and families" was more important than what other experts said. Featherstone et al. (2014) found that people are more likely to get help right away if they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don't</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feel bad about it. In Leeds, a Family Hub is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a great place</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find out about helpful support groups,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child care</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centres, parenting programs, and community events. The government says this is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a good way</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help Work Together get a family help plan based on where they live.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It's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simple, looks great, and is easy to use.  It works well on phones too. Sites like Family Hubs, Children and Families, Parenting Support, and general aid can help you figure out how to get help early on. Lots of places should have easy-to-find rules or forms for parents. It might not make sense for old PDFs to still show up in search results. Also, they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don't</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have as many skilled workers as Southwark or Nottinghamshire.       People who often go to Leeds can still go there, even though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it's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not going well.</w:t>
      </w:r>
    </w:p>
    <w:p xmlns:wp14="http://schemas.microsoft.com/office/word/2010/wordml" wp14:paraId="2755EA3A" wp14:textId="7609EA2A"/>
    <w:p xmlns:wp14="http://schemas.microsoft.com/office/word/2010/wordml" w:rsidP="105C4FC2" wp14:paraId="0DCE2F4C" wp14:textId="57DABA97">
      <w:pPr>
        <w:bidi w:val="0"/>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105C4FC2" wp14:paraId="165DADDA" wp14:textId="5E8D7C20">
      <w:pPr>
        <w:bidi w:val="0"/>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105C4FC2" wp14:paraId="2BE97E7C" wp14:textId="0F933881">
      <w:pPr>
        <w:bidi w:val="0"/>
        <w:spacing w:before="0" w:beforeAutospacing="off" w:after="0" w:afterAutospacing="off"/>
      </w:pPr>
      <w:r w:rsidRPr="105C4FC2" w:rsidR="219FD793">
        <w:rPr>
          <w:rFonts w:ascii="Arial" w:hAnsi="Arial" w:eastAsia="Arial" w:cs="Arial"/>
          <w:b w:val="1"/>
          <w:bCs w:val="1"/>
          <w:i w:val="0"/>
          <w:iCs w:val="0"/>
          <w:strike w:val="0"/>
          <w:dstrike w:val="0"/>
          <w:noProof w:val="0"/>
          <w:color w:val="000000" w:themeColor="text1" w:themeTint="FF" w:themeShade="FF"/>
          <w:sz w:val="22"/>
          <w:szCs w:val="22"/>
          <w:u w:val="none"/>
          <w:lang w:val="en-GB"/>
        </w:rPr>
        <w:t>Comparative Analysis</w:t>
      </w:r>
    </w:p>
    <w:p xmlns:wp14="http://schemas.microsoft.com/office/word/2010/wordml" wp14:paraId="5868F214" wp14:textId="10F7558E"/>
    <w:p xmlns:wp14="http://schemas.microsoft.com/office/word/2010/wordml" w:rsidP="105C4FC2" wp14:paraId="67BC78FB" wp14:textId="1894DBC4">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People in these three cities should dress, move around, and follow the law in very different ways. Early Help in Nottingham should work. It is simple to read the picture plan and step-by-step instructions. It's a lot like the Early Help System Guide. It can help families and workers know what to do and why, according to a study from the Department for Education in 2021. Kids will have a great time in Leeds. Family Hubs isn't as scary for kids because it's easy to get to and fun for them. Plus, it helps them start right away. Sites today should be easy to use and give everyone a lot of choices. But some groups don't use it as much as they do other sites. Southwark wants people who work for more than one company to be truthful. They say that the Early Help area teams and all the ways they help people show that the government wants the Working Together ideas to work. It might be hard to understand for people who want quick and easy help.</w:t>
      </w:r>
    </w:p>
    <w:p xmlns:wp14="http://schemas.microsoft.com/office/word/2010/wordml" wp14:paraId="0FD66E92" wp14:textId="085A193F"/>
    <w:p xmlns:wp14="http://schemas.microsoft.com/office/word/2010/wordml" w:rsidP="105C4FC2" wp14:paraId="34B085F2" wp14:textId="6BBA09BA">
      <w:pPr>
        <w:pStyle w:val="ListParagraph"/>
        <w:numPr>
          <w:ilvl w:val="0"/>
          <w:numId w:val="1"/>
        </w:numPr>
        <w:bidi w:val="0"/>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Best for clarity Nottinghamshire</w:t>
      </w:r>
    </w:p>
    <w:p xmlns:wp14="http://schemas.microsoft.com/office/word/2010/wordml" w:rsidP="105C4FC2" wp14:paraId="5A5FAE6D" wp14:textId="7243C30D">
      <w:pPr>
        <w:pStyle w:val="ListParagraph"/>
        <w:numPr>
          <w:ilvl w:val="0"/>
          <w:numId w:val="1"/>
        </w:numPr>
        <w:bidi w:val="0"/>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Best for family accessibility Leeds</w:t>
      </w:r>
    </w:p>
    <w:p xmlns:wp14="http://schemas.microsoft.com/office/word/2010/wordml" w:rsidP="105C4FC2" wp14:paraId="2B1AA99B" wp14:textId="254FA4DF">
      <w:pPr>
        <w:pStyle w:val="ListParagraph"/>
        <w:numPr>
          <w:ilvl w:val="0"/>
          <w:numId w:val="1"/>
        </w:numPr>
        <w:bidi w:val="0"/>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Best for </w:t>
      </w:r>
      <w:r w:rsidRPr="105C4FC2" w:rsidR="1BB7B4B0">
        <w:rPr>
          <w:rFonts w:ascii="Arial" w:hAnsi="Arial" w:eastAsia="Arial" w:cs="Arial"/>
          <w:b w:val="0"/>
          <w:bCs w:val="0"/>
          <w:i w:val="0"/>
          <w:iCs w:val="0"/>
          <w:strike w:val="0"/>
          <w:dstrike w:val="0"/>
          <w:noProof w:val="0"/>
          <w:color w:val="000000" w:themeColor="text1" w:themeTint="FF" w:themeShade="FF"/>
          <w:sz w:val="22"/>
          <w:szCs w:val="22"/>
          <w:u w:val="none"/>
          <w:lang w:val="en-GB"/>
        </w:rPr>
        <w:t>multi-agency</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information Southwark</w:t>
      </w:r>
    </w:p>
    <w:p xmlns:wp14="http://schemas.microsoft.com/office/word/2010/wordml" wp14:paraId="0312AC29" wp14:textId="548A9CB3"/>
    <w:p xmlns:wp14="http://schemas.microsoft.com/office/word/2010/wordml" w:rsidP="105C4FC2" wp14:paraId="3BDCDB53" wp14:textId="3C2C0D8E">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Often,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it's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best and clear to understand with good directions, </w:t>
      </w:r>
      <w:r w:rsidRPr="105C4FC2" w:rsidR="5AFBEA56">
        <w:rPr>
          <w:rFonts w:ascii="Arial" w:hAnsi="Arial" w:eastAsia="Arial" w:cs="Arial"/>
          <w:b w:val="0"/>
          <w:bCs w:val="0"/>
          <w:i w:val="0"/>
          <w:iCs w:val="0"/>
          <w:strike w:val="0"/>
          <w:dstrike w:val="0"/>
          <w:noProof w:val="0"/>
          <w:color w:val="000000" w:themeColor="text1" w:themeTint="FF" w:themeShade="FF"/>
          <w:sz w:val="22"/>
          <w:szCs w:val="22"/>
          <w:u w:val="none"/>
          <w:lang w:val="en-GB"/>
        </w:rPr>
        <w:t>it's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easy enough for the kids and adults to understand protecting and supporting families in health and care.</w:t>
      </w:r>
    </w:p>
    <w:p xmlns:wp14="http://schemas.microsoft.com/office/word/2010/wordml" wp14:paraId="5CB07FEA" wp14:textId="27D5F8C9"/>
    <w:p xmlns:wp14="http://schemas.microsoft.com/office/word/2010/wordml" w:rsidP="105C4FC2" wp14:paraId="40FE00E8" wp14:textId="43149898">
      <w:pPr>
        <w:bidi w:val="0"/>
        <w:spacing w:before="0" w:beforeAutospacing="off" w:after="0" w:afterAutospacing="off"/>
      </w:pPr>
      <w:r w:rsidRPr="105C4FC2" w:rsidR="219FD793">
        <w:rPr>
          <w:rFonts w:ascii="Arial" w:hAnsi="Arial" w:eastAsia="Arial" w:cs="Arial"/>
          <w:b w:val="1"/>
          <w:bCs w:val="1"/>
          <w:i w:val="0"/>
          <w:iCs w:val="0"/>
          <w:strike w:val="0"/>
          <w:dstrike w:val="0"/>
          <w:noProof w:val="0"/>
          <w:color w:val="000000" w:themeColor="text1" w:themeTint="FF" w:themeShade="FF"/>
          <w:sz w:val="22"/>
          <w:szCs w:val="22"/>
          <w:u w:val="none"/>
          <w:lang w:val="en-GB"/>
        </w:rPr>
        <w:t>What's Next and Some Thoughts</w:t>
      </w:r>
    </w:p>
    <w:p xmlns:wp14="http://schemas.microsoft.com/office/word/2010/wordml" w:rsidP="105C4FC2" wp14:paraId="0034C280" wp14:textId="55549F9E">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It looked at how Early Help support helps families in Nottinghamshire, Southwark, and Leeds.  These three groups show they care about kids' safety by following the rules. Because each has its own website and goals, they talk to each other in different ways. The way Early Help works was really well shown by Nottinghamshire. The plans made sense for the workers and their families and were well thought out. People in Leeds are ready to help each other out at many Family Hubs. You should take your family there. This city had a lot of groups that could work well together. But people who didn't know much about safety might have had more trouble.</w:t>
      </w:r>
    </w:p>
    <w:p xmlns:wp14="http://schemas.microsoft.com/office/word/2010/wordml" w:rsidP="105C4FC2" wp14:paraId="61F4214D" wp14:textId="53ECA0FB">
      <w:pPr>
        <w:pStyle w:val="Normal"/>
        <w:bidi w:val="0"/>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105C4FC2" wp14:paraId="084A5018" wp14:textId="7E979F03">
      <w:pPr>
        <w:pStyle w:val="Normal"/>
        <w:bidi w:val="0"/>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105C4FC2" wp14:paraId="78B16E37" wp14:textId="793EAF87">
      <w:pPr>
        <w:pStyle w:val="Normal"/>
        <w:bidi w:val="0"/>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105C4FC2" wp14:paraId="3300B71C" wp14:textId="53E8E17F">
      <w:pPr>
        <w:pStyle w:val="Normal"/>
        <w:bidi w:val="0"/>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105C4FC2" wp14:paraId="37DBD7D5" wp14:textId="1F588A73">
      <w:pPr>
        <w:pStyle w:val="Normal"/>
        <w:bidi w:val="0"/>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105C4FC2" wp14:paraId="675A11D0" wp14:textId="40A527E0">
      <w:pPr>
        <w:pStyle w:val="Normal"/>
        <w:bidi w:val="0"/>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105C4FC2" wp14:paraId="32DFDF57" wp14:textId="0ED46CF5">
      <w:pPr>
        <w:pStyle w:val="Normal"/>
        <w:bidi w:val="0"/>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105C4FC2" wp14:paraId="5AB049E6" wp14:textId="6357F30B">
      <w:pPr>
        <w:pStyle w:val="Normal"/>
      </w:pPr>
      <w:r w:rsidRPr="105C4FC2" w:rsidR="219FD793">
        <w:rPr>
          <w:rFonts w:ascii="Arial" w:hAnsi="Arial" w:eastAsia="Arial" w:cs="Arial"/>
          <w:b w:val="1"/>
          <w:bCs w:val="1"/>
          <w:i w:val="0"/>
          <w:iCs w:val="0"/>
          <w:strike w:val="0"/>
          <w:dstrike w:val="0"/>
          <w:noProof w:val="0"/>
          <w:color w:val="000000" w:themeColor="text1" w:themeTint="FF" w:themeShade="FF"/>
          <w:sz w:val="22"/>
          <w:szCs w:val="22"/>
          <w:u w:val="none"/>
          <w:lang w:val="en-GB"/>
        </w:rPr>
        <w:t>To strengthen digital communication further, several recommendations are made:</w:t>
      </w:r>
    </w:p>
    <w:p xmlns:wp14="http://schemas.microsoft.com/office/word/2010/wordml" wp14:paraId="1EC76186" wp14:textId="7DF27143"/>
    <w:p xmlns:wp14="http://schemas.microsoft.com/office/word/2010/wordml" w:rsidP="105C4FC2" wp14:paraId="52883774" wp14:textId="234F6D17">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On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all of</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Early Help and support agencies should fellow their safeguarding </w:t>
      </w:r>
      <w:r w:rsidRPr="105C4FC2" w:rsidR="6524F462">
        <w:rPr>
          <w:rFonts w:ascii="Arial" w:hAnsi="Arial" w:eastAsia="Arial" w:cs="Arial"/>
          <w:b w:val="0"/>
          <w:bCs w:val="0"/>
          <w:i w:val="0"/>
          <w:iCs w:val="0"/>
          <w:strike w:val="0"/>
          <w:dstrike w:val="0"/>
          <w:noProof w:val="0"/>
          <w:color w:val="000000" w:themeColor="text1" w:themeTint="FF" w:themeShade="FF"/>
          <w:sz w:val="22"/>
          <w:szCs w:val="22"/>
          <w:u w:val="none"/>
          <w:lang w:val="en-GB"/>
        </w:rPr>
        <w:t>guidelines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w:t>
      </w:r>
    </w:p>
    <w:p xmlns:wp14="http://schemas.microsoft.com/office/word/2010/wordml" wp14:paraId="37673DEE" wp14:textId="558AA2C6"/>
    <w:p xmlns:wp14="http://schemas.microsoft.com/office/word/2010/wordml" w:rsidP="105C4FC2" wp14:paraId="024B85F7" wp14:textId="6884EAF3">
      <w:pPr>
        <w:pStyle w:val="ListParagraph"/>
        <w:numPr>
          <w:ilvl w:val="0"/>
          <w:numId w:val="2"/>
        </w:numPr>
        <w:bidi w:val="0"/>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There should be more information pics, movies, and writing that is easy to read.</w:t>
      </w:r>
    </w:p>
    <w:p xmlns:wp14="http://schemas.microsoft.com/office/word/2010/wordml" w:rsidP="105C4FC2" wp14:paraId="367A0E58" wp14:textId="158A344D">
      <w:pPr>
        <w:pStyle w:val="ListParagraph"/>
        <w:numPr>
          <w:ilvl w:val="0"/>
          <w:numId w:val="2"/>
        </w:numPr>
        <w:bidi w:val="0"/>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It should be easy to see the important parts of Early Help and support pages fit together.</w:t>
      </w:r>
    </w:p>
    <w:p xmlns:wp14="http://schemas.microsoft.com/office/word/2010/wordml" w:rsidP="105C4FC2" wp14:paraId="51DF1E5F" wp14:textId="7C7B4350">
      <w:pPr>
        <w:pStyle w:val="ListParagraph"/>
        <w:numPr>
          <w:ilvl w:val="0"/>
          <w:numId w:val="2"/>
        </w:numPr>
        <w:bidi w:val="0"/>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mobile phones accessibility removing unwanted PDFs where necessary.</w:t>
      </w:r>
    </w:p>
    <w:p xmlns:wp14="http://schemas.microsoft.com/office/word/2010/wordml" w:rsidP="105C4FC2" wp14:paraId="63141523" wp14:textId="08283962">
      <w:pPr>
        <w:pStyle w:val="ListParagraph"/>
        <w:numPr>
          <w:ilvl w:val="0"/>
          <w:numId w:val="2"/>
        </w:numPr>
        <w:bidi w:val="0"/>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clear pathways and </w:t>
      </w:r>
      <w:r w:rsidRPr="105C4FC2" w:rsidR="78A52D9C">
        <w:rPr>
          <w:rFonts w:ascii="Arial" w:hAnsi="Arial" w:eastAsia="Arial" w:cs="Arial"/>
          <w:b w:val="0"/>
          <w:bCs w:val="0"/>
          <w:i w:val="0"/>
          <w:iCs w:val="0"/>
          <w:strike w:val="0"/>
          <w:dstrike w:val="0"/>
          <w:noProof w:val="0"/>
          <w:color w:val="000000" w:themeColor="text1" w:themeTint="FF" w:themeShade="FF"/>
          <w:sz w:val="22"/>
          <w:szCs w:val="22"/>
          <w:u w:val="none"/>
          <w:lang w:val="en-GB"/>
        </w:rPr>
        <w:t>guidelines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should be simple for families to understand and follow.</w:t>
      </w:r>
    </w:p>
    <w:p xmlns:wp14="http://schemas.microsoft.com/office/word/2010/wordml" w:rsidP="105C4FC2" wp14:paraId="40476519" wp14:textId="0BBEF0C8">
      <w:pPr>
        <w:pStyle w:val="ListParagraph"/>
        <w:numPr>
          <w:ilvl w:val="0"/>
          <w:numId w:val="2"/>
        </w:numPr>
        <w:bidi w:val="0"/>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parents should know about partnership working with the agencies in good and bad circumstances.</w:t>
      </w:r>
    </w:p>
    <w:p xmlns:wp14="http://schemas.microsoft.com/office/word/2010/wordml" w:rsidP="105C4FC2" wp14:paraId="5B1FE81E" wp14:textId="31ABBB5C">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Families will be able to get help faster and feel better about themselves. </w:t>
      </w:r>
      <w:r w:rsidRPr="105C4FC2" w:rsidR="3B1CF47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Key </w:t>
      </w:r>
      <w:r w:rsidRPr="105C4FC2" w:rsidR="08F04000">
        <w:rPr>
          <w:rFonts w:ascii="Arial" w:hAnsi="Arial" w:eastAsia="Arial" w:cs="Arial"/>
          <w:b w:val="0"/>
          <w:bCs w:val="0"/>
          <w:i w:val="0"/>
          <w:iCs w:val="0"/>
          <w:strike w:val="0"/>
          <w:dstrike w:val="0"/>
          <w:noProof w:val="0"/>
          <w:color w:val="000000" w:themeColor="text1" w:themeTint="FF" w:themeShade="FF"/>
          <w:sz w:val="22"/>
          <w:szCs w:val="22"/>
          <w:u w:val="none"/>
          <w:lang w:val="en-GB"/>
        </w:rPr>
        <w:t>principle</w:t>
      </w:r>
      <w:r w:rsidRPr="105C4FC2" w:rsidR="3B1CF47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the (CRC) prote</w:t>
      </w:r>
      <w:r w:rsidRPr="105C4FC2" w:rsidR="25235F5E">
        <w:rPr>
          <w:rFonts w:ascii="Arial" w:hAnsi="Arial" w:eastAsia="Arial" w:cs="Arial"/>
          <w:b w:val="0"/>
          <w:bCs w:val="0"/>
          <w:i w:val="0"/>
          <w:iCs w:val="0"/>
          <w:strike w:val="0"/>
          <w:dstrike w:val="0"/>
          <w:noProof w:val="0"/>
          <w:color w:val="000000" w:themeColor="text1" w:themeTint="FF" w:themeShade="FF"/>
          <w:sz w:val="22"/>
          <w:szCs w:val="22"/>
          <w:u w:val="none"/>
          <w:lang w:val="en-GB"/>
        </w:rPr>
        <w:t>ction</w:t>
      </w:r>
      <w:r w:rsidRPr="105C4FC2" w:rsidR="3B1CF47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provision, </w:t>
      </w:r>
      <w:r w:rsidRPr="105C4FC2" w:rsidR="3B1CF478">
        <w:rPr>
          <w:rFonts w:ascii="Arial" w:hAnsi="Arial" w:eastAsia="Arial" w:cs="Arial"/>
          <w:b w:val="0"/>
          <w:bCs w:val="0"/>
          <w:i w:val="0"/>
          <w:iCs w:val="0"/>
          <w:strike w:val="0"/>
          <w:dstrike w:val="0"/>
          <w:noProof w:val="0"/>
          <w:color w:val="000000" w:themeColor="text1" w:themeTint="FF" w:themeShade="FF"/>
          <w:sz w:val="22"/>
          <w:szCs w:val="22"/>
          <w:u w:val="none"/>
          <w:lang w:val="en-GB"/>
        </w:rPr>
        <w:t>participation</w:t>
      </w:r>
      <w:r w:rsidRPr="105C4FC2" w:rsidR="29E5E46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4FAFAF5D">
        <w:rPr>
          <w:rFonts w:ascii="Arial" w:hAnsi="Arial" w:eastAsia="Arial" w:cs="Arial"/>
          <w:b w:val="0"/>
          <w:bCs w:val="0"/>
          <w:i w:val="0"/>
          <w:iCs w:val="0"/>
          <w:strike w:val="0"/>
          <w:dstrike w:val="0"/>
          <w:noProof w:val="0"/>
          <w:color w:val="000000" w:themeColor="text1" w:themeTint="FF" w:themeShade="FF"/>
          <w:sz w:val="22"/>
          <w:szCs w:val="22"/>
          <w:u w:val="none"/>
          <w:lang w:val="en-GB"/>
        </w:rPr>
        <w:t>and non</w:t>
      </w:r>
      <w:r w:rsidRPr="105C4FC2" w:rsidR="25EAFD2F">
        <w:rPr>
          <w:rFonts w:ascii="Arial" w:hAnsi="Arial" w:eastAsia="Arial" w:cs="Arial"/>
          <w:b w:val="0"/>
          <w:bCs w:val="0"/>
          <w:i w:val="0"/>
          <w:iCs w:val="0"/>
          <w:strike w:val="0"/>
          <w:dstrike w:val="0"/>
          <w:noProof w:val="0"/>
          <w:color w:val="000000" w:themeColor="text1" w:themeTint="FF" w:themeShade="FF"/>
          <w:sz w:val="22"/>
          <w:szCs w:val="22"/>
          <w:u w:val="none"/>
          <w:lang w:val="en-GB"/>
        </w:rPr>
        <w:t>-discrimination</w:t>
      </w:r>
      <w:r w:rsidRPr="105C4FC2" w:rsidR="3B1CF478">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05C4FC2" w:rsidR="156D54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children and </w:t>
      </w:r>
      <w:r w:rsidRPr="105C4FC2" w:rsidR="1F310C55">
        <w:rPr>
          <w:rFonts w:ascii="Arial" w:hAnsi="Arial" w:eastAsia="Arial" w:cs="Arial"/>
          <w:b w:val="0"/>
          <w:bCs w:val="0"/>
          <w:i w:val="0"/>
          <w:iCs w:val="0"/>
          <w:strike w:val="0"/>
          <w:dstrike w:val="0"/>
          <w:noProof w:val="0"/>
          <w:color w:val="000000" w:themeColor="text1" w:themeTint="FF" w:themeShade="FF"/>
          <w:sz w:val="22"/>
          <w:szCs w:val="22"/>
          <w:u w:val="none"/>
          <w:lang w:val="en-GB"/>
        </w:rPr>
        <w:t>social</w:t>
      </w:r>
      <w:r w:rsidRPr="105C4FC2" w:rsidR="156D54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work act </w:t>
      </w:r>
      <w:r w:rsidRPr="105C4FC2" w:rsidR="65FE7E02">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05C4FC2" w:rsidR="156D54F3">
        <w:rPr>
          <w:rFonts w:ascii="Arial" w:hAnsi="Arial" w:eastAsia="Arial" w:cs="Arial"/>
          <w:b w:val="0"/>
          <w:bCs w:val="0"/>
          <w:i w:val="0"/>
          <w:iCs w:val="0"/>
          <w:strike w:val="0"/>
          <w:dstrike w:val="0"/>
          <w:noProof w:val="0"/>
          <w:color w:val="000000" w:themeColor="text1" w:themeTint="FF" w:themeShade="FF"/>
          <w:sz w:val="22"/>
          <w:szCs w:val="22"/>
          <w:u w:val="none"/>
          <w:lang w:val="en-GB"/>
        </w:rPr>
        <w:t>2017</w:t>
      </w:r>
      <w:r w:rsidRPr="105C4FC2" w:rsidR="7A19123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05C4FC2" w:rsidR="156D54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7DE23AE8">
        <w:rPr>
          <w:rFonts w:ascii="Arial" w:hAnsi="Arial" w:eastAsia="Arial" w:cs="Arial"/>
          <w:b w:val="0"/>
          <w:bCs w:val="0"/>
          <w:i w:val="0"/>
          <w:iCs w:val="0"/>
          <w:strike w:val="0"/>
          <w:dstrike w:val="0"/>
          <w:noProof w:val="0"/>
          <w:color w:val="000000" w:themeColor="text1" w:themeTint="FF" w:themeShade="FF"/>
          <w:sz w:val="22"/>
          <w:szCs w:val="22"/>
          <w:u w:val="none"/>
          <w:lang w:val="en-GB"/>
        </w:rPr>
        <w:t>are</w:t>
      </w:r>
      <w:r w:rsidRPr="105C4FC2" w:rsidR="156D54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significant legis</w:t>
      </w:r>
      <w:r w:rsidRPr="105C4FC2" w:rsidR="5F75F442">
        <w:rPr>
          <w:rFonts w:ascii="Arial" w:hAnsi="Arial" w:eastAsia="Arial" w:cs="Arial"/>
          <w:b w:val="0"/>
          <w:bCs w:val="0"/>
          <w:i w:val="0"/>
          <w:iCs w:val="0"/>
          <w:strike w:val="0"/>
          <w:dstrike w:val="0"/>
          <w:noProof w:val="0"/>
          <w:color w:val="000000" w:themeColor="text1" w:themeTint="FF" w:themeShade="FF"/>
          <w:sz w:val="22"/>
          <w:szCs w:val="22"/>
          <w:u w:val="none"/>
          <w:lang w:val="en-GB"/>
        </w:rPr>
        <w:t>la</w:t>
      </w:r>
      <w:r w:rsidRPr="105C4FC2" w:rsidR="156D54F3">
        <w:rPr>
          <w:rFonts w:ascii="Arial" w:hAnsi="Arial" w:eastAsia="Arial" w:cs="Arial"/>
          <w:b w:val="0"/>
          <w:bCs w:val="0"/>
          <w:i w:val="0"/>
          <w:iCs w:val="0"/>
          <w:strike w:val="0"/>
          <w:dstrike w:val="0"/>
          <w:noProof w:val="0"/>
          <w:color w:val="000000" w:themeColor="text1" w:themeTint="FF" w:themeShade="FF"/>
          <w:sz w:val="22"/>
          <w:szCs w:val="22"/>
          <w:u w:val="none"/>
          <w:lang w:val="en-GB"/>
        </w:rPr>
        <w:t>tive milestone in the UK.</w:t>
      </w:r>
      <w:r w:rsidRPr="105C4FC2" w:rsidR="1463E8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Equally act </w:t>
      </w:r>
      <w:r w:rsidRPr="105C4FC2" w:rsidR="0F8F6789">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05C4FC2" w:rsidR="65E0E8EB">
        <w:rPr>
          <w:rFonts w:ascii="Arial" w:hAnsi="Arial" w:eastAsia="Arial" w:cs="Arial"/>
          <w:b w:val="0"/>
          <w:bCs w:val="0"/>
          <w:i w:val="0"/>
          <w:iCs w:val="0"/>
          <w:strike w:val="0"/>
          <w:dstrike w:val="0"/>
          <w:noProof w:val="0"/>
          <w:color w:val="000000" w:themeColor="text1" w:themeTint="FF" w:themeShade="FF"/>
          <w:sz w:val="22"/>
          <w:szCs w:val="22"/>
          <w:u w:val="none"/>
          <w:lang w:val="en-GB"/>
        </w:rPr>
        <w:t>2010) Principles</w:t>
      </w:r>
      <w:r w:rsidRPr="105C4FC2" w:rsidR="1463E81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show fair and inclusive society. </w:t>
      </w:r>
      <w:r w:rsidRPr="105C4FC2" w:rsidR="4FC3C65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Domestic abuse act </w:t>
      </w:r>
      <w:r w:rsidRPr="105C4FC2" w:rsidR="41BE1399">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05C4FC2" w:rsidR="4FC3C65F">
        <w:rPr>
          <w:rFonts w:ascii="Arial" w:hAnsi="Arial" w:eastAsia="Arial" w:cs="Arial"/>
          <w:b w:val="0"/>
          <w:bCs w:val="0"/>
          <w:i w:val="0"/>
          <w:iCs w:val="0"/>
          <w:strike w:val="0"/>
          <w:dstrike w:val="0"/>
          <w:noProof w:val="0"/>
          <w:color w:val="000000" w:themeColor="text1" w:themeTint="FF" w:themeShade="FF"/>
          <w:sz w:val="22"/>
          <w:szCs w:val="22"/>
          <w:u w:val="none"/>
          <w:lang w:val="en-GB"/>
        </w:rPr>
        <w:t>2021</w:t>
      </w:r>
      <w:r w:rsidRPr="105C4FC2" w:rsidR="7EA04857">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05C4FC2" w:rsidR="4FC3C65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is a significant legis</w:t>
      </w:r>
      <w:r w:rsidRPr="105C4FC2" w:rsidR="3B6D3D8D">
        <w:rPr>
          <w:rFonts w:ascii="Arial" w:hAnsi="Arial" w:eastAsia="Arial" w:cs="Arial"/>
          <w:b w:val="0"/>
          <w:bCs w:val="0"/>
          <w:i w:val="0"/>
          <w:iCs w:val="0"/>
          <w:strike w:val="0"/>
          <w:dstrike w:val="0"/>
          <w:noProof w:val="0"/>
          <w:color w:val="000000" w:themeColor="text1" w:themeTint="FF" w:themeShade="FF"/>
          <w:sz w:val="22"/>
          <w:szCs w:val="22"/>
          <w:u w:val="none"/>
          <w:lang w:val="en-GB"/>
        </w:rPr>
        <w:t>la</w:t>
      </w:r>
      <w:r w:rsidRPr="105C4FC2" w:rsidR="4FC3C65F">
        <w:rPr>
          <w:rFonts w:ascii="Arial" w:hAnsi="Arial" w:eastAsia="Arial" w:cs="Arial"/>
          <w:b w:val="0"/>
          <w:bCs w:val="0"/>
          <w:i w:val="0"/>
          <w:iCs w:val="0"/>
          <w:strike w:val="0"/>
          <w:dstrike w:val="0"/>
          <w:noProof w:val="0"/>
          <w:color w:val="000000" w:themeColor="text1" w:themeTint="FF" w:themeShade="FF"/>
          <w:sz w:val="22"/>
          <w:szCs w:val="22"/>
          <w:u w:val="none"/>
          <w:lang w:val="en-GB"/>
        </w:rPr>
        <w:t>tive development in tackling domestic abuse in the UK</w:t>
      </w:r>
      <w:r w:rsidRPr="105C4FC2" w:rsidR="45FD28EC">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05C4FC2" w:rsidR="3B1CF47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It will also show that in the </w:t>
      </w:r>
      <w:r w:rsidRPr="105C4FC2" w:rsidR="423ACCC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UK </w:t>
      </w:r>
      <w:r w:rsidRPr="105C4FC2" w:rsidR="2DC557C2">
        <w:rPr>
          <w:rFonts w:ascii="Arial" w:hAnsi="Arial" w:eastAsia="Arial" w:cs="Arial"/>
          <w:b w:val="0"/>
          <w:bCs w:val="0"/>
          <w:i w:val="0"/>
          <w:iCs w:val="0"/>
          <w:strike w:val="0"/>
          <w:dstrike w:val="0"/>
          <w:noProof w:val="0"/>
          <w:color w:val="000000" w:themeColor="text1" w:themeTint="FF" w:themeShade="FF"/>
          <w:sz w:val="22"/>
          <w:szCs w:val="22"/>
          <w:u w:val="none"/>
          <w:lang w:val="en-GB"/>
        </w:rPr>
        <w:t>kids'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5C9114D2">
        <w:rPr>
          <w:rFonts w:ascii="Arial" w:hAnsi="Arial" w:eastAsia="Arial" w:cs="Arial"/>
          <w:b w:val="0"/>
          <w:bCs w:val="0"/>
          <w:i w:val="0"/>
          <w:iCs w:val="0"/>
          <w:strike w:val="0"/>
          <w:dstrike w:val="0"/>
          <w:noProof w:val="0"/>
          <w:color w:val="000000" w:themeColor="text1" w:themeTint="FF" w:themeShade="FF"/>
          <w:sz w:val="22"/>
          <w:szCs w:val="22"/>
          <w:u w:val="none"/>
          <w:lang w:val="en-GB"/>
        </w:rPr>
        <w:t>safety</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is priority and stop problems before they start.</w:t>
      </w:r>
    </w:p>
    <w:p xmlns:wp14="http://schemas.microsoft.com/office/word/2010/wordml" wp14:paraId="008F5789" wp14:textId="6FB64926"/>
    <w:p xmlns:wp14="http://schemas.microsoft.com/office/word/2010/wordml" w:rsidP="105C4FC2" wp14:paraId="628FDA35" wp14:textId="61EDA133">
      <w:pPr>
        <w:bidi w:val="0"/>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105C4FC2" w:rsidR="3BA6C5E5">
        <w:rPr>
          <w:rFonts w:ascii="Arial" w:hAnsi="Arial" w:eastAsia="Arial" w:cs="Arial"/>
          <w:b w:val="1"/>
          <w:bCs w:val="1"/>
          <w:i w:val="0"/>
          <w:iCs w:val="0"/>
          <w:strike w:val="0"/>
          <w:dstrike w:val="0"/>
          <w:noProof w:val="0"/>
          <w:color w:val="000000" w:themeColor="text1" w:themeTint="FF" w:themeShade="FF"/>
          <w:sz w:val="22"/>
          <w:szCs w:val="22"/>
          <w:u w:val="none"/>
          <w:lang w:val="en-GB"/>
        </w:rPr>
        <w:t>C</w:t>
      </w:r>
      <w:r w:rsidRPr="105C4FC2" w:rsidR="14F30138">
        <w:rPr>
          <w:rFonts w:ascii="Arial" w:hAnsi="Arial" w:eastAsia="Arial" w:cs="Arial"/>
          <w:b w:val="1"/>
          <w:bCs w:val="1"/>
          <w:i w:val="0"/>
          <w:iCs w:val="0"/>
          <w:strike w:val="0"/>
          <w:dstrike w:val="0"/>
          <w:noProof w:val="0"/>
          <w:color w:val="000000" w:themeColor="text1" w:themeTint="FF" w:themeShade="FF"/>
          <w:sz w:val="22"/>
          <w:szCs w:val="22"/>
          <w:u w:val="none"/>
          <w:lang w:val="en-GB"/>
        </w:rPr>
        <w:t>onclusion</w:t>
      </w:r>
    </w:p>
    <w:p xmlns:wp14="http://schemas.microsoft.com/office/word/2010/wordml" w:rsidP="105C4FC2" wp14:paraId="79FD6DD8" wp14:textId="5327557B">
      <w:pPr>
        <w:bidi w:val="0"/>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05C4FC2" w:rsidR="31F1490A">
        <w:rPr>
          <w:rFonts w:ascii="Arial" w:hAnsi="Arial" w:eastAsia="Arial" w:cs="Arial"/>
          <w:b w:val="0"/>
          <w:bCs w:val="0"/>
          <w:i w:val="0"/>
          <w:iCs w:val="0"/>
          <w:strike w:val="0"/>
          <w:dstrike w:val="0"/>
          <w:noProof w:val="0"/>
          <w:color w:val="000000" w:themeColor="text1" w:themeTint="FF" w:themeShade="FF"/>
          <w:sz w:val="22"/>
          <w:szCs w:val="22"/>
          <w:u w:val="none"/>
          <w:lang w:val="en-GB"/>
        </w:rPr>
        <w:t>All practi</w:t>
      </w:r>
      <w:r w:rsidRPr="105C4FC2" w:rsidR="5A88F0F3">
        <w:rPr>
          <w:rFonts w:ascii="Arial" w:hAnsi="Arial" w:eastAsia="Arial" w:cs="Arial"/>
          <w:b w:val="0"/>
          <w:bCs w:val="0"/>
          <w:i w:val="0"/>
          <w:iCs w:val="0"/>
          <w:strike w:val="0"/>
          <w:dstrike w:val="0"/>
          <w:noProof w:val="0"/>
          <w:color w:val="000000" w:themeColor="text1" w:themeTint="FF" w:themeShade="FF"/>
          <w:sz w:val="22"/>
          <w:szCs w:val="22"/>
          <w:u w:val="none"/>
          <w:lang w:val="en-GB"/>
        </w:rPr>
        <w:t>ti</w:t>
      </w:r>
      <w:r w:rsidRPr="105C4FC2" w:rsidR="31F1490A">
        <w:rPr>
          <w:rFonts w:ascii="Arial" w:hAnsi="Arial" w:eastAsia="Arial" w:cs="Arial"/>
          <w:b w:val="0"/>
          <w:bCs w:val="0"/>
          <w:i w:val="0"/>
          <w:iCs w:val="0"/>
          <w:strike w:val="0"/>
          <w:dstrike w:val="0"/>
          <w:noProof w:val="0"/>
          <w:color w:val="000000" w:themeColor="text1" w:themeTint="FF" w:themeShade="FF"/>
          <w:sz w:val="22"/>
          <w:szCs w:val="22"/>
          <w:u w:val="none"/>
          <w:lang w:val="en-GB"/>
        </w:rPr>
        <w:t>oners should work in partnership with parents and carers collaboratively, creating the best chance in making c</w:t>
      </w:r>
      <w:r w:rsidRPr="105C4FC2" w:rsidR="646688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hanges so that fair and </w:t>
      </w:r>
      <w:r w:rsidRPr="105C4FC2" w:rsidR="646688F6">
        <w:rPr>
          <w:rFonts w:ascii="Arial" w:hAnsi="Arial" w:eastAsia="Arial" w:cs="Arial"/>
          <w:b w:val="0"/>
          <w:bCs w:val="0"/>
          <w:i w:val="0"/>
          <w:iCs w:val="0"/>
          <w:strike w:val="0"/>
          <w:dstrike w:val="0"/>
          <w:noProof w:val="0"/>
          <w:color w:val="000000" w:themeColor="text1" w:themeTint="FF" w:themeShade="FF"/>
          <w:sz w:val="22"/>
          <w:szCs w:val="22"/>
          <w:u w:val="none"/>
          <w:lang w:val="en-GB"/>
        </w:rPr>
        <w:t>accurate</w:t>
      </w:r>
      <w:r w:rsidRPr="105C4FC2" w:rsidR="646688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decisions can be made in how to support children and keep them safe.</w:t>
      </w:r>
      <w:r w:rsidRPr="105C4FC2" w:rsidR="42C278B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orking with the agencies in partnership improving digital signposting showing that families can access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timely</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79C4724B">
        <w:rPr>
          <w:rFonts w:ascii="Arial" w:hAnsi="Arial" w:eastAsia="Arial" w:cs="Arial"/>
          <w:b w:val="0"/>
          <w:bCs w:val="0"/>
          <w:i w:val="0"/>
          <w:iCs w:val="0"/>
          <w:strike w:val="0"/>
          <w:dstrike w:val="0"/>
          <w:noProof w:val="0"/>
          <w:color w:val="000000" w:themeColor="text1" w:themeTint="FF" w:themeShade="FF"/>
          <w:sz w:val="22"/>
          <w:szCs w:val="22"/>
          <w:u w:val="none"/>
          <w:lang w:val="en-GB"/>
        </w:rPr>
        <w:t>support, reduce</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7E8A0BE9">
        <w:rPr>
          <w:rFonts w:ascii="Arial" w:hAnsi="Arial" w:eastAsia="Arial" w:cs="Arial"/>
          <w:b w:val="0"/>
          <w:bCs w:val="0"/>
          <w:i w:val="0"/>
          <w:iCs w:val="0"/>
          <w:strike w:val="0"/>
          <w:dstrike w:val="0"/>
          <w:noProof w:val="0"/>
          <w:color w:val="000000" w:themeColor="text1" w:themeTint="FF" w:themeShade="FF"/>
          <w:sz w:val="22"/>
          <w:szCs w:val="22"/>
          <w:u w:val="none"/>
          <w:lang w:val="en-GB"/>
        </w:rPr>
        <w:t>stigma, and</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796F4453">
        <w:rPr>
          <w:rFonts w:ascii="Arial" w:hAnsi="Arial" w:eastAsia="Arial" w:cs="Arial"/>
          <w:b w:val="0"/>
          <w:bCs w:val="0"/>
          <w:i w:val="0"/>
          <w:iCs w:val="0"/>
          <w:strike w:val="0"/>
          <w:dstrike w:val="0"/>
          <w:noProof w:val="0"/>
          <w:color w:val="000000" w:themeColor="text1" w:themeTint="FF" w:themeShade="FF"/>
          <w:sz w:val="22"/>
          <w:szCs w:val="22"/>
          <w:u w:val="none"/>
          <w:lang w:val="en-GB"/>
        </w:rPr>
        <w:t>strengthen</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UK’s family </w:t>
      </w:r>
      <w:r w:rsidRPr="105C4FC2" w:rsidR="18DC93BE">
        <w:rPr>
          <w:rFonts w:ascii="Arial" w:hAnsi="Arial" w:eastAsia="Arial" w:cs="Arial"/>
          <w:b w:val="0"/>
          <w:bCs w:val="0"/>
          <w:i w:val="0"/>
          <w:iCs w:val="0"/>
          <w:strike w:val="0"/>
          <w:dstrike w:val="0"/>
          <w:noProof w:val="0"/>
          <w:color w:val="000000" w:themeColor="text1" w:themeTint="FF" w:themeShade="FF"/>
          <w:sz w:val="22"/>
          <w:szCs w:val="22"/>
          <w:u w:val="none"/>
          <w:lang w:val="en-GB"/>
        </w:rPr>
        <w:t>guidelines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05C4FC2" w:rsidR="1FA60A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rules commitment to early intervention and child wellbeing.</w:t>
      </w:r>
    </w:p>
    <w:p xmlns:wp14="http://schemas.microsoft.com/office/word/2010/wordml" wp14:paraId="0FCE6912" wp14:textId="41744429"/>
    <w:p xmlns:wp14="http://schemas.microsoft.com/office/word/2010/wordml" wp14:paraId="387C1FD6" wp14:textId="4C9CB9CE"/>
    <w:p xmlns:wp14="http://schemas.microsoft.com/office/word/2010/wordml" wp14:paraId="545ED0DD" wp14:textId="6E1BEB99"/>
    <w:p xmlns:wp14="http://schemas.microsoft.com/office/word/2010/wordml" wp14:paraId="3670A2F0" wp14:textId="52EA5C8A"/>
    <w:p xmlns:wp14="http://schemas.microsoft.com/office/word/2010/wordml" wp14:paraId="5321DD54" wp14:textId="55F0725A"/>
    <w:p xmlns:wp14="http://schemas.microsoft.com/office/word/2010/wordml" wp14:paraId="0BCC8C47" wp14:textId="5F37CC53"/>
    <w:p xmlns:wp14="http://schemas.microsoft.com/office/word/2010/wordml" wp14:paraId="683F8BC5" wp14:textId="26C8D637"/>
    <w:p xmlns:wp14="http://schemas.microsoft.com/office/word/2010/wordml" wp14:paraId="0B292E14" wp14:textId="23A40819"/>
    <w:p xmlns:wp14="http://schemas.microsoft.com/office/word/2010/wordml" wp14:paraId="44EBD127" wp14:textId="58F341D0"/>
    <w:p xmlns:wp14="http://schemas.microsoft.com/office/word/2010/wordml" wp14:paraId="50C1D3AB" wp14:textId="3D835062"/>
    <w:p xmlns:wp14="http://schemas.microsoft.com/office/word/2010/wordml" wp14:paraId="00920256" wp14:textId="5F5E6090"/>
    <w:p xmlns:wp14="http://schemas.microsoft.com/office/word/2010/wordml" wp14:paraId="64055A82" wp14:textId="2C171868"/>
    <w:p xmlns:wp14="http://schemas.microsoft.com/office/word/2010/wordml" w:rsidP="105C4FC2" wp14:paraId="2173C7F8" wp14:textId="00EDF232">
      <w:pPr>
        <w:pStyle w:val="Normal"/>
        <w:bidi w:val="0"/>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105C4FC2" wp14:paraId="226B1755" wp14:textId="0CA7FE54">
      <w:pPr>
        <w:pStyle w:val="Normal"/>
        <w:bidi w:val="0"/>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105C4FC2" wp14:paraId="2F7938FA" wp14:textId="7DC67C86">
      <w:pPr>
        <w:pStyle w:val="Normal"/>
      </w:pPr>
      <w:r w:rsidRPr="105C4FC2" w:rsidR="219FD793">
        <w:rPr>
          <w:rFonts w:ascii="Arial" w:hAnsi="Arial" w:eastAsia="Arial" w:cs="Arial"/>
          <w:b w:val="1"/>
          <w:bCs w:val="1"/>
          <w:i w:val="0"/>
          <w:iCs w:val="0"/>
          <w:strike w:val="0"/>
          <w:dstrike w:val="0"/>
          <w:noProof w:val="0"/>
          <w:color w:val="000000" w:themeColor="text1" w:themeTint="FF" w:themeShade="FF"/>
          <w:sz w:val="22"/>
          <w:szCs w:val="22"/>
          <w:u w:val="none"/>
          <w:lang w:val="en-GB"/>
        </w:rPr>
        <w:t>REFERENCES</w:t>
      </w:r>
    </w:p>
    <w:p xmlns:wp14="http://schemas.microsoft.com/office/word/2010/wordml" w:rsidP="105C4FC2" wp14:paraId="549E7E40" wp14:textId="08622D96">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Barnes</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J. (2022) ‘Assessing early intervention’, Journal of Family Support, 11(2), pp. 87–101.</w:t>
      </w:r>
    </w:p>
    <w:p xmlns:wp14="http://schemas.microsoft.com/office/word/2010/wordml" w:rsidP="105C4FC2" wp14:paraId="74815745" wp14:textId="427890AA">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Brandon, M., Sidebotham, P., </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Belderson</w:t>
      </w: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P. and Hawley, C. (2020) ‘Complexity in safeguarding’, Child Abuse Review, 29(4), pp. 265–280.</w:t>
      </w:r>
    </w:p>
    <w:p xmlns:wp14="http://schemas.microsoft.com/office/word/2010/wordml" w:rsidP="105C4FC2" wp14:paraId="632CF77E" wp14:textId="050E58AC">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Children Act (1989). London: HMSO.</w:t>
      </w:r>
    </w:p>
    <w:p xmlns:wp14="http://schemas.microsoft.com/office/word/2010/wordml" w:rsidP="105C4FC2" wp14:paraId="5094B156" wp14:textId="7C2417AA">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Children Act (2004). London: HMSO.</w:t>
      </w:r>
    </w:p>
    <w:p xmlns:wp14="http://schemas.microsoft.com/office/word/2010/wordml" w:rsidP="105C4FC2" wp14:paraId="6553333B" wp14:textId="11944607">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Davies, C. and Ward, H. (2012) Safeguarding Children Across Services. London: Jessica Kingsley.</w:t>
      </w:r>
    </w:p>
    <w:p xmlns:wp14="http://schemas.microsoft.com/office/word/2010/wordml" w:rsidP="105C4FC2" wp14:paraId="721F87B0" wp14:textId="12CEB214">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Department for Education (2021) Early Help System Guide. London: DfE.</w:t>
      </w:r>
    </w:p>
    <w:p xmlns:wp14="http://schemas.microsoft.com/office/word/2010/wordml" w:rsidP="105C4FC2" wp14:paraId="1931107F" wp14:textId="0D797816">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Early Intervention Foundation (2021) The Case for Early Intervention. London: EIF.</w:t>
      </w:r>
    </w:p>
    <w:p xmlns:wp14="http://schemas.microsoft.com/office/word/2010/wordml" w:rsidP="105C4FC2" wp14:paraId="1BE19FD9" wp14:textId="287BACC1">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Featherstone, B., White, S. and Morris, K. (2014) Re-imagining Child Protection. Bristol: Policy Press.</w:t>
      </w:r>
    </w:p>
    <w:p xmlns:wp14="http://schemas.microsoft.com/office/word/2010/wordml" w:rsidP="105C4FC2" wp14:paraId="012BAC56" wp14:textId="59E3A977">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Frost, N. and Parton, N. (2009) ‘Understanding multi-agency working’, Children &amp; Society, 23(5), pp. 325–335.</w:t>
      </w:r>
    </w:p>
    <w:p xmlns:wp14="http://schemas.microsoft.com/office/word/2010/wordml" w:rsidP="105C4FC2" wp14:paraId="75C7FB24" wp14:textId="401DCFEB">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HM Government (2023) Working Together to Safeguard Children 2023. London: HMSO.</w:t>
      </w:r>
    </w:p>
    <w:p xmlns:wp14="http://schemas.microsoft.com/office/word/2010/wordml" w:rsidP="105C4FC2" wp14:paraId="5A0EF22E" wp14:textId="0DF33A53">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Horwath, J. (2015) Child Neglect. London: Palgrave.</w:t>
      </w:r>
    </w:p>
    <w:p xmlns:wp14="http://schemas.microsoft.com/office/word/2010/wordml" w:rsidP="105C4FC2" wp14:paraId="78373AD2" wp14:textId="44CD07F3">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Leeds City Council (2025) Early Help and Family Support. Available at: </w:t>
      </w:r>
      <w:hyperlink r:id="R0e20dc95014a4e2d">
        <w:r w:rsidRPr="105C4FC2" w:rsidR="219FD793">
          <w:rPr>
            <w:rStyle w:val="Hyperlink"/>
            <w:rFonts w:ascii="Arial" w:hAnsi="Arial" w:eastAsia="Arial" w:cs="Arial"/>
            <w:b w:val="0"/>
            <w:bCs w:val="0"/>
            <w:i w:val="0"/>
            <w:iCs w:val="0"/>
            <w:strike w:val="0"/>
            <w:dstrike w:val="0"/>
            <w:noProof w:val="0"/>
            <w:sz w:val="22"/>
            <w:szCs w:val="22"/>
            <w:lang w:val="en-GB"/>
          </w:rPr>
          <w:t>https://www.leeds.gov.uk/</w:t>
        </w:r>
      </w:hyperlink>
    </w:p>
    <w:p xmlns:wp14="http://schemas.microsoft.com/office/word/2010/wordml" w:rsidP="105C4FC2" wp14:paraId="0C79DF53" wp14:textId="327C95CE">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Local Government Association (2020) Early Help: A Whole Family Approach. London: LGA.</w:t>
      </w:r>
    </w:p>
    <w:p xmlns:wp14="http://schemas.microsoft.com/office/word/2010/wordml" w:rsidP="105C4FC2" wp14:paraId="0636714A" wp14:textId="371C63B9">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Munro, E. (2011) The Munro Review of Child Protection: Final Report. London: DfE.</w:t>
      </w:r>
    </w:p>
    <w:p xmlns:wp14="http://schemas.microsoft.com/office/word/2010/wordml" w:rsidP="105C4FC2" wp14:paraId="0E0D7F05" wp14:textId="1B669369">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NHS England (2020) Children and Young People’s Mental Health Toolkit. London: NHS.</w:t>
      </w:r>
    </w:p>
    <w:p xmlns:wp14="http://schemas.microsoft.com/office/word/2010/wordml" w:rsidP="105C4FC2" wp14:paraId="3279FB2F" wp14:textId="6BD8FDF2">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Nottinghamshire County Council (2025) Early Help. Available at: </w:t>
      </w:r>
      <w:hyperlink r:id="R21c9703b622d4cc9">
        <w:r w:rsidRPr="105C4FC2" w:rsidR="219FD793">
          <w:rPr>
            <w:rStyle w:val="Hyperlink"/>
            <w:rFonts w:ascii="Arial" w:hAnsi="Arial" w:eastAsia="Arial" w:cs="Arial"/>
            <w:b w:val="0"/>
            <w:bCs w:val="0"/>
            <w:i w:val="0"/>
            <w:iCs w:val="0"/>
            <w:strike w:val="0"/>
            <w:dstrike w:val="0"/>
            <w:noProof w:val="0"/>
            <w:sz w:val="22"/>
            <w:szCs w:val="22"/>
            <w:lang w:val="en-GB"/>
          </w:rPr>
          <w:t>https://www.nottinghamshire.gov.uk/</w:t>
        </w:r>
      </w:hyperlink>
    </w:p>
    <w:p xmlns:wp14="http://schemas.microsoft.com/office/word/2010/wordml" w:rsidP="105C4FC2" wp14:paraId="741D0ED8" wp14:textId="3DAE3457">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Ofsted (2022) Local Area SEND and Early Help Review. London: Ofsted.</w:t>
      </w:r>
    </w:p>
    <w:p xmlns:wp14="http://schemas.microsoft.com/office/word/2010/wordml" w:rsidP="105C4FC2" wp14:paraId="4B7916A3" wp14:textId="146D5AC6">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Smith, M. (2020) ‘Digital signposting and family support’, British Journal of Social Work.</w:t>
      </w:r>
    </w:p>
    <w:p xmlns:wp14="http://schemas.microsoft.com/office/word/2010/wordml" w:rsidP="105C4FC2" wp14:paraId="0F174FAA" wp14:textId="2CBA639F">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Southwark Council (2025) Early Help Service. Available at: </w:t>
      </w:r>
      <w:hyperlink r:id="Raf8023daf81f48e8">
        <w:r w:rsidRPr="105C4FC2" w:rsidR="219FD793">
          <w:rPr>
            <w:rStyle w:val="Hyperlink"/>
            <w:rFonts w:ascii="Arial" w:hAnsi="Arial" w:eastAsia="Arial" w:cs="Arial"/>
            <w:b w:val="0"/>
            <w:bCs w:val="0"/>
            <w:i w:val="0"/>
            <w:iCs w:val="0"/>
            <w:strike w:val="0"/>
            <w:dstrike w:val="0"/>
            <w:noProof w:val="0"/>
            <w:sz w:val="22"/>
            <w:szCs w:val="22"/>
            <w:lang w:val="en-GB"/>
          </w:rPr>
          <w:t>https://www.southwark.gov.uk/</w:t>
        </w:r>
      </w:hyperlink>
    </w:p>
    <w:p xmlns:wp14="http://schemas.microsoft.com/office/word/2010/wordml" w:rsidP="105C4FC2" wp14:paraId="0ABB28B4" wp14:textId="1F463C9F">
      <w:pPr>
        <w:bidi w:val="0"/>
        <w:spacing w:before="0" w:beforeAutospacing="off" w:after="0" w:afterAutospacing="off"/>
      </w:pPr>
      <w:r w:rsidRPr="105C4FC2" w:rsidR="219FD793">
        <w:rPr>
          <w:rFonts w:ascii="Arial" w:hAnsi="Arial" w:eastAsia="Arial" w:cs="Arial"/>
          <w:b w:val="0"/>
          <w:bCs w:val="0"/>
          <w:i w:val="0"/>
          <w:iCs w:val="0"/>
          <w:strike w:val="0"/>
          <w:dstrike w:val="0"/>
          <w:noProof w:val="0"/>
          <w:color w:val="000000" w:themeColor="text1" w:themeTint="FF" w:themeShade="FF"/>
          <w:sz w:val="22"/>
          <w:szCs w:val="22"/>
          <w:u w:val="none"/>
          <w:lang w:val="en-GB"/>
        </w:rPr>
        <w:t>Webber, M. (2017) Social Work in a Digital Society. London: Red Globe.</w:t>
      </w:r>
    </w:p>
    <w:p xmlns:wp14="http://schemas.microsoft.com/office/word/2010/wordml" wp14:paraId="5E5787A5" wp14:textId="0E9B06F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Yl9N2kwI" int2:invalidationBookmarkName="" int2:hashCode="amaqefWm6xvoCt" int2:id="duOEcFxG">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50377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79e7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BE06F6"/>
    <w:rsid w:val="006E7FB6"/>
    <w:rsid w:val="00CFB7A8"/>
    <w:rsid w:val="020F3335"/>
    <w:rsid w:val="0398ECD0"/>
    <w:rsid w:val="052C57ED"/>
    <w:rsid w:val="07B47F0C"/>
    <w:rsid w:val="08F04000"/>
    <w:rsid w:val="0DC54724"/>
    <w:rsid w:val="0F8F6789"/>
    <w:rsid w:val="105C4FC2"/>
    <w:rsid w:val="11080285"/>
    <w:rsid w:val="114744A1"/>
    <w:rsid w:val="1463E817"/>
    <w:rsid w:val="14F30138"/>
    <w:rsid w:val="156D54F3"/>
    <w:rsid w:val="18DC93BE"/>
    <w:rsid w:val="1BB7B4B0"/>
    <w:rsid w:val="1EC3BB18"/>
    <w:rsid w:val="1F310C55"/>
    <w:rsid w:val="1FA60A43"/>
    <w:rsid w:val="219FD793"/>
    <w:rsid w:val="232676E5"/>
    <w:rsid w:val="232676E5"/>
    <w:rsid w:val="235271E5"/>
    <w:rsid w:val="25235F5E"/>
    <w:rsid w:val="25EAFD2F"/>
    <w:rsid w:val="26A14E1D"/>
    <w:rsid w:val="27751FFF"/>
    <w:rsid w:val="29E5E465"/>
    <w:rsid w:val="2D477B74"/>
    <w:rsid w:val="2D477B74"/>
    <w:rsid w:val="2DC557C2"/>
    <w:rsid w:val="2EDFD8BE"/>
    <w:rsid w:val="30763C08"/>
    <w:rsid w:val="31F1490A"/>
    <w:rsid w:val="398331DC"/>
    <w:rsid w:val="3B1CF478"/>
    <w:rsid w:val="3B6D3D8D"/>
    <w:rsid w:val="3BA6C5E5"/>
    <w:rsid w:val="3CC61D2D"/>
    <w:rsid w:val="41BE1399"/>
    <w:rsid w:val="423ACCC0"/>
    <w:rsid w:val="42C278B1"/>
    <w:rsid w:val="45FD28EC"/>
    <w:rsid w:val="4FAFAF5D"/>
    <w:rsid w:val="4FC3C65F"/>
    <w:rsid w:val="52DA4476"/>
    <w:rsid w:val="575AFA10"/>
    <w:rsid w:val="575AFA10"/>
    <w:rsid w:val="575F1538"/>
    <w:rsid w:val="5A88F0F3"/>
    <w:rsid w:val="5AFBEA56"/>
    <w:rsid w:val="5C9114D2"/>
    <w:rsid w:val="5C948A9B"/>
    <w:rsid w:val="5C948A9B"/>
    <w:rsid w:val="5D8056A7"/>
    <w:rsid w:val="5D8056A7"/>
    <w:rsid w:val="5F75F442"/>
    <w:rsid w:val="60D63A1D"/>
    <w:rsid w:val="646688F6"/>
    <w:rsid w:val="6524F462"/>
    <w:rsid w:val="65E0E8EB"/>
    <w:rsid w:val="65FE7E02"/>
    <w:rsid w:val="67BD2797"/>
    <w:rsid w:val="68BF244A"/>
    <w:rsid w:val="69EA497F"/>
    <w:rsid w:val="6A735C5B"/>
    <w:rsid w:val="6A86A6C8"/>
    <w:rsid w:val="6D155E78"/>
    <w:rsid w:val="6FB1D11C"/>
    <w:rsid w:val="72C0ED33"/>
    <w:rsid w:val="72C0ED33"/>
    <w:rsid w:val="72EF08AA"/>
    <w:rsid w:val="72EF08AA"/>
    <w:rsid w:val="77A4672E"/>
    <w:rsid w:val="78A52D9C"/>
    <w:rsid w:val="78BE06F6"/>
    <w:rsid w:val="796F4453"/>
    <w:rsid w:val="79BA12E2"/>
    <w:rsid w:val="79C4724B"/>
    <w:rsid w:val="7A19123E"/>
    <w:rsid w:val="7C1BC70F"/>
    <w:rsid w:val="7DC55F18"/>
    <w:rsid w:val="7DE23AE8"/>
    <w:rsid w:val="7E8A0BE9"/>
    <w:rsid w:val="7EA04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E06F6"/>
  <w15:chartTrackingRefBased/>
  <w15:docId w15:val="{CC0A6794-D03F-4C54-BC37-FF69D84DE5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05C4FC2"/>
    <w:pPr>
      <w:spacing/>
      <w:ind w:left="720"/>
      <w:contextualSpacing/>
    </w:pPr>
  </w:style>
  <w:style w:type="character" w:styleId="Hyperlink">
    <w:uiPriority w:val="99"/>
    <w:name w:val="Hyperlink"/>
    <w:basedOn w:val="DefaultParagraphFont"/>
    <w:unhideWhenUsed/>
    <w:rsid w:val="105C4FC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eds.gov.uk/" TargetMode="External" Id="R0e20dc95014a4e2d" /><Relationship Type="http://schemas.openxmlformats.org/officeDocument/2006/relationships/hyperlink" Target="https://www.nottinghamshire.gov.uk/" TargetMode="External" Id="R21c9703b622d4cc9" /><Relationship Type="http://schemas.openxmlformats.org/officeDocument/2006/relationships/hyperlink" Target="https://www.southwark.gov.uk/" TargetMode="External" Id="Raf8023daf81f48e8" /><Relationship Type="http://schemas.microsoft.com/office/2020/10/relationships/intelligence" Target="/word/intelligence2.xml" Id="R46de237543494012" /><Relationship Type="http://schemas.openxmlformats.org/officeDocument/2006/relationships/numbering" Target="/word/numbering.xml" Id="Rd70797847acc48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Uzma Mehtab (2330366)</dc:creator>
  <keywords/>
  <dc:description/>
  <lastModifiedBy>Uzma Mehtab (2330366)</lastModifiedBy>
  <revision>2</revision>
  <dcterms:created xsi:type="dcterms:W3CDTF">2025-11-23T21:18:24.2624120Z</dcterms:created>
  <dcterms:modified xsi:type="dcterms:W3CDTF">2025-11-23T21:53:59.3224544Z</dcterms:modified>
</coreProperties>
</file>