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7142F" w14:textId="7FCD9E39" w:rsidR="00237B9F" w:rsidRPr="00B91596" w:rsidRDefault="00B91596" w:rsidP="00237B9F">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B91596">
        <w:rPr>
          <w:rFonts w:ascii="Times New Roman" w:eastAsia="Times New Roman" w:hAnsi="Times New Roman" w:cs="Times New Roman"/>
          <w:b/>
          <w:bCs/>
          <w:kern w:val="0"/>
          <w:sz w:val="24"/>
          <w:szCs w:val="24"/>
          <w:lang w:eastAsia="en-GB"/>
          <w14:ligatures w14:val="none"/>
        </w:rPr>
        <w:t>ABDULWAHEED BALOGUN TIJANI</w:t>
      </w:r>
    </w:p>
    <w:p w14:paraId="2AE99FBD" w14:textId="347DE0AF" w:rsidR="00B91596" w:rsidRPr="00B91596" w:rsidRDefault="00B91596" w:rsidP="00237B9F">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B91596">
        <w:rPr>
          <w:rFonts w:ascii="Times New Roman" w:eastAsia="Times New Roman" w:hAnsi="Times New Roman" w:cs="Times New Roman"/>
          <w:b/>
          <w:bCs/>
          <w:kern w:val="0"/>
          <w:sz w:val="24"/>
          <w:szCs w:val="24"/>
          <w:lang w:eastAsia="en-GB"/>
          <w14:ligatures w14:val="none"/>
        </w:rPr>
        <w:t>STUDENT NO: 2323391</w:t>
      </w:r>
    </w:p>
    <w:p w14:paraId="08EE2B59" w14:textId="62542206" w:rsidR="00B91596" w:rsidRDefault="00B91596" w:rsidP="00237B9F">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B91596">
        <w:rPr>
          <w:rFonts w:ascii="Times New Roman" w:eastAsia="Times New Roman" w:hAnsi="Times New Roman" w:cs="Times New Roman"/>
          <w:b/>
          <w:bCs/>
          <w:kern w:val="0"/>
          <w:sz w:val="24"/>
          <w:szCs w:val="24"/>
          <w:lang w:eastAsia="en-GB"/>
          <w14:ligatures w14:val="none"/>
        </w:rPr>
        <w:t>COURSE: LCLM6004</w:t>
      </w:r>
      <w:r w:rsidR="00D81672">
        <w:rPr>
          <w:rFonts w:ascii="Times New Roman" w:eastAsia="Times New Roman" w:hAnsi="Times New Roman" w:cs="Times New Roman"/>
          <w:b/>
          <w:bCs/>
          <w:kern w:val="0"/>
          <w:sz w:val="24"/>
          <w:szCs w:val="24"/>
          <w:lang w:eastAsia="en-GB"/>
          <w14:ligatures w14:val="none"/>
        </w:rPr>
        <w:t xml:space="preserve"> </w:t>
      </w:r>
    </w:p>
    <w:p w14:paraId="20030D38" w14:textId="642EB79A" w:rsidR="00D81672" w:rsidRPr="00B91596" w:rsidRDefault="00D81672" w:rsidP="00237B9F">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LECTURER: </w:t>
      </w:r>
      <w:r w:rsidRPr="00D81672">
        <w:rPr>
          <w:rFonts w:ascii="Times New Roman" w:eastAsia="Times New Roman" w:hAnsi="Times New Roman" w:cs="Times New Roman"/>
          <w:b/>
          <w:bCs/>
          <w:kern w:val="0"/>
          <w:sz w:val="24"/>
          <w:szCs w:val="24"/>
          <w:lang w:eastAsia="en-GB"/>
          <w14:ligatures w14:val="none"/>
        </w:rPr>
        <w:t>Dr. Rameses Manalang</w:t>
      </w:r>
    </w:p>
    <w:p w14:paraId="0CD4FB11" w14:textId="77777777" w:rsidR="00995E45" w:rsidRPr="00105672" w:rsidRDefault="00004885" w:rsidP="00004885">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r w:rsidRPr="00105672">
        <w:rPr>
          <w:rFonts w:ascii="Times New Roman" w:eastAsia="Times New Roman" w:hAnsi="Times New Roman" w:cs="Times New Roman"/>
          <w:b/>
          <w:bCs/>
          <w:kern w:val="36"/>
          <w:sz w:val="24"/>
          <w:szCs w:val="24"/>
          <w:lang w:eastAsia="en-GB"/>
          <w14:ligatures w14:val="none"/>
        </w:rPr>
        <w:t>Investigating the Impact of Emission Issues on Land Rover Range Rover Diesel Vehicles: A Research Proposal Focusing on Sustainability Initiatives</w:t>
      </w:r>
    </w:p>
    <w:p w14:paraId="62D35B5D" w14:textId="7AAD2FE4" w:rsidR="00237B9F" w:rsidRPr="00105672" w:rsidRDefault="00237B9F" w:rsidP="00995E4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 xml:space="preserve"> Introduction</w:t>
      </w:r>
    </w:p>
    <w:p w14:paraId="3CA5CEBC" w14:textId="3025A960" w:rsidR="00995E45" w:rsidRPr="00105672" w:rsidRDefault="00237B9F" w:rsidP="00995E4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The automotive industry has </w:t>
      </w:r>
      <w:r w:rsidR="00D81672">
        <w:rPr>
          <w:rFonts w:ascii="Times New Roman" w:eastAsia="Times New Roman" w:hAnsi="Times New Roman" w:cs="Times New Roman"/>
          <w:kern w:val="0"/>
          <w:sz w:val="24"/>
          <w:szCs w:val="24"/>
          <w:lang w:eastAsia="en-GB"/>
          <w14:ligatures w14:val="none"/>
        </w:rPr>
        <w:t>undergone substantial transformation due to rising environmental concerns, stricter emissions</w:t>
      </w:r>
      <w:r w:rsidRPr="00105672">
        <w:rPr>
          <w:rFonts w:ascii="Times New Roman" w:eastAsia="Times New Roman" w:hAnsi="Times New Roman" w:cs="Times New Roman"/>
          <w:kern w:val="0"/>
          <w:sz w:val="24"/>
          <w:szCs w:val="24"/>
          <w:lang w:eastAsia="en-GB"/>
          <w14:ligatures w14:val="none"/>
        </w:rPr>
        <w:t xml:space="preserve"> regulations, and growing consumer demand for sustainable transport solutions. Manufacturers are under pressure to reduce greenhouse gas emissions while maintaining competitiveness and profitability. For Jaguar Land Rover (JLR), these pressures are particularly significant because diesel-powered Range Rover vehicles have historically contributed to its commercial success. This </w:t>
      </w:r>
      <w:r w:rsidR="00D662E0">
        <w:rPr>
          <w:rFonts w:ascii="Times New Roman" w:eastAsia="Times New Roman" w:hAnsi="Times New Roman" w:cs="Times New Roman"/>
          <w:kern w:val="0"/>
          <w:sz w:val="24"/>
          <w:szCs w:val="24"/>
          <w:lang w:eastAsia="en-GB"/>
          <w14:ligatures w14:val="none"/>
        </w:rPr>
        <w:t>Report</w:t>
      </w:r>
      <w:r w:rsidRPr="00105672">
        <w:rPr>
          <w:rFonts w:ascii="Times New Roman" w:eastAsia="Times New Roman" w:hAnsi="Times New Roman" w:cs="Times New Roman"/>
          <w:kern w:val="0"/>
          <w:sz w:val="24"/>
          <w:szCs w:val="24"/>
          <w:lang w:eastAsia="en-GB"/>
          <w14:ligatures w14:val="none"/>
        </w:rPr>
        <w:t xml:space="preserve"> </w:t>
      </w:r>
      <w:r w:rsidR="00D662E0">
        <w:rPr>
          <w:rFonts w:ascii="Times New Roman" w:eastAsia="Times New Roman" w:hAnsi="Times New Roman" w:cs="Times New Roman"/>
          <w:kern w:val="0"/>
          <w:sz w:val="24"/>
          <w:szCs w:val="24"/>
          <w:lang w:eastAsia="en-GB"/>
          <w14:ligatures w14:val="none"/>
        </w:rPr>
        <w:t xml:space="preserve">will </w:t>
      </w:r>
      <w:r w:rsidRPr="00105672">
        <w:rPr>
          <w:rFonts w:ascii="Times New Roman" w:eastAsia="Times New Roman" w:hAnsi="Times New Roman" w:cs="Times New Roman"/>
          <w:kern w:val="0"/>
          <w:sz w:val="24"/>
          <w:szCs w:val="24"/>
          <w:lang w:eastAsia="en-GB"/>
          <w14:ligatures w14:val="none"/>
        </w:rPr>
        <w:t xml:space="preserve">critically </w:t>
      </w:r>
      <w:r w:rsidR="00D662E0">
        <w:rPr>
          <w:rFonts w:ascii="Times New Roman" w:eastAsia="Times New Roman" w:hAnsi="Times New Roman" w:cs="Times New Roman"/>
          <w:kern w:val="0"/>
          <w:sz w:val="24"/>
          <w:szCs w:val="24"/>
          <w:lang w:eastAsia="en-GB"/>
          <w14:ligatures w14:val="none"/>
        </w:rPr>
        <w:t>evaluate</w:t>
      </w:r>
      <w:r w:rsidRPr="00105672">
        <w:rPr>
          <w:rFonts w:ascii="Times New Roman" w:eastAsia="Times New Roman" w:hAnsi="Times New Roman" w:cs="Times New Roman"/>
          <w:kern w:val="0"/>
          <w:sz w:val="24"/>
          <w:szCs w:val="24"/>
          <w:lang w:eastAsia="en-GB"/>
          <w14:ligatures w14:val="none"/>
        </w:rPr>
        <w:t xml:space="preserve"> existing research relating to diesel vehicle emissions, sustainability strategies, corporate environmental responsibility, and the theoretical frameworks underpinning sustainable business practices. The review also identifies gaps in the </w:t>
      </w:r>
      <w:r w:rsidR="00532209">
        <w:rPr>
          <w:rFonts w:ascii="Times New Roman" w:eastAsia="Times New Roman" w:hAnsi="Times New Roman" w:cs="Times New Roman"/>
          <w:kern w:val="0"/>
          <w:sz w:val="24"/>
          <w:szCs w:val="24"/>
          <w:lang w:eastAsia="en-GB"/>
          <w14:ligatures w14:val="none"/>
        </w:rPr>
        <w:t xml:space="preserve">Report </w:t>
      </w:r>
      <w:r w:rsidRPr="00105672">
        <w:rPr>
          <w:rFonts w:ascii="Times New Roman" w:eastAsia="Times New Roman" w:hAnsi="Times New Roman" w:cs="Times New Roman"/>
          <w:kern w:val="0"/>
          <w:sz w:val="24"/>
          <w:szCs w:val="24"/>
          <w:lang w:eastAsia="en-GB"/>
          <w14:ligatures w14:val="none"/>
        </w:rPr>
        <w:t>that justify the proposed research.</w:t>
      </w:r>
    </w:p>
    <w:p w14:paraId="1DF73C91" w14:textId="03505A53" w:rsidR="00237B9F" w:rsidRPr="00105672" w:rsidRDefault="00237B9F" w:rsidP="00995E4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Diesel Emissions and Environmental Sustainability</w:t>
      </w:r>
    </w:p>
    <w:p w14:paraId="30DB470A"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Diesel engines have traditionally been recognised for their fuel efficiency and lower carbon dioxide (CO₂) emissions compared to petrol engines. However, researchers argue that this advantage is offset by significantly higher emissions of nitrogen oxides (NOx) and particulate matter (PM), both of which have detrimental effects on human health and the environment (European Environment Agency, 2023).</w:t>
      </w:r>
    </w:p>
    <w:p w14:paraId="67412598"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According to the International Energy Agency (2023), road transport accounts for almost one-quarter of global energy-related carbon emissions, making the automotive sector a key contributor to climate change. Diesel vehicles remain a particular concern because NOx emissions contribute to smog formation and poor urban air quality. The Intergovernmental Panel on Climate Change (IPCC, 2023) further argues that reducing transport emissions is essential if countries are to achieve the Paris Agreement objective of limiting global warming to 1.5°C.</w:t>
      </w:r>
    </w:p>
    <w:p w14:paraId="494C25B0"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Nevertheless, some scholars contend that modern diesel technologies incorporating selective catalytic reduction systems and diesel particulate filters have significantly reduced emissions under laboratory conditions (Johnson, 2022). However, this view has been challenged by research demonstrating that real-world driving conditions often produce substantially higher emission levels than regulatory testing environments (Fontaras et al., 2021). This discrepancy highlights the limitations of current testing procedures and suggests that compliance with laboratory standards does not necessarily translate into genuine environmental performance.</w:t>
      </w:r>
    </w:p>
    <w:p w14:paraId="094EB93E"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lastRenderedPageBreak/>
        <w:t>For Jaguar Land Rover, these findings suggest that although technological improvements have enhanced diesel efficiency, concerns regarding real-world emissions continue to undermine the environmental credibility of diesel-powered Range Rover vehicles.</w:t>
      </w:r>
    </w:p>
    <w:p w14:paraId="293C6305" w14:textId="4E7CDED4" w:rsidR="00237B9F" w:rsidRPr="00105672" w:rsidRDefault="00237B9F" w:rsidP="00004885">
      <w:pPr>
        <w:spacing w:after="0"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Sustainability Initiatives within Jaguar Land Rover</w:t>
      </w:r>
    </w:p>
    <w:p w14:paraId="0CAF80A0"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Corporate sustainability has become central to long-term business strategy across the automotive industry. Rather than focusing solely on financial performance, organisations increasingly seek to balance economic growth with environmental protection and social responsibility (Elkington, 1997).</w:t>
      </w:r>
    </w:p>
    <w:p w14:paraId="43E62A61"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Jaguar Land Rover has responded through its </w:t>
      </w:r>
      <w:r w:rsidRPr="00105672">
        <w:rPr>
          <w:rFonts w:ascii="Times New Roman" w:eastAsia="Times New Roman" w:hAnsi="Times New Roman" w:cs="Times New Roman"/>
          <w:b/>
          <w:bCs/>
          <w:kern w:val="0"/>
          <w:sz w:val="24"/>
          <w:szCs w:val="24"/>
          <w:lang w:eastAsia="en-GB"/>
          <w14:ligatures w14:val="none"/>
        </w:rPr>
        <w:t>Reimagine Strategy</w:t>
      </w:r>
      <w:r w:rsidRPr="00105672">
        <w:rPr>
          <w:rFonts w:ascii="Times New Roman" w:eastAsia="Times New Roman" w:hAnsi="Times New Roman" w:cs="Times New Roman"/>
          <w:kern w:val="0"/>
          <w:sz w:val="24"/>
          <w:szCs w:val="24"/>
          <w:lang w:eastAsia="en-GB"/>
          <w14:ligatures w14:val="none"/>
        </w:rPr>
        <w:t>, which aims to reposition the company as a leader in sustainable luxury mobility. The strategy commits the organisation to achieving net-zero carbon emissions across operations, supply chains and products by 2039 while expanding its portfolio of battery electric vehicles and increasing the use of recycled materials (Jaguar Land Rover, 2024).</w:t>
      </w:r>
    </w:p>
    <w:p w14:paraId="6FF4A42D"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Although these initiatives demonstrate strategic commitment, scholars question whether corporate sustainability strategies are always sufficient to offset the environmental impacts associated with existing diesel vehicle fleets (</w:t>
      </w:r>
      <w:proofErr w:type="spellStart"/>
      <w:r w:rsidRPr="00105672">
        <w:rPr>
          <w:rFonts w:ascii="Times New Roman" w:eastAsia="Times New Roman" w:hAnsi="Times New Roman" w:cs="Times New Roman"/>
          <w:kern w:val="0"/>
          <w:sz w:val="24"/>
          <w:szCs w:val="24"/>
          <w:lang w:eastAsia="en-GB"/>
          <w14:ligatures w14:val="none"/>
        </w:rPr>
        <w:t>Bocken</w:t>
      </w:r>
      <w:proofErr w:type="spellEnd"/>
      <w:r w:rsidRPr="00105672">
        <w:rPr>
          <w:rFonts w:ascii="Times New Roman" w:eastAsia="Times New Roman" w:hAnsi="Times New Roman" w:cs="Times New Roman"/>
          <w:kern w:val="0"/>
          <w:sz w:val="24"/>
          <w:szCs w:val="24"/>
          <w:lang w:eastAsia="en-GB"/>
          <w14:ligatures w14:val="none"/>
        </w:rPr>
        <w:t xml:space="preserve"> and Short, 2021). Critics argue that sustainability reports frequently emphasise future ambitions while providing limited evidence regarding the effectiveness of current initiatives.</w:t>
      </w:r>
    </w:p>
    <w:p w14:paraId="174B437E"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Furthermore, Kirchherr et al. (2023) argue that sustainability should not be measured solely by carbon reduction targets but also by lifecycle environmental performance, including manufacturing emissions, supply chain sustainability and vehicle disposal. Consequently, evaluating Jaguar Land Rover's sustainability initiatives requires consideration of the entire vehicle lifecycle rather than focusing exclusively on tailpipe emissions.</w:t>
      </w:r>
    </w:p>
    <w:p w14:paraId="07DDA938" w14:textId="77777777" w:rsidR="00004885" w:rsidRPr="00105672" w:rsidRDefault="00237B9F" w:rsidP="000048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This debate illustrates that while Jaguar Land Rover's sustainability strategy reflects global environmental trends, further research is required to determine whether these initiatives adequately address the legacy environmental challenges associated with diesel-powered Range Rover vehicles.</w:t>
      </w:r>
    </w:p>
    <w:p w14:paraId="0EFCDB62" w14:textId="1E3D8143" w:rsidR="00237B9F" w:rsidRPr="00105672" w:rsidRDefault="00237B9F" w:rsidP="000048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Triple Bottom Line Theory</w:t>
      </w:r>
    </w:p>
    <w:p w14:paraId="1578F620"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The Triple Bottom Line (TBL), developed by Elkington (1997), provides one of the most widely applied frameworks for evaluating corporate sustainability. The theory proposes that organisational success should be measured across three dimensions: economic performance (profit), environmental responsibility (planet), and social wellbeing (people).</w:t>
      </w:r>
    </w:p>
    <w:p w14:paraId="1D2300C7" w14:textId="77777777" w:rsidR="003C60C4" w:rsidRPr="00105672" w:rsidRDefault="00237B9F" w:rsidP="003C60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Applying the TBL framework to Jaguar Land Rover demonstrates both strengths and weaknesses. Economically, diesel-powered Range Rover vehicles have historically generated substantial revenue and strengthened the company's premium market position. Environmentally, however, diesel emissions present ongoing challenges because NOx and particulate matter contribute to pollution despite improvements in fuel efficiency.</w:t>
      </w:r>
      <w:r w:rsidR="003C60C4" w:rsidRPr="00105672">
        <w:rPr>
          <w:rFonts w:ascii="Times New Roman" w:eastAsia="Times New Roman" w:hAnsi="Times New Roman" w:cs="Times New Roman"/>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 xml:space="preserve">Although the Triple Bottom Line remains highly influential, critics argue that it lacks practical guidance regarding how organisations should balance conflicting priorities between profitability and environmental protection (Norman and MacDonald, 2004). This criticism is </w:t>
      </w:r>
      <w:r w:rsidRPr="00105672">
        <w:rPr>
          <w:rFonts w:ascii="Times New Roman" w:eastAsia="Times New Roman" w:hAnsi="Times New Roman" w:cs="Times New Roman"/>
          <w:kern w:val="0"/>
          <w:sz w:val="24"/>
          <w:szCs w:val="24"/>
          <w:lang w:eastAsia="en-GB"/>
          <w14:ligatures w14:val="none"/>
        </w:rPr>
        <w:lastRenderedPageBreak/>
        <w:t>particularly relevant to Jaguar Land Rover, where substantial investment in electric vehicle development may reduce short-term profitability while supporting long-term sustainability.</w:t>
      </w:r>
    </w:p>
    <w:p w14:paraId="10AD4F51" w14:textId="77777777" w:rsidR="00D81672" w:rsidRDefault="00D81672" w:rsidP="003C60C4">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7344DE77" w14:textId="5F851CC3" w:rsidR="00237B9F" w:rsidRPr="00105672" w:rsidRDefault="00237B9F" w:rsidP="003C60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Stakeholder Theory</w:t>
      </w:r>
    </w:p>
    <w:p w14:paraId="33EB3BF5" w14:textId="2D92A628" w:rsidR="00237B9F" w:rsidRPr="00105672" w:rsidRDefault="00237B9F" w:rsidP="009544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Stakeholder Theory, developed by Freeman (1984), argues that organisations must create value for all stakeholders rather than focusing exclusively on shareholders. Stakeholders include customers, employees, suppliers, governments, investors, local communities and environmental groups.</w:t>
      </w:r>
      <w:r w:rsidR="00954423">
        <w:rPr>
          <w:rFonts w:ascii="Times New Roman" w:eastAsia="Times New Roman" w:hAnsi="Times New Roman" w:cs="Times New Roman"/>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Recent research indicates that organisations demonstrating strong environmental performance often enjoy enhanced corporate reputation and greater customer loyalty (Eccles and Klimenko, 2019). Conversely, companies perceived as failing to address sustainability concerns may experience reputational damage, declining sales and reduced investor confidence.</w:t>
      </w:r>
    </w:p>
    <w:p w14:paraId="6F84030A" w14:textId="5E80A692" w:rsidR="00237B9F" w:rsidRPr="00105672" w:rsidRDefault="00237B9F" w:rsidP="00237B9F">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Environmental, Social and Governance (ESG)</w:t>
      </w:r>
    </w:p>
    <w:p w14:paraId="1D2C921B" w14:textId="25D31318" w:rsidR="00237B9F" w:rsidRPr="00105672" w:rsidRDefault="00237B9F" w:rsidP="000048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Environmental, Social and Governance (ESG) frameworks have become increasingly important in evaluating corporate performance beyond financial metrics. Investors now consider ESG performance when assessing long-term organisational resilience (Friede, Busch and Bassen, 2015).</w:t>
      </w:r>
      <w:r w:rsidR="003C60C4" w:rsidRPr="00105672">
        <w:rPr>
          <w:rFonts w:ascii="Times New Roman" w:eastAsia="Times New Roman" w:hAnsi="Times New Roman" w:cs="Times New Roman"/>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Nevertheless, some researchers argue that organisations may engage in "greenwashing" by promoting ambitious sustainability commitments without sufficient evidence of measurable environmental improvement (Delmas and Burbano, 2011). Consequently, future research should critically evaluate whether Jaguar Land Rover's sustainability initiatives represent genuine environmental transformation or primarily serve reputational purposes</w:t>
      </w:r>
    </w:p>
    <w:p w14:paraId="51EDD7E5" w14:textId="1A562598" w:rsidR="00237B9F" w:rsidRPr="00105672" w:rsidRDefault="00237B9F" w:rsidP="00237B9F">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 xml:space="preserve"> Regulatory Pressure and Net Zero </w:t>
      </w:r>
      <w:r w:rsidR="00004885" w:rsidRPr="00105672">
        <w:rPr>
          <w:rFonts w:ascii="Times New Roman" w:eastAsia="Times New Roman" w:hAnsi="Times New Roman" w:cs="Times New Roman"/>
          <w:b/>
          <w:bCs/>
          <w:kern w:val="0"/>
          <w:sz w:val="24"/>
          <w:szCs w:val="24"/>
          <w:lang w:eastAsia="en-GB"/>
          <w14:ligatures w14:val="none"/>
        </w:rPr>
        <w:t>Policy</w:t>
      </w:r>
    </w:p>
    <w:p w14:paraId="2C804DF9"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Government regulation has become a major driver of sustainability within the automotive industry. The UK Government's Net Zero Strategy and the planned phase-out of new petrol and diesel vehicle sales encourage manufacturers to accelerate electrification (Department for Transport, 2023).</w:t>
      </w:r>
    </w:p>
    <w:p w14:paraId="513C24DE"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Similarly, increasingly stringent European Union emission standards require manufacturers to reduce fleet-wide emissions while investing heavily in electric mobility. Failure to comply may result in substantial financial penalties and reputational consequences.</w:t>
      </w:r>
    </w:p>
    <w:p w14:paraId="0B5F4992" w14:textId="77777777" w:rsidR="00237B9F" w:rsidRPr="00105672"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Some researchers argue that regulation stimulates innovation by encouraging investment in cleaner technologies (Porter and van der Linde, 1995). Others contend that excessive regulatory pressure increases production costs and reduces competitiveness, particularly for manufacturers specialising in premium internal combustion vehicles (Sturgeon, Van </w:t>
      </w:r>
      <w:proofErr w:type="spellStart"/>
      <w:r w:rsidRPr="00105672">
        <w:rPr>
          <w:rFonts w:ascii="Times New Roman" w:eastAsia="Times New Roman" w:hAnsi="Times New Roman" w:cs="Times New Roman"/>
          <w:kern w:val="0"/>
          <w:sz w:val="24"/>
          <w:szCs w:val="24"/>
          <w:lang w:eastAsia="en-GB"/>
          <w14:ligatures w14:val="none"/>
        </w:rPr>
        <w:t>Biesebroeck</w:t>
      </w:r>
      <w:proofErr w:type="spellEnd"/>
      <w:r w:rsidRPr="00105672">
        <w:rPr>
          <w:rFonts w:ascii="Times New Roman" w:eastAsia="Times New Roman" w:hAnsi="Times New Roman" w:cs="Times New Roman"/>
          <w:kern w:val="0"/>
          <w:sz w:val="24"/>
          <w:szCs w:val="24"/>
          <w:lang w:eastAsia="en-GB"/>
          <w14:ligatures w14:val="none"/>
        </w:rPr>
        <w:t xml:space="preserve"> and Gereffi, 2008).</w:t>
      </w:r>
    </w:p>
    <w:p w14:paraId="5F525E7E" w14:textId="26218EDD" w:rsidR="00237B9F" w:rsidRPr="00105672" w:rsidRDefault="00237B9F" w:rsidP="00237B9F">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 xml:space="preserve"> Research Gap</w:t>
      </w:r>
    </w:p>
    <w:p w14:paraId="0D0CB62E" w14:textId="74A0E05B" w:rsidR="00237B9F" w:rsidRDefault="00237B9F"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Existing literature provides extensive discussion regarding vehicle emissions, environmental sustainability and electric vehicle adoption. However, comparatively little research specifically investigates how emission issues associated with Range Rover diesel vehicles </w:t>
      </w:r>
      <w:r w:rsidRPr="00105672">
        <w:rPr>
          <w:rFonts w:ascii="Times New Roman" w:eastAsia="Times New Roman" w:hAnsi="Times New Roman" w:cs="Times New Roman"/>
          <w:kern w:val="0"/>
          <w:sz w:val="24"/>
          <w:szCs w:val="24"/>
          <w:lang w:eastAsia="en-GB"/>
          <w14:ligatures w14:val="none"/>
        </w:rPr>
        <w:lastRenderedPageBreak/>
        <w:t>influence Jaguar Land Rover's broader sustainability strategy.</w:t>
      </w:r>
      <w:r w:rsidR="003C60C4" w:rsidRPr="00105672">
        <w:rPr>
          <w:rFonts w:ascii="Times New Roman" w:eastAsia="Times New Roman" w:hAnsi="Times New Roman" w:cs="Times New Roman"/>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 xml:space="preserve">Therefore, this research seeks to address these gaps by critically examining the relationship between diesel emissions, sustainability initiatives and business performance within Jaguar Land Rover. The findings will contribute to both academic understanding and practical decision-making regarding sustainable </w:t>
      </w:r>
    </w:p>
    <w:p w14:paraId="20D03D8D" w14:textId="77777777" w:rsidR="00954423" w:rsidRPr="00105672" w:rsidRDefault="00954423" w:rsidP="00237B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A277999" w14:textId="75C35255" w:rsidR="00136C14" w:rsidRPr="00105672" w:rsidRDefault="00136C14" w:rsidP="00136C14">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r w:rsidRPr="00105672">
        <w:rPr>
          <w:rFonts w:ascii="Times New Roman" w:eastAsia="Times New Roman" w:hAnsi="Times New Roman" w:cs="Times New Roman"/>
          <w:b/>
          <w:bCs/>
          <w:kern w:val="36"/>
          <w:sz w:val="24"/>
          <w:szCs w:val="24"/>
          <w:lang w:eastAsia="en-GB"/>
          <w14:ligatures w14:val="none"/>
        </w:rPr>
        <w:t xml:space="preserve"> Research Methodology</w:t>
      </w:r>
    </w:p>
    <w:p w14:paraId="1770C364" w14:textId="1BEE8A78" w:rsidR="00136C14" w:rsidRPr="00105672" w:rsidRDefault="00136C14" w:rsidP="00136C14">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 xml:space="preserve"> Introduction</w:t>
      </w:r>
    </w:p>
    <w:p w14:paraId="0C7EE664" w14:textId="660CF3E5" w:rsidR="00954423" w:rsidRDefault="00136C14" w:rsidP="009544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 A carefully selected research methodology is essential because it ensures that the research aim and objectives are addressed systematically </w:t>
      </w:r>
      <w:r w:rsidR="00D81672">
        <w:rPr>
          <w:rFonts w:ascii="Times New Roman" w:eastAsia="Times New Roman" w:hAnsi="Times New Roman" w:cs="Times New Roman"/>
          <w:kern w:val="0"/>
          <w:sz w:val="24"/>
          <w:szCs w:val="24"/>
          <w:lang w:eastAsia="en-GB"/>
          <w14:ligatures w14:val="none"/>
        </w:rPr>
        <w:t>and that credible, reliable findings are produced</w:t>
      </w:r>
      <w:r w:rsidRPr="00105672">
        <w:rPr>
          <w:rFonts w:ascii="Times New Roman" w:eastAsia="Times New Roman" w:hAnsi="Times New Roman" w:cs="Times New Roman"/>
          <w:kern w:val="0"/>
          <w:sz w:val="24"/>
          <w:szCs w:val="24"/>
          <w:lang w:eastAsia="en-GB"/>
          <w14:ligatures w14:val="none"/>
        </w:rPr>
        <w:t>. This proposal adopts Saunders et al.'s (2019) Research Onion as the guiding framework for selecting the research philosophy, approach, strategy, data collection methods and analytical techniques.</w:t>
      </w:r>
    </w:p>
    <w:p w14:paraId="463B822D" w14:textId="77777777" w:rsidR="00954423" w:rsidRDefault="00136C14" w:rsidP="009544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Research Philosophy</w:t>
      </w:r>
      <w:r w:rsidR="00954423">
        <w:rPr>
          <w:rFonts w:ascii="Times New Roman" w:eastAsia="Times New Roman" w:hAnsi="Times New Roman" w:cs="Times New Roman"/>
          <w:b/>
          <w:bCs/>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 xml:space="preserve">Research philosophy refers to the beliefs and assumptions that guide the collection, interpretation and analysis of research data (Saunders, Lewis and Thornhill, 2019). The three </w:t>
      </w:r>
      <w:r w:rsidR="00954423" w:rsidRPr="00105672">
        <w:rPr>
          <w:rFonts w:ascii="Times New Roman" w:eastAsia="Times New Roman" w:hAnsi="Times New Roman" w:cs="Times New Roman"/>
          <w:kern w:val="0"/>
          <w:sz w:val="24"/>
          <w:szCs w:val="24"/>
          <w:lang w:eastAsia="en-GB"/>
          <w14:ligatures w14:val="none"/>
        </w:rPr>
        <w:t>most used</w:t>
      </w:r>
      <w:r w:rsidRPr="00105672">
        <w:rPr>
          <w:rFonts w:ascii="Times New Roman" w:eastAsia="Times New Roman" w:hAnsi="Times New Roman" w:cs="Times New Roman"/>
          <w:kern w:val="0"/>
          <w:sz w:val="24"/>
          <w:szCs w:val="24"/>
          <w:lang w:eastAsia="en-GB"/>
          <w14:ligatures w14:val="none"/>
        </w:rPr>
        <w:t xml:space="preserve"> philosophies are positivism, interpretivism and pragmatism.</w:t>
      </w:r>
      <w:r w:rsidR="00954423">
        <w:rPr>
          <w:rFonts w:ascii="Times New Roman" w:eastAsia="Times New Roman" w:hAnsi="Times New Roman" w:cs="Times New Roman"/>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 xml:space="preserve">This research adopts an </w:t>
      </w:r>
      <w:r w:rsidRPr="00105672">
        <w:rPr>
          <w:rFonts w:ascii="Times New Roman" w:eastAsia="Times New Roman" w:hAnsi="Times New Roman" w:cs="Times New Roman"/>
          <w:b/>
          <w:bCs/>
          <w:kern w:val="0"/>
          <w:sz w:val="24"/>
          <w:szCs w:val="24"/>
          <w:lang w:eastAsia="en-GB"/>
          <w14:ligatures w14:val="none"/>
        </w:rPr>
        <w:t>interpretivist philosophy</w:t>
      </w:r>
      <w:r w:rsidRPr="00105672">
        <w:rPr>
          <w:rFonts w:ascii="Times New Roman" w:eastAsia="Times New Roman" w:hAnsi="Times New Roman" w:cs="Times New Roman"/>
          <w:kern w:val="0"/>
          <w:sz w:val="24"/>
          <w:szCs w:val="24"/>
          <w:lang w:eastAsia="en-GB"/>
          <w14:ligatures w14:val="none"/>
        </w:rPr>
        <w:t xml:space="preserve"> because it seeks to understand how emission issues influence Jaguar Land Rover's sustainability strategy rather than measuring emissions quantitatively. Interpretivism is appropriate because sustainability involves organisational decision-making, stakeholder perceptions and strategic responses that cannot be fully explained using numerical data alone.</w:t>
      </w:r>
    </w:p>
    <w:p w14:paraId="758A0C13" w14:textId="41D17F5B" w:rsidR="00136C14" w:rsidRPr="00105672" w:rsidRDefault="00136C14" w:rsidP="003C60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 xml:space="preserve"> Research Approach</w:t>
      </w:r>
      <w:r w:rsidR="00954423">
        <w:rPr>
          <w:rFonts w:ascii="Times New Roman" w:eastAsia="Times New Roman" w:hAnsi="Times New Roman" w:cs="Times New Roman"/>
          <w:b/>
          <w:bCs/>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 xml:space="preserve">Research approaches generally follow either </w:t>
      </w:r>
      <w:r w:rsidRPr="00105672">
        <w:rPr>
          <w:rFonts w:ascii="Times New Roman" w:eastAsia="Times New Roman" w:hAnsi="Times New Roman" w:cs="Times New Roman"/>
          <w:b/>
          <w:bCs/>
          <w:kern w:val="0"/>
          <w:sz w:val="24"/>
          <w:szCs w:val="24"/>
          <w:lang w:eastAsia="en-GB"/>
          <w14:ligatures w14:val="none"/>
        </w:rPr>
        <w:t>deductive</w:t>
      </w:r>
      <w:r w:rsidRPr="00105672">
        <w:rPr>
          <w:rFonts w:ascii="Times New Roman" w:eastAsia="Times New Roman" w:hAnsi="Times New Roman" w:cs="Times New Roman"/>
          <w:kern w:val="0"/>
          <w:sz w:val="24"/>
          <w:szCs w:val="24"/>
          <w:lang w:eastAsia="en-GB"/>
          <w14:ligatures w14:val="none"/>
        </w:rPr>
        <w:t xml:space="preserve"> or </w:t>
      </w:r>
      <w:r w:rsidRPr="00105672">
        <w:rPr>
          <w:rFonts w:ascii="Times New Roman" w:eastAsia="Times New Roman" w:hAnsi="Times New Roman" w:cs="Times New Roman"/>
          <w:b/>
          <w:bCs/>
          <w:kern w:val="0"/>
          <w:sz w:val="24"/>
          <w:szCs w:val="24"/>
          <w:lang w:eastAsia="en-GB"/>
          <w14:ligatures w14:val="none"/>
        </w:rPr>
        <w:t>inductive</w:t>
      </w:r>
      <w:r w:rsidRPr="00105672">
        <w:rPr>
          <w:rFonts w:ascii="Times New Roman" w:eastAsia="Times New Roman" w:hAnsi="Times New Roman" w:cs="Times New Roman"/>
          <w:kern w:val="0"/>
          <w:sz w:val="24"/>
          <w:szCs w:val="24"/>
          <w:lang w:eastAsia="en-GB"/>
          <w14:ligatures w14:val="none"/>
        </w:rPr>
        <w:t xml:space="preserve"> reasoning.</w:t>
      </w:r>
      <w:r w:rsidR="00954423">
        <w:rPr>
          <w:rFonts w:ascii="Times New Roman" w:eastAsia="Times New Roman" w:hAnsi="Times New Roman" w:cs="Times New Roman"/>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A deductive approach tests existing theories using quantitative data, whereas an inductive approach develops understanding through analysing qualitative evidence (Bryman, 2021).</w:t>
      </w:r>
      <w:r w:rsidR="00954423">
        <w:rPr>
          <w:rFonts w:ascii="Times New Roman" w:eastAsia="Times New Roman" w:hAnsi="Times New Roman" w:cs="Times New Roman"/>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 xml:space="preserve">This study adopts an </w:t>
      </w:r>
      <w:r w:rsidRPr="00105672">
        <w:rPr>
          <w:rFonts w:ascii="Times New Roman" w:eastAsia="Times New Roman" w:hAnsi="Times New Roman" w:cs="Times New Roman"/>
          <w:b/>
          <w:bCs/>
          <w:kern w:val="0"/>
          <w:sz w:val="24"/>
          <w:szCs w:val="24"/>
          <w:lang w:eastAsia="en-GB"/>
          <w14:ligatures w14:val="none"/>
        </w:rPr>
        <w:t>inductive approach</w:t>
      </w:r>
      <w:r w:rsidRPr="00105672">
        <w:rPr>
          <w:rFonts w:ascii="Times New Roman" w:eastAsia="Times New Roman" w:hAnsi="Times New Roman" w:cs="Times New Roman"/>
          <w:kern w:val="0"/>
          <w:sz w:val="24"/>
          <w:szCs w:val="24"/>
          <w:lang w:eastAsia="en-GB"/>
          <w14:ligatures w14:val="none"/>
        </w:rPr>
        <w:t xml:space="preserve"> because it aims to develop an in-depth understanding of how Jaguar Land Rover has responded to emission challenges through sustainability initiatives. Rather than testing a predetermined hypothesis, the research will identify recurring themes from existing literature, company reports</w:t>
      </w:r>
      <w:r w:rsidR="003C60C4" w:rsidRPr="00105672">
        <w:rPr>
          <w:rFonts w:ascii="Times New Roman" w:eastAsia="Times New Roman" w:hAnsi="Times New Roman" w:cs="Times New Roman"/>
          <w:kern w:val="0"/>
          <w:sz w:val="24"/>
          <w:szCs w:val="24"/>
          <w:lang w:eastAsia="en-GB"/>
          <w14:ligatures w14:val="none"/>
        </w:rPr>
        <w:t>,</w:t>
      </w:r>
      <w:r w:rsidRPr="00105672">
        <w:rPr>
          <w:rFonts w:ascii="Times New Roman" w:eastAsia="Times New Roman" w:hAnsi="Times New Roman" w:cs="Times New Roman"/>
          <w:kern w:val="0"/>
          <w:sz w:val="24"/>
          <w:szCs w:val="24"/>
          <w:lang w:eastAsia="en-GB"/>
          <w14:ligatures w14:val="none"/>
        </w:rPr>
        <w:t xml:space="preserve"> and policy documents.</w:t>
      </w:r>
    </w:p>
    <w:p w14:paraId="46372BEF" w14:textId="3AAD7A97" w:rsidR="00136C14" w:rsidRPr="00954423" w:rsidRDefault="00136C14" w:rsidP="00954423">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 xml:space="preserve"> Data Collection Method</w:t>
      </w:r>
      <w:r w:rsidR="00954423">
        <w:rPr>
          <w:rFonts w:ascii="Times New Roman" w:eastAsia="Times New Roman" w:hAnsi="Times New Roman" w:cs="Times New Roman"/>
          <w:b/>
          <w:bCs/>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 xml:space="preserve">This research will rely exclusively on </w:t>
      </w:r>
      <w:r w:rsidRPr="00105672">
        <w:rPr>
          <w:rFonts w:ascii="Times New Roman" w:eastAsia="Times New Roman" w:hAnsi="Times New Roman" w:cs="Times New Roman"/>
          <w:b/>
          <w:bCs/>
          <w:kern w:val="0"/>
          <w:sz w:val="24"/>
          <w:szCs w:val="24"/>
          <w:lang w:eastAsia="en-GB"/>
          <w14:ligatures w14:val="none"/>
        </w:rPr>
        <w:t>secondary data</w:t>
      </w:r>
      <w:r w:rsidRPr="00105672">
        <w:rPr>
          <w:rFonts w:ascii="Times New Roman" w:eastAsia="Times New Roman" w:hAnsi="Times New Roman" w:cs="Times New Roman"/>
          <w:kern w:val="0"/>
          <w:sz w:val="24"/>
          <w:szCs w:val="24"/>
          <w:lang w:eastAsia="en-GB"/>
          <w14:ligatures w14:val="none"/>
        </w:rPr>
        <w:t>.</w:t>
      </w:r>
      <w:r w:rsidR="00954423">
        <w:rPr>
          <w:rFonts w:ascii="Times New Roman" w:eastAsia="Times New Roman" w:hAnsi="Times New Roman" w:cs="Times New Roman"/>
          <w:b/>
          <w:bCs/>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Secondary research involves analysing information that has already been collected and published by other organisations and researchers (Saunders et al., 2019).</w:t>
      </w:r>
      <w:r w:rsidR="00954423">
        <w:rPr>
          <w:rFonts w:ascii="Times New Roman" w:eastAsia="Times New Roman" w:hAnsi="Times New Roman" w:cs="Times New Roman"/>
          <w:b/>
          <w:bCs/>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The study will use information obtained from:</w:t>
      </w:r>
    </w:p>
    <w:p w14:paraId="4D9D422B" w14:textId="77777777" w:rsidR="00136C14" w:rsidRPr="00105672" w:rsidRDefault="00136C14" w:rsidP="00136C1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Jaguar Land Rover Annual Reports </w:t>
      </w:r>
    </w:p>
    <w:p w14:paraId="25005D5D" w14:textId="77777777" w:rsidR="00136C14" w:rsidRPr="00105672" w:rsidRDefault="00136C14" w:rsidP="00136C1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Jaguar Land Rover Sustainability Reports </w:t>
      </w:r>
    </w:p>
    <w:p w14:paraId="1A0A8849" w14:textId="77777777" w:rsidR="00136C14" w:rsidRPr="00105672" w:rsidRDefault="00136C14" w:rsidP="00136C1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The Reimagine Strategy </w:t>
      </w:r>
    </w:p>
    <w:p w14:paraId="211B27A5" w14:textId="77777777" w:rsidR="00136C14" w:rsidRPr="00105672" w:rsidRDefault="00136C14" w:rsidP="00136C1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Peer-reviewed academic journals </w:t>
      </w:r>
    </w:p>
    <w:p w14:paraId="29CCB797" w14:textId="77777777" w:rsidR="00136C14" w:rsidRPr="00105672" w:rsidRDefault="00136C14" w:rsidP="00136C1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UK Government publications </w:t>
      </w:r>
    </w:p>
    <w:p w14:paraId="2DABDCBF" w14:textId="77777777" w:rsidR="00136C14" w:rsidRPr="00105672" w:rsidRDefault="00136C14" w:rsidP="00136C1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Department for Transport reports </w:t>
      </w:r>
    </w:p>
    <w:p w14:paraId="35404A67" w14:textId="77777777" w:rsidR="00136C14" w:rsidRPr="00105672" w:rsidRDefault="00136C14" w:rsidP="00136C1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European Environment Agency reports </w:t>
      </w:r>
    </w:p>
    <w:p w14:paraId="7E73220A" w14:textId="77777777" w:rsidR="00136C14" w:rsidRPr="00105672" w:rsidRDefault="00136C14" w:rsidP="00136C1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International Energy Agency publications </w:t>
      </w:r>
    </w:p>
    <w:p w14:paraId="21EDC48F" w14:textId="77777777" w:rsidR="00136C14" w:rsidRPr="00105672" w:rsidRDefault="00136C14" w:rsidP="00136C1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IPCC reports </w:t>
      </w:r>
    </w:p>
    <w:p w14:paraId="399A5D38" w14:textId="77777777" w:rsidR="00136C14" w:rsidRPr="00105672" w:rsidRDefault="00136C14" w:rsidP="00136C1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Society of Motor Manufacturers and Traders (SMMT) </w:t>
      </w:r>
    </w:p>
    <w:p w14:paraId="1CE0AF14" w14:textId="5906DAFF" w:rsidR="00136C14" w:rsidRPr="00954423" w:rsidRDefault="00136C14" w:rsidP="0000488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lastRenderedPageBreak/>
        <w:t xml:space="preserve">Industry publications relating to vehicle emissions </w:t>
      </w:r>
    </w:p>
    <w:p w14:paraId="72A95027" w14:textId="33CD6968" w:rsidR="00136C14" w:rsidRPr="00105672" w:rsidRDefault="00136C14" w:rsidP="00136C14">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 xml:space="preserve"> Sampling Strategy</w:t>
      </w:r>
    </w:p>
    <w:p w14:paraId="21EF2F3B" w14:textId="60E9F45D" w:rsidR="00136C14" w:rsidRPr="00105672" w:rsidRDefault="00136C14" w:rsidP="000048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As this research relies on documentary evidence, </w:t>
      </w:r>
      <w:r w:rsidRPr="00105672">
        <w:rPr>
          <w:rFonts w:ascii="Times New Roman" w:eastAsia="Times New Roman" w:hAnsi="Times New Roman" w:cs="Times New Roman"/>
          <w:b/>
          <w:bCs/>
          <w:kern w:val="0"/>
          <w:sz w:val="24"/>
          <w:szCs w:val="24"/>
          <w:lang w:eastAsia="en-GB"/>
          <w14:ligatures w14:val="none"/>
        </w:rPr>
        <w:t>purposive sampling</w:t>
      </w:r>
      <w:r w:rsidRPr="00105672">
        <w:rPr>
          <w:rFonts w:ascii="Times New Roman" w:eastAsia="Times New Roman" w:hAnsi="Times New Roman" w:cs="Times New Roman"/>
          <w:kern w:val="0"/>
          <w:sz w:val="24"/>
          <w:szCs w:val="24"/>
          <w:lang w:eastAsia="en-GB"/>
          <w14:ligatures w14:val="none"/>
        </w:rPr>
        <w:t xml:space="preserve"> will be employed.</w:t>
      </w:r>
      <w:r w:rsidR="00954423">
        <w:rPr>
          <w:rFonts w:ascii="Times New Roman" w:eastAsia="Times New Roman" w:hAnsi="Times New Roman" w:cs="Times New Roman"/>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Purposive sampling involves selecting information sources based on their relevance to the research objectives rather than random selection (Bell, Bryman and Harley, 2022).</w:t>
      </w:r>
      <w:r w:rsidR="00B91596" w:rsidRPr="00105672">
        <w:rPr>
          <w:rFonts w:ascii="Times New Roman" w:eastAsia="Times New Roman" w:hAnsi="Times New Roman" w:cs="Times New Roman"/>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Academic</w:t>
      </w:r>
      <w:r w:rsidR="00954423">
        <w:rPr>
          <w:rFonts w:ascii="Times New Roman" w:eastAsia="Times New Roman" w:hAnsi="Times New Roman" w:cs="Times New Roman"/>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 xml:space="preserve">journal articles published primarily between </w:t>
      </w:r>
      <w:r w:rsidRPr="00105672">
        <w:rPr>
          <w:rFonts w:ascii="Times New Roman" w:eastAsia="Times New Roman" w:hAnsi="Times New Roman" w:cs="Times New Roman"/>
          <w:b/>
          <w:bCs/>
          <w:kern w:val="0"/>
          <w:sz w:val="24"/>
          <w:szCs w:val="24"/>
          <w:lang w:eastAsia="en-GB"/>
          <w14:ligatures w14:val="none"/>
        </w:rPr>
        <w:t>2020 and 2025</w:t>
      </w:r>
      <w:r w:rsidRPr="00105672">
        <w:rPr>
          <w:rFonts w:ascii="Times New Roman" w:eastAsia="Times New Roman" w:hAnsi="Times New Roman" w:cs="Times New Roman"/>
          <w:kern w:val="0"/>
          <w:sz w:val="24"/>
          <w:szCs w:val="24"/>
          <w:lang w:eastAsia="en-GB"/>
          <w14:ligatures w14:val="none"/>
        </w:rPr>
        <w:t xml:space="preserve"> will be prioritised to ensure that the findings reflect current developments in sustainability and emission regulation.</w:t>
      </w:r>
    </w:p>
    <w:p w14:paraId="6FF3B330" w14:textId="1FB233C7" w:rsidR="00136C14" w:rsidRPr="00105672" w:rsidRDefault="00136C14" w:rsidP="00136C14">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105672">
        <w:rPr>
          <w:rFonts w:ascii="Times New Roman" w:eastAsia="Times New Roman" w:hAnsi="Times New Roman" w:cs="Times New Roman"/>
          <w:b/>
          <w:bCs/>
          <w:kern w:val="0"/>
          <w:sz w:val="24"/>
          <w:szCs w:val="24"/>
          <w:lang w:eastAsia="en-GB"/>
          <w14:ligatures w14:val="none"/>
        </w:rPr>
        <w:t>Data Analysis</w:t>
      </w:r>
    </w:p>
    <w:p w14:paraId="4BA506EA" w14:textId="5229A25E"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The collected information will be analysed using </w:t>
      </w:r>
      <w:r w:rsidRPr="00105672">
        <w:rPr>
          <w:rFonts w:ascii="Times New Roman" w:eastAsia="Times New Roman" w:hAnsi="Times New Roman" w:cs="Times New Roman"/>
          <w:b/>
          <w:bCs/>
          <w:kern w:val="0"/>
          <w:sz w:val="24"/>
          <w:szCs w:val="24"/>
          <w:lang w:eastAsia="en-GB"/>
          <w14:ligatures w14:val="none"/>
        </w:rPr>
        <w:t>thematic analysis</w:t>
      </w:r>
      <w:r w:rsidRPr="00105672">
        <w:rPr>
          <w:rFonts w:ascii="Times New Roman" w:eastAsia="Times New Roman" w:hAnsi="Times New Roman" w:cs="Times New Roman"/>
          <w:kern w:val="0"/>
          <w:sz w:val="24"/>
          <w:szCs w:val="24"/>
          <w:lang w:eastAsia="en-GB"/>
          <w14:ligatures w14:val="none"/>
        </w:rPr>
        <w:t>.</w:t>
      </w:r>
      <w:r w:rsidR="00B91596" w:rsidRPr="00105672">
        <w:rPr>
          <w:rFonts w:ascii="Times New Roman" w:eastAsia="Times New Roman" w:hAnsi="Times New Roman" w:cs="Times New Roman"/>
          <w:kern w:val="0"/>
          <w:sz w:val="24"/>
          <w:szCs w:val="24"/>
          <w:lang w:eastAsia="en-GB"/>
          <w14:ligatures w14:val="none"/>
        </w:rPr>
        <w:t xml:space="preserve"> </w:t>
      </w:r>
      <w:r w:rsidRPr="00105672">
        <w:rPr>
          <w:rFonts w:ascii="Times New Roman" w:eastAsia="Times New Roman" w:hAnsi="Times New Roman" w:cs="Times New Roman"/>
          <w:kern w:val="0"/>
          <w:sz w:val="24"/>
          <w:szCs w:val="24"/>
          <w:lang w:eastAsia="en-GB"/>
          <w14:ligatures w14:val="none"/>
        </w:rPr>
        <w:t>According to Braun and Clarke (2022), thematic analysis enables researchers to identify recurring themes and patterns across qualitative data.</w:t>
      </w:r>
    </w:p>
    <w:p w14:paraId="1507128E"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The analysis will involve six stages:</w:t>
      </w:r>
    </w:p>
    <w:p w14:paraId="4B5F995E" w14:textId="77777777" w:rsidR="00136C14" w:rsidRPr="00105672" w:rsidRDefault="00136C14" w:rsidP="00136C1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Familiarisation with the literature. </w:t>
      </w:r>
    </w:p>
    <w:p w14:paraId="2D8B8570" w14:textId="77777777" w:rsidR="00136C14" w:rsidRPr="00105672" w:rsidRDefault="00136C14" w:rsidP="00136C1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Generating initial codes. </w:t>
      </w:r>
    </w:p>
    <w:p w14:paraId="5C8AEECE" w14:textId="77777777" w:rsidR="00136C14" w:rsidRPr="00105672" w:rsidRDefault="00136C14" w:rsidP="00136C1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Identifying common themes. </w:t>
      </w:r>
    </w:p>
    <w:p w14:paraId="58F83BDC" w14:textId="77777777" w:rsidR="00136C14" w:rsidRPr="00105672" w:rsidRDefault="00136C14" w:rsidP="00136C1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Reviewing the themes. </w:t>
      </w:r>
    </w:p>
    <w:p w14:paraId="461D5DC2" w14:textId="77777777" w:rsidR="00136C14" w:rsidRPr="00105672" w:rsidRDefault="00136C14" w:rsidP="00136C1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Defining and naming themes. </w:t>
      </w:r>
    </w:p>
    <w:p w14:paraId="6FA2B876" w14:textId="77777777" w:rsidR="00136C14" w:rsidRPr="00105672" w:rsidRDefault="00136C14" w:rsidP="00136C1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Producing the final analysis. </w:t>
      </w:r>
    </w:p>
    <w:p w14:paraId="508B70AA"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Potential themes may include:</w:t>
      </w:r>
    </w:p>
    <w:p w14:paraId="106E15E2" w14:textId="77777777" w:rsidR="00136C14" w:rsidRPr="00105672" w:rsidRDefault="00136C14" w:rsidP="00136C1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Environmental impacts of diesel emissions </w:t>
      </w:r>
    </w:p>
    <w:p w14:paraId="6A4A36B2" w14:textId="77777777" w:rsidR="00136C14" w:rsidRPr="00105672" w:rsidRDefault="00136C14" w:rsidP="00136C1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Sustainability strategies </w:t>
      </w:r>
    </w:p>
    <w:p w14:paraId="3C214253" w14:textId="77777777" w:rsidR="00136C14" w:rsidRPr="00105672" w:rsidRDefault="00136C14" w:rsidP="00136C1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Corporate reputation </w:t>
      </w:r>
    </w:p>
    <w:p w14:paraId="62FA4710" w14:textId="77777777" w:rsidR="00136C14" w:rsidRPr="00105672" w:rsidRDefault="00136C14" w:rsidP="00136C1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Regulatory compliance </w:t>
      </w:r>
    </w:p>
    <w:p w14:paraId="368513A5" w14:textId="77777777" w:rsidR="00136C14" w:rsidRPr="00105672" w:rsidRDefault="00136C14" w:rsidP="00136C1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Electrification </w:t>
      </w:r>
    </w:p>
    <w:p w14:paraId="2A4F6AD3" w14:textId="77777777" w:rsidR="00136C14" w:rsidRPr="00105672" w:rsidRDefault="00136C14" w:rsidP="00136C1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Stakeholder expectations </w:t>
      </w:r>
    </w:p>
    <w:p w14:paraId="16002652" w14:textId="1A559537" w:rsidR="00136C14" w:rsidRPr="00105672" w:rsidRDefault="00136C14" w:rsidP="0000488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Net Zero commitments </w:t>
      </w:r>
    </w:p>
    <w:p w14:paraId="2725EB95" w14:textId="08E417A3" w:rsidR="00136C14" w:rsidRPr="00105672" w:rsidRDefault="00136C14" w:rsidP="00136C14">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r w:rsidRPr="00105672">
        <w:rPr>
          <w:rFonts w:ascii="Times New Roman" w:eastAsia="Times New Roman" w:hAnsi="Times New Roman" w:cs="Times New Roman"/>
          <w:b/>
          <w:bCs/>
          <w:kern w:val="36"/>
          <w:sz w:val="24"/>
          <w:szCs w:val="24"/>
          <w:lang w:eastAsia="en-GB"/>
          <w14:ligatures w14:val="none"/>
        </w:rPr>
        <w:t>Business Relevance and Practical Implications</w:t>
      </w:r>
    </w:p>
    <w:p w14:paraId="74CB718B"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The proposed research has significant practical value for Jaguar Land Rover and the wider automotive industry. The findings will help the company evaluate whether its sustainability initiatives effectively address the environmental and reputational challenges associated with diesel-powered Range Rover vehicles. By identifying strengths and weaknesses within the current sustainability strategy, the research can support more informed strategic decision-making regarding electrification, emissions reduction, and compliance with increasingly stringent environmental regulations.</w:t>
      </w:r>
    </w:p>
    <w:p w14:paraId="5E407D99" w14:textId="77777777" w:rsidR="00004885" w:rsidRDefault="00004885"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0E21B1F" w14:textId="77777777" w:rsidR="00532209" w:rsidRDefault="00532209"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8414C3B" w14:textId="77777777" w:rsidR="00532209" w:rsidRPr="00105672" w:rsidRDefault="00532209"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3375913" w14:textId="4F39D205" w:rsidR="00136C14" w:rsidRPr="00105672" w:rsidRDefault="00136C14" w:rsidP="00136C14">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r w:rsidRPr="00105672">
        <w:rPr>
          <w:rFonts w:ascii="Times New Roman" w:eastAsia="Times New Roman" w:hAnsi="Times New Roman" w:cs="Times New Roman"/>
          <w:b/>
          <w:bCs/>
          <w:kern w:val="36"/>
          <w:sz w:val="24"/>
          <w:szCs w:val="24"/>
          <w:lang w:eastAsia="en-GB"/>
          <w14:ligatures w14:val="none"/>
        </w:rPr>
        <w:lastRenderedPageBreak/>
        <w:t>Conclusion</w:t>
      </w:r>
    </w:p>
    <w:p w14:paraId="0D6107BF" w14:textId="610D0203"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The automotive industry is undergoing a significant transition driven by increasing environmental concerns, stricter emission regulations</w:t>
      </w:r>
      <w:r w:rsidR="00D81672">
        <w:rPr>
          <w:rFonts w:ascii="Times New Roman" w:eastAsia="Times New Roman" w:hAnsi="Times New Roman" w:cs="Times New Roman"/>
          <w:kern w:val="0"/>
          <w:sz w:val="24"/>
          <w:szCs w:val="24"/>
          <w:lang w:eastAsia="en-GB"/>
          <w14:ligatures w14:val="none"/>
        </w:rPr>
        <w:t>,</w:t>
      </w:r>
      <w:r w:rsidRPr="00105672">
        <w:rPr>
          <w:rFonts w:ascii="Times New Roman" w:eastAsia="Times New Roman" w:hAnsi="Times New Roman" w:cs="Times New Roman"/>
          <w:kern w:val="0"/>
          <w:sz w:val="24"/>
          <w:szCs w:val="24"/>
          <w:lang w:eastAsia="en-GB"/>
          <w14:ligatures w14:val="none"/>
        </w:rPr>
        <w:t xml:space="preserve"> and the global commitment to achieving net-zero carbon emissions. Diesel-powered vehicles, including Land Rover Range Rover models, have historically offered advantages in fuel efficiency and driving performance. However, concerns surrounding nitrogen </w:t>
      </w:r>
      <w:r w:rsidR="00532209">
        <w:rPr>
          <w:rFonts w:ascii="Times New Roman" w:eastAsia="Times New Roman" w:hAnsi="Times New Roman" w:cs="Times New Roman"/>
          <w:kern w:val="0"/>
          <w:sz w:val="24"/>
          <w:szCs w:val="24"/>
          <w:lang w:eastAsia="en-GB"/>
          <w14:ligatures w14:val="none"/>
        </w:rPr>
        <w:t>oxides</w:t>
      </w:r>
      <w:r w:rsidRPr="00105672">
        <w:rPr>
          <w:rFonts w:ascii="Times New Roman" w:eastAsia="Times New Roman" w:hAnsi="Times New Roman" w:cs="Times New Roman"/>
          <w:kern w:val="0"/>
          <w:sz w:val="24"/>
          <w:szCs w:val="24"/>
          <w:lang w:eastAsia="en-GB"/>
          <w14:ligatures w14:val="none"/>
        </w:rPr>
        <w:t xml:space="preserve"> (NOx) emissions, particulate matter</w:t>
      </w:r>
      <w:r w:rsidR="00532209">
        <w:rPr>
          <w:rFonts w:ascii="Times New Roman" w:eastAsia="Times New Roman" w:hAnsi="Times New Roman" w:cs="Times New Roman"/>
          <w:kern w:val="0"/>
          <w:sz w:val="24"/>
          <w:szCs w:val="24"/>
          <w:lang w:eastAsia="en-GB"/>
          <w14:ligatures w14:val="none"/>
        </w:rPr>
        <w:t>,</w:t>
      </w:r>
      <w:r w:rsidRPr="00105672">
        <w:rPr>
          <w:rFonts w:ascii="Times New Roman" w:eastAsia="Times New Roman" w:hAnsi="Times New Roman" w:cs="Times New Roman"/>
          <w:kern w:val="0"/>
          <w:sz w:val="24"/>
          <w:szCs w:val="24"/>
          <w:lang w:eastAsia="en-GB"/>
          <w14:ligatures w14:val="none"/>
        </w:rPr>
        <w:t xml:space="preserve"> and their contribution to air pollution have challenged the long-term sustainability of diesel technology. Consequently, Jaguar Land Rover faces increasing pressure from governments, investors, customers</w:t>
      </w:r>
      <w:r w:rsidR="00462EC9">
        <w:rPr>
          <w:rFonts w:ascii="Times New Roman" w:eastAsia="Times New Roman" w:hAnsi="Times New Roman" w:cs="Times New Roman"/>
          <w:kern w:val="0"/>
          <w:sz w:val="24"/>
          <w:szCs w:val="24"/>
          <w:lang w:eastAsia="en-GB"/>
          <w14:ligatures w14:val="none"/>
        </w:rPr>
        <w:t>,</w:t>
      </w:r>
      <w:r w:rsidRPr="00105672">
        <w:rPr>
          <w:rFonts w:ascii="Times New Roman" w:eastAsia="Times New Roman" w:hAnsi="Times New Roman" w:cs="Times New Roman"/>
          <w:kern w:val="0"/>
          <w:sz w:val="24"/>
          <w:szCs w:val="24"/>
          <w:lang w:eastAsia="en-GB"/>
          <w14:ligatures w14:val="none"/>
        </w:rPr>
        <w:t xml:space="preserve"> and environmental organisations to reduce emissions while maintaining its reputation as a premium luxury vehicle manufacturer.</w:t>
      </w:r>
    </w:p>
    <w:p w14:paraId="5E72D5B2"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This research proposal has identified the impact of emission issues associated with Range Rover diesel vehicles as a significant business problem affecting Jaguar Land Rover's environmental performance, regulatory compliance, stakeholder confidence and long-term competitiveness. Although the organisation has demonstrated a strong commitment to sustainability through its Reimagine Strategy, investment in electrification and net-zero ambitions, the literature indicates that further research is required to determine the effectiveness of these initiatives in addressing the environmental legacy of diesel-powered vehicles.</w:t>
      </w:r>
    </w:p>
    <w:p w14:paraId="767CE70D"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The literature review critically examined key theories, including the Triple Bottom Line, Stakeholder Theory and Environmental, Social and Governance (ESG) principles, which provide valuable frameworks for understanding how organisations balance environmental responsibility with commercial performance. Existing research demonstrates that sustainability has evolved from a corporate social responsibility initiative into a strategic business imperative that directly influences organisational competitiveness and investor confidence. However, the review also highlighted a lack of research specifically examining how Jaguar Land Rover's sustainability initiatives respond to the emission challenges associated with premium diesel Sport Utility Vehicles.</w:t>
      </w:r>
    </w:p>
    <w:p w14:paraId="30B8D250"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The proposed qualitative methodology, based on secondary data analysis, offers an appropriate approach for investigating the research questions. By analysing peer-reviewed academic literature, official company reports and government publications, the research will provide a comprehensive understanding of Jaguar Land Rover's sustainability strategy and its effectiveness in addressing emission-related challenges. The use of thematic analysis will enable the identification of recurring themes relating to environmental performance, regulatory compliance, stakeholder expectations and strategic transformation.</w:t>
      </w:r>
    </w:p>
    <w:p w14:paraId="46A6CC10" w14:textId="59329B13" w:rsidR="00004885" w:rsidRPr="00105672" w:rsidRDefault="00136C14" w:rsidP="000048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The findings of the proposed research are expected to provide valuable recommendations for Jaguar Land Rover by identifying opportunities to strengthen sustainability initiatives, improve environmental reporting and enhance stakeholder engagement. Furthermore, the study will contribute to the wider academic understanding of sustainability management within the luxury automotive sector during a period of rapid technological and regulatory change.</w:t>
      </w:r>
    </w:p>
    <w:p w14:paraId="4FDDD766" w14:textId="77777777" w:rsidR="00995E45" w:rsidRPr="00105672" w:rsidRDefault="00995E45" w:rsidP="000048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E152F35" w14:textId="77777777" w:rsidR="00532209" w:rsidRDefault="00532209" w:rsidP="00136C14">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p>
    <w:p w14:paraId="314971FF" w14:textId="2F71068E" w:rsidR="00136C14" w:rsidRPr="00105672" w:rsidRDefault="00136C14" w:rsidP="00136C14">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r w:rsidRPr="00105672">
        <w:rPr>
          <w:rFonts w:ascii="Times New Roman" w:eastAsia="Times New Roman" w:hAnsi="Times New Roman" w:cs="Times New Roman"/>
          <w:b/>
          <w:bCs/>
          <w:kern w:val="36"/>
          <w:sz w:val="24"/>
          <w:szCs w:val="24"/>
          <w:lang w:eastAsia="en-GB"/>
          <w14:ligatures w14:val="none"/>
        </w:rPr>
        <w:lastRenderedPageBreak/>
        <w:t xml:space="preserve">References </w:t>
      </w:r>
    </w:p>
    <w:p w14:paraId="69A709EB"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Bell, E., Bryman, A. and Harley, B. (2022) </w:t>
      </w:r>
      <w:r w:rsidRPr="00105672">
        <w:rPr>
          <w:rFonts w:ascii="Times New Roman" w:eastAsia="Times New Roman" w:hAnsi="Times New Roman" w:cs="Times New Roman"/>
          <w:i/>
          <w:iCs/>
          <w:kern w:val="0"/>
          <w:sz w:val="24"/>
          <w:szCs w:val="24"/>
          <w:lang w:eastAsia="en-GB"/>
          <w14:ligatures w14:val="none"/>
        </w:rPr>
        <w:t>Business Research Methods</w:t>
      </w:r>
      <w:r w:rsidRPr="00105672">
        <w:rPr>
          <w:rFonts w:ascii="Times New Roman" w:eastAsia="Times New Roman" w:hAnsi="Times New Roman" w:cs="Times New Roman"/>
          <w:kern w:val="0"/>
          <w:sz w:val="24"/>
          <w:szCs w:val="24"/>
          <w:lang w:eastAsia="en-GB"/>
          <w14:ligatures w14:val="none"/>
        </w:rPr>
        <w:t xml:space="preserve">. 6th </w:t>
      </w:r>
      <w:proofErr w:type="spellStart"/>
      <w:r w:rsidRPr="00105672">
        <w:rPr>
          <w:rFonts w:ascii="Times New Roman" w:eastAsia="Times New Roman" w:hAnsi="Times New Roman" w:cs="Times New Roman"/>
          <w:kern w:val="0"/>
          <w:sz w:val="24"/>
          <w:szCs w:val="24"/>
          <w:lang w:eastAsia="en-GB"/>
          <w14:ligatures w14:val="none"/>
        </w:rPr>
        <w:t>edn</w:t>
      </w:r>
      <w:proofErr w:type="spellEnd"/>
      <w:r w:rsidRPr="00105672">
        <w:rPr>
          <w:rFonts w:ascii="Times New Roman" w:eastAsia="Times New Roman" w:hAnsi="Times New Roman" w:cs="Times New Roman"/>
          <w:kern w:val="0"/>
          <w:sz w:val="24"/>
          <w:szCs w:val="24"/>
          <w:lang w:eastAsia="en-GB"/>
          <w14:ligatures w14:val="none"/>
        </w:rPr>
        <w:t>. Oxford: Oxford University Press.</w:t>
      </w:r>
    </w:p>
    <w:p w14:paraId="483464BF"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105672">
        <w:rPr>
          <w:rFonts w:ascii="Times New Roman" w:eastAsia="Times New Roman" w:hAnsi="Times New Roman" w:cs="Times New Roman"/>
          <w:kern w:val="0"/>
          <w:sz w:val="24"/>
          <w:szCs w:val="24"/>
          <w:lang w:eastAsia="en-GB"/>
          <w14:ligatures w14:val="none"/>
        </w:rPr>
        <w:t>Bocken</w:t>
      </w:r>
      <w:proofErr w:type="spellEnd"/>
      <w:r w:rsidRPr="00105672">
        <w:rPr>
          <w:rFonts w:ascii="Times New Roman" w:eastAsia="Times New Roman" w:hAnsi="Times New Roman" w:cs="Times New Roman"/>
          <w:kern w:val="0"/>
          <w:sz w:val="24"/>
          <w:szCs w:val="24"/>
          <w:lang w:eastAsia="en-GB"/>
          <w14:ligatures w14:val="none"/>
        </w:rPr>
        <w:t xml:space="preserve">, N.M.P. and Short, S.W. (2021) ‘Sustainable business model innovation’, </w:t>
      </w:r>
      <w:r w:rsidRPr="00105672">
        <w:rPr>
          <w:rFonts w:ascii="Times New Roman" w:eastAsia="Times New Roman" w:hAnsi="Times New Roman" w:cs="Times New Roman"/>
          <w:i/>
          <w:iCs/>
          <w:kern w:val="0"/>
          <w:sz w:val="24"/>
          <w:szCs w:val="24"/>
          <w:lang w:eastAsia="en-GB"/>
          <w14:ligatures w14:val="none"/>
        </w:rPr>
        <w:t>Long Range Planning</w:t>
      </w:r>
      <w:r w:rsidRPr="00105672">
        <w:rPr>
          <w:rFonts w:ascii="Times New Roman" w:eastAsia="Times New Roman" w:hAnsi="Times New Roman" w:cs="Times New Roman"/>
          <w:kern w:val="0"/>
          <w:sz w:val="24"/>
          <w:szCs w:val="24"/>
          <w:lang w:eastAsia="en-GB"/>
          <w14:ligatures w14:val="none"/>
        </w:rPr>
        <w:t>, 54(6), pp. 1–16.</w:t>
      </w:r>
    </w:p>
    <w:p w14:paraId="1D09CE34"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Braun, V. and Clarke, V. (2022) </w:t>
      </w:r>
      <w:r w:rsidRPr="00105672">
        <w:rPr>
          <w:rFonts w:ascii="Times New Roman" w:eastAsia="Times New Roman" w:hAnsi="Times New Roman" w:cs="Times New Roman"/>
          <w:i/>
          <w:iCs/>
          <w:kern w:val="0"/>
          <w:sz w:val="24"/>
          <w:szCs w:val="24"/>
          <w:lang w:eastAsia="en-GB"/>
          <w14:ligatures w14:val="none"/>
        </w:rPr>
        <w:t>Thematic Analysis: A Practical Guide</w:t>
      </w:r>
      <w:r w:rsidRPr="00105672">
        <w:rPr>
          <w:rFonts w:ascii="Times New Roman" w:eastAsia="Times New Roman" w:hAnsi="Times New Roman" w:cs="Times New Roman"/>
          <w:kern w:val="0"/>
          <w:sz w:val="24"/>
          <w:szCs w:val="24"/>
          <w:lang w:eastAsia="en-GB"/>
          <w14:ligatures w14:val="none"/>
        </w:rPr>
        <w:t>. London: Sage.</w:t>
      </w:r>
    </w:p>
    <w:p w14:paraId="1C385A10"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Bryman, A. (2021) </w:t>
      </w:r>
      <w:r w:rsidRPr="00105672">
        <w:rPr>
          <w:rFonts w:ascii="Times New Roman" w:eastAsia="Times New Roman" w:hAnsi="Times New Roman" w:cs="Times New Roman"/>
          <w:i/>
          <w:iCs/>
          <w:kern w:val="0"/>
          <w:sz w:val="24"/>
          <w:szCs w:val="24"/>
          <w:lang w:eastAsia="en-GB"/>
          <w14:ligatures w14:val="none"/>
        </w:rPr>
        <w:t>Social Research Methods</w:t>
      </w:r>
      <w:r w:rsidRPr="00105672">
        <w:rPr>
          <w:rFonts w:ascii="Times New Roman" w:eastAsia="Times New Roman" w:hAnsi="Times New Roman" w:cs="Times New Roman"/>
          <w:kern w:val="0"/>
          <w:sz w:val="24"/>
          <w:szCs w:val="24"/>
          <w:lang w:eastAsia="en-GB"/>
          <w14:ligatures w14:val="none"/>
        </w:rPr>
        <w:t xml:space="preserve">. 6th </w:t>
      </w:r>
      <w:proofErr w:type="spellStart"/>
      <w:r w:rsidRPr="00105672">
        <w:rPr>
          <w:rFonts w:ascii="Times New Roman" w:eastAsia="Times New Roman" w:hAnsi="Times New Roman" w:cs="Times New Roman"/>
          <w:kern w:val="0"/>
          <w:sz w:val="24"/>
          <w:szCs w:val="24"/>
          <w:lang w:eastAsia="en-GB"/>
          <w14:ligatures w14:val="none"/>
        </w:rPr>
        <w:t>edn</w:t>
      </w:r>
      <w:proofErr w:type="spellEnd"/>
      <w:r w:rsidRPr="00105672">
        <w:rPr>
          <w:rFonts w:ascii="Times New Roman" w:eastAsia="Times New Roman" w:hAnsi="Times New Roman" w:cs="Times New Roman"/>
          <w:kern w:val="0"/>
          <w:sz w:val="24"/>
          <w:szCs w:val="24"/>
          <w:lang w:eastAsia="en-GB"/>
          <w14:ligatures w14:val="none"/>
        </w:rPr>
        <w:t>. Oxford: Oxford University Press.</w:t>
      </w:r>
    </w:p>
    <w:p w14:paraId="38E3E1FE"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Creswell, J.W. and Creswell, J.D. (2018) </w:t>
      </w:r>
      <w:r w:rsidRPr="00105672">
        <w:rPr>
          <w:rFonts w:ascii="Times New Roman" w:eastAsia="Times New Roman" w:hAnsi="Times New Roman" w:cs="Times New Roman"/>
          <w:i/>
          <w:iCs/>
          <w:kern w:val="0"/>
          <w:sz w:val="24"/>
          <w:szCs w:val="24"/>
          <w:lang w:eastAsia="en-GB"/>
          <w14:ligatures w14:val="none"/>
        </w:rPr>
        <w:t>Research Design: Qualitative, Quantitative and Mixed Methods Approaches</w:t>
      </w:r>
      <w:r w:rsidRPr="00105672">
        <w:rPr>
          <w:rFonts w:ascii="Times New Roman" w:eastAsia="Times New Roman" w:hAnsi="Times New Roman" w:cs="Times New Roman"/>
          <w:kern w:val="0"/>
          <w:sz w:val="24"/>
          <w:szCs w:val="24"/>
          <w:lang w:eastAsia="en-GB"/>
          <w14:ligatures w14:val="none"/>
        </w:rPr>
        <w:t xml:space="preserve">. 5th </w:t>
      </w:r>
      <w:proofErr w:type="spellStart"/>
      <w:r w:rsidRPr="00105672">
        <w:rPr>
          <w:rFonts w:ascii="Times New Roman" w:eastAsia="Times New Roman" w:hAnsi="Times New Roman" w:cs="Times New Roman"/>
          <w:kern w:val="0"/>
          <w:sz w:val="24"/>
          <w:szCs w:val="24"/>
          <w:lang w:eastAsia="en-GB"/>
          <w14:ligatures w14:val="none"/>
        </w:rPr>
        <w:t>edn</w:t>
      </w:r>
      <w:proofErr w:type="spellEnd"/>
      <w:r w:rsidRPr="00105672">
        <w:rPr>
          <w:rFonts w:ascii="Times New Roman" w:eastAsia="Times New Roman" w:hAnsi="Times New Roman" w:cs="Times New Roman"/>
          <w:kern w:val="0"/>
          <w:sz w:val="24"/>
          <w:szCs w:val="24"/>
          <w:lang w:eastAsia="en-GB"/>
          <w14:ligatures w14:val="none"/>
        </w:rPr>
        <w:t>. Thousand Oaks: Sage.</w:t>
      </w:r>
    </w:p>
    <w:p w14:paraId="1961A05F"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Delmas, M.A. and Burbano, V.C. (2011) ‘The drivers of greenwashing’, </w:t>
      </w:r>
      <w:r w:rsidRPr="00105672">
        <w:rPr>
          <w:rFonts w:ascii="Times New Roman" w:eastAsia="Times New Roman" w:hAnsi="Times New Roman" w:cs="Times New Roman"/>
          <w:i/>
          <w:iCs/>
          <w:kern w:val="0"/>
          <w:sz w:val="24"/>
          <w:szCs w:val="24"/>
          <w:lang w:eastAsia="en-GB"/>
          <w14:ligatures w14:val="none"/>
        </w:rPr>
        <w:t>California Management Review</w:t>
      </w:r>
      <w:r w:rsidRPr="00105672">
        <w:rPr>
          <w:rFonts w:ascii="Times New Roman" w:eastAsia="Times New Roman" w:hAnsi="Times New Roman" w:cs="Times New Roman"/>
          <w:kern w:val="0"/>
          <w:sz w:val="24"/>
          <w:szCs w:val="24"/>
          <w:lang w:eastAsia="en-GB"/>
          <w14:ligatures w14:val="none"/>
        </w:rPr>
        <w:t>, 54(1), pp. 64–87.</w:t>
      </w:r>
    </w:p>
    <w:p w14:paraId="515220D8"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Department for Transport (2023) </w:t>
      </w:r>
      <w:r w:rsidRPr="00105672">
        <w:rPr>
          <w:rFonts w:ascii="Times New Roman" w:eastAsia="Times New Roman" w:hAnsi="Times New Roman" w:cs="Times New Roman"/>
          <w:i/>
          <w:iCs/>
          <w:kern w:val="0"/>
          <w:sz w:val="24"/>
          <w:szCs w:val="24"/>
          <w:lang w:eastAsia="en-GB"/>
          <w14:ligatures w14:val="none"/>
        </w:rPr>
        <w:t>Decarbonising Transport: Annual Progress Report</w:t>
      </w:r>
      <w:r w:rsidRPr="00105672">
        <w:rPr>
          <w:rFonts w:ascii="Times New Roman" w:eastAsia="Times New Roman" w:hAnsi="Times New Roman" w:cs="Times New Roman"/>
          <w:kern w:val="0"/>
          <w:sz w:val="24"/>
          <w:szCs w:val="24"/>
          <w:lang w:eastAsia="en-GB"/>
          <w14:ligatures w14:val="none"/>
        </w:rPr>
        <w:t>. London: HMSO.</w:t>
      </w:r>
    </w:p>
    <w:p w14:paraId="56C2F17C"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Eccles, R.G. and Klimenko, S. (2019) ‘The investor revolution’, </w:t>
      </w:r>
      <w:r w:rsidRPr="00105672">
        <w:rPr>
          <w:rFonts w:ascii="Times New Roman" w:eastAsia="Times New Roman" w:hAnsi="Times New Roman" w:cs="Times New Roman"/>
          <w:i/>
          <w:iCs/>
          <w:kern w:val="0"/>
          <w:sz w:val="24"/>
          <w:szCs w:val="24"/>
          <w:lang w:eastAsia="en-GB"/>
          <w14:ligatures w14:val="none"/>
        </w:rPr>
        <w:t>Harvard Business Review</w:t>
      </w:r>
      <w:r w:rsidRPr="00105672">
        <w:rPr>
          <w:rFonts w:ascii="Times New Roman" w:eastAsia="Times New Roman" w:hAnsi="Times New Roman" w:cs="Times New Roman"/>
          <w:kern w:val="0"/>
          <w:sz w:val="24"/>
          <w:szCs w:val="24"/>
          <w:lang w:eastAsia="en-GB"/>
          <w14:ligatures w14:val="none"/>
        </w:rPr>
        <w:t>, 97(3), pp. 106–116.</w:t>
      </w:r>
    </w:p>
    <w:p w14:paraId="0FB6F4EC"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Elkington, J. (1997) </w:t>
      </w:r>
      <w:r w:rsidRPr="00105672">
        <w:rPr>
          <w:rFonts w:ascii="Times New Roman" w:eastAsia="Times New Roman" w:hAnsi="Times New Roman" w:cs="Times New Roman"/>
          <w:i/>
          <w:iCs/>
          <w:kern w:val="0"/>
          <w:sz w:val="24"/>
          <w:szCs w:val="24"/>
          <w:lang w:eastAsia="en-GB"/>
          <w14:ligatures w14:val="none"/>
        </w:rPr>
        <w:t>Cannibals with Forks: The Triple Bottom Line of 21st Century Business</w:t>
      </w:r>
      <w:r w:rsidRPr="00105672">
        <w:rPr>
          <w:rFonts w:ascii="Times New Roman" w:eastAsia="Times New Roman" w:hAnsi="Times New Roman" w:cs="Times New Roman"/>
          <w:kern w:val="0"/>
          <w:sz w:val="24"/>
          <w:szCs w:val="24"/>
          <w:lang w:eastAsia="en-GB"/>
          <w14:ligatures w14:val="none"/>
        </w:rPr>
        <w:t>. Oxford: Capstone.</w:t>
      </w:r>
    </w:p>
    <w:p w14:paraId="78DEB129"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European Environment Agency (2023) </w:t>
      </w:r>
      <w:r w:rsidRPr="00105672">
        <w:rPr>
          <w:rFonts w:ascii="Times New Roman" w:eastAsia="Times New Roman" w:hAnsi="Times New Roman" w:cs="Times New Roman"/>
          <w:i/>
          <w:iCs/>
          <w:kern w:val="0"/>
          <w:sz w:val="24"/>
          <w:szCs w:val="24"/>
          <w:lang w:eastAsia="en-GB"/>
          <w14:ligatures w14:val="none"/>
        </w:rPr>
        <w:t>Air Quality in Europe 2023 Report</w:t>
      </w:r>
      <w:r w:rsidRPr="00105672">
        <w:rPr>
          <w:rFonts w:ascii="Times New Roman" w:eastAsia="Times New Roman" w:hAnsi="Times New Roman" w:cs="Times New Roman"/>
          <w:kern w:val="0"/>
          <w:sz w:val="24"/>
          <w:szCs w:val="24"/>
          <w:lang w:eastAsia="en-GB"/>
          <w14:ligatures w14:val="none"/>
        </w:rPr>
        <w:t>. Luxembourg: Publications Office of the European Union.</w:t>
      </w:r>
    </w:p>
    <w:p w14:paraId="123F7147"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Fontaras, G., </w:t>
      </w:r>
      <w:proofErr w:type="spellStart"/>
      <w:r w:rsidRPr="00105672">
        <w:rPr>
          <w:rFonts w:ascii="Times New Roman" w:eastAsia="Times New Roman" w:hAnsi="Times New Roman" w:cs="Times New Roman"/>
          <w:kern w:val="0"/>
          <w:sz w:val="24"/>
          <w:szCs w:val="24"/>
          <w:lang w:eastAsia="en-GB"/>
          <w14:ligatures w14:val="none"/>
        </w:rPr>
        <w:t>Zacharof</w:t>
      </w:r>
      <w:proofErr w:type="spellEnd"/>
      <w:r w:rsidRPr="00105672">
        <w:rPr>
          <w:rFonts w:ascii="Times New Roman" w:eastAsia="Times New Roman" w:hAnsi="Times New Roman" w:cs="Times New Roman"/>
          <w:kern w:val="0"/>
          <w:sz w:val="24"/>
          <w:szCs w:val="24"/>
          <w:lang w:eastAsia="en-GB"/>
          <w14:ligatures w14:val="none"/>
        </w:rPr>
        <w:t xml:space="preserve">, N. and Ciuffo, B. (2021) ‘Fuel consumption and CO₂ emissions from passenger cars in real-world conditions’, </w:t>
      </w:r>
      <w:r w:rsidRPr="00105672">
        <w:rPr>
          <w:rFonts w:ascii="Times New Roman" w:eastAsia="Times New Roman" w:hAnsi="Times New Roman" w:cs="Times New Roman"/>
          <w:i/>
          <w:iCs/>
          <w:kern w:val="0"/>
          <w:sz w:val="24"/>
          <w:szCs w:val="24"/>
          <w:lang w:eastAsia="en-GB"/>
          <w14:ligatures w14:val="none"/>
        </w:rPr>
        <w:t>Transportation Research Part D</w:t>
      </w:r>
      <w:r w:rsidRPr="00105672">
        <w:rPr>
          <w:rFonts w:ascii="Times New Roman" w:eastAsia="Times New Roman" w:hAnsi="Times New Roman" w:cs="Times New Roman"/>
          <w:kern w:val="0"/>
          <w:sz w:val="24"/>
          <w:szCs w:val="24"/>
          <w:lang w:eastAsia="en-GB"/>
          <w14:ligatures w14:val="none"/>
        </w:rPr>
        <w:t>, 94, pp. 1–15.</w:t>
      </w:r>
    </w:p>
    <w:p w14:paraId="26E95C2E"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Freeman, R.E. (1984) </w:t>
      </w:r>
      <w:r w:rsidRPr="00105672">
        <w:rPr>
          <w:rFonts w:ascii="Times New Roman" w:eastAsia="Times New Roman" w:hAnsi="Times New Roman" w:cs="Times New Roman"/>
          <w:i/>
          <w:iCs/>
          <w:kern w:val="0"/>
          <w:sz w:val="24"/>
          <w:szCs w:val="24"/>
          <w:lang w:eastAsia="en-GB"/>
          <w14:ligatures w14:val="none"/>
        </w:rPr>
        <w:t>Strategic Management: A Stakeholder Approach</w:t>
      </w:r>
      <w:r w:rsidRPr="00105672">
        <w:rPr>
          <w:rFonts w:ascii="Times New Roman" w:eastAsia="Times New Roman" w:hAnsi="Times New Roman" w:cs="Times New Roman"/>
          <w:kern w:val="0"/>
          <w:sz w:val="24"/>
          <w:szCs w:val="24"/>
          <w:lang w:eastAsia="en-GB"/>
          <w14:ligatures w14:val="none"/>
        </w:rPr>
        <w:t>. Boston: Pitman.</w:t>
      </w:r>
    </w:p>
    <w:p w14:paraId="61820AB4"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Friede, G., Busch, T. and Bassen, A. (2015) ‘ESG and financial performance: Aggregated evidence from more than 2,000 empirical studies’, </w:t>
      </w:r>
      <w:r w:rsidRPr="00105672">
        <w:rPr>
          <w:rFonts w:ascii="Times New Roman" w:eastAsia="Times New Roman" w:hAnsi="Times New Roman" w:cs="Times New Roman"/>
          <w:i/>
          <w:iCs/>
          <w:kern w:val="0"/>
          <w:sz w:val="24"/>
          <w:szCs w:val="24"/>
          <w:lang w:eastAsia="en-GB"/>
          <w14:ligatures w14:val="none"/>
        </w:rPr>
        <w:t>Journal of Sustainable Finance &amp; Investment</w:t>
      </w:r>
      <w:r w:rsidRPr="00105672">
        <w:rPr>
          <w:rFonts w:ascii="Times New Roman" w:eastAsia="Times New Roman" w:hAnsi="Times New Roman" w:cs="Times New Roman"/>
          <w:kern w:val="0"/>
          <w:sz w:val="24"/>
          <w:szCs w:val="24"/>
          <w:lang w:eastAsia="en-GB"/>
          <w14:ligatures w14:val="none"/>
        </w:rPr>
        <w:t>, 5(4), pp. 210–233.</w:t>
      </w:r>
    </w:p>
    <w:p w14:paraId="54E18BDB"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Intergovernmental Panel on Climate Change (IPCC) (2023) </w:t>
      </w:r>
      <w:r w:rsidRPr="00105672">
        <w:rPr>
          <w:rFonts w:ascii="Times New Roman" w:eastAsia="Times New Roman" w:hAnsi="Times New Roman" w:cs="Times New Roman"/>
          <w:i/>
          <w:iCs/>
          <w:kern w:val="0"/>
          <w:sz w:val="24"/>
          <w:szCs w:val="24"/>
          <w:lang w:eastAsia="en-GB"/>
          <w14:ligatures w14:val="none"/>
        </w:rPr>
        <w:t>AR6 Synthesis Report: Climate Change 2023</w:t>
      </w:r>
      <w:r w:rsidRPr="00105672">
        <w:rPr>
          <w:rFonts w:ascii="Times New Roman" w:eastAsia="Times New Roman" w:hAnsi="Times New Roman" w:cs="Times New Roman"/>
          <w:kern w:val="0"/>
          <w:sz w:val="24"/>
          <w:szCs w:val="24"/>
          <w:lang w:eastAsia="en-GB"/>
          <w14:ligatures w14:val="none"/>
        </w:rPr>
        <w:t>. Geneva: IPCC.</w:t>
      </w:r>
    </w:p>
    <w:p w14:paraId="6BBF430C"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International Energy Agency (2023) </w:t>
      </w:r>
      <w:r w:rsidRPr="00105672">
        <w:rPr>
          <w:rFonts w:ascii="Times New Roman" w:eastAsia="Times New Roman" w:hAnsi="Times New Roman" w:cs="Times New Roman"/>
          <w:i/>
          <w:iCs/>
          <w:kern w:val="0"/>
          <w:sz w:val="24"/>
          <w:szCs w:val="24"/>
          <w:lang w:eastAsia="en-GB"/>
          <w14:ligatures w14:val="none"/>
        </w:rPr>
        <w:t>Global EV Outlook 2023</w:t>
      </w:r>
      <w:r w:rsidRPr="00105672">
        <w:rPr>
          <w:rFonts w:ascii="Times New Roman" w:eastAsia="Times New Roman" w:hAnsi="Times New Roman" w:cs="Times New Roman"/>
          <w:kern w:val="0"/>
          <w:sz w:val="24"/>
          <w:szCs w:val="24"/>
          <w:lang w:eastAsia="en-GB"/>
          <w14:ligatures w14:val="none"/>
        </w:rPr>
        <w:t>. Paris: IEA.</w:t>
      </w:r>
    </w:p>
    <w:p w14:paraId="237C122E"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Jaguar Land Rover (2024) </w:t>
      </w:r>
      <w:r w:rsidRPr="00105672">
        <w:rPr>
          <w:rFonts w:ascii="Times New Roman" w:eastAsia="Times New Roman" w:hAnsi="Times New Roman" w:cs="Times New Roman"/>
          <w:i/>
          <w:iCs/>
          <w:kern w:val="0"/>
          <w:sz w:val="24"/>
          <w:szCs w:val="24"/>
          <w:lang w:eastAsia="en-GB"/>
          <w14:ligatures w14:val="none"/>
        </w:rPr>
        <w:t>Sustainability Progress Report 2024</w:t>
      </w:r>
      <w:r w:rsidRPr="00105672">
        <w:rPr>
          <w:rFonts w:ascii="Times New Roman" w:eastAsia="Times New Roman" w:hAnsi="Times New Roman" w:cs="Times New Roman"/>
          <w:kern w:val="0"/>
          <w:sz w:val="24"/>
          <w:szCs w:val="24"/>
          <w:lang w:eastAsia="en-GB"/>
          <w14:ligatures w14:val="none"/>
        </w:rPr>
        <w:t>. Coventry: Jaguar Land Rover.</w:t>
      </w:r>
    </w:p>
    <w:p w14:paraId="69D23B10"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Jaguar Land Rover (2024) </w:t>
      </w:r>
      <w:r w:rsidRPr="00105672">
        <w:rPr>
          <w:rFonts w:ascii="Times New Roman" w:eastAsia="Times New Roman" w:hAnsi="Times New Roman" w:cs="Times New Roman"/>
          <w:i/>
          <w:iCs/>
          <w:kern w:val="0"/>
          <w:sz w:val="24"/>
          <w:szCs w:val="24"/>
          <w:lang w:eastAsia="en-GB"/>
          <w14:ligatures w14:val="none"/>
        </w:rPr>
        <w:t>Reimagine Strategy</w:t>
      </w:r>
      <w:r w:rsidRPr="00105672">
        <w:rPr>
          <w:rFonts w:ascii="Times New Roman" w:eastAsia="Times New Roman" w:hAnsi="Times New Roman" w:cs="Times New Roman"/>
          <w:kern w:val="0"/>
          <w:sz w:val="24"/>
          <w:szCs w:val="24"/>
          <w:lang w:eastAsia="en-GB"/>
          <w14:ligatures w14:val="none"/>
        </w:rPr>
        <w:t>. Coventry: Jaguar Land Rover.</w:t>
      </w:r>
    </w:p>
    <w:p w14:paraId="4130B22C"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lastRenderedPageBreak/>
        <w:t xml:space="preserve">Johnson, T.V. (2022) ‘Review of diesel emissions and after-treatment technologies’, </w:t>
      </w:r>
      <w:r w:rsidRPr="00105672">
        <w:rPr>
          <w:rFonts w:ascii="Times New Roman" w:eastAsia="Times New Roman" w:hAnsi="Times New Roman" w:cs="Times New Roman"/>
          <w:i/>
          <w:iCs/>
          <w:kern w:val="0"/>
          <w:sz w:val="24"/>
          <w:szCs w:val="24"/>
          <w:lang w:eastAsia="en-GB"/>
          <w14:ligatures w14:val="none"/>
        </w:rPr>
        <w:t>SAE International Journal of Engines</w:t>
      </w:r>
      <w:r w:rsidRPr="00105672">
        <w:rPr>
          <w:rFonts w:ascii="Times New Roman" w:eastAsia="Times New Roman" w:hAnsi="Times New Roman" w:cs="Times New Roman"/>
          <w:kern w:val="0"/>
          <w:sz w:val="24"/>
          <w:szCs w:val="24"/>
          <w:lang w:eastAsia="en-GB"/>
          <w14:ligatures w14:val="none"/>
        </w:rPr>
        <w:t>, 15(2), pp. 145–162.</w:t>
      </w:r>
    </w:p>
    <w:p w14:paraId="04302844"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Kirchherr, J., </w:t>
      </w:r>
      <w:proofErr w:type="spellStart"/>
      <w:r w:rsidRPr="00105672">
        <w:rPr>
          <w:rFonts w:ascii="Times New Roman" w:eastAsia="Times New Roman" w:hAnsi="Times New Roman" w:cs="Times New Roman"/>
          <w:kern w:val="0"/>
          <w:sz w:val="24"/>
          <w:szCs w:val="24"/>
          <w:lang w:eastAsia="en-GB"/>
          <w14:ligatures w14:val="none"/>
        </w:rPr>
        <w:t>Reike</w:t>
      </w:r>
      <w:proofErr w:type="spellEnd"/>
      <w:r w:rsidRPr="00105672">
        <w:rPr>
          <w:rFonts w:ascii="Times New Roman" w:eastAsia="Times New Roman" w:hAnsi="Times New Roman" w:cs="Times New Roman"/>
          <w:kern w:val="0"/>
          <w:sz w:val="24"/>
          <w:szCs w:val="24"/>
          <w:lang w:eastAsia="en-GB"/>
          <w14:ligatures w14:val="none"/>
        </w:rPr>
        <w:t xml:space="preserve">, D. and Hekkert, M. (2023) ‘Conceptualising the circular economy’, </w:t>
      </w:r>
      <w:r w:rsidRPr="00105672">
        <w:rPr>
          <w:rFonts w:ascii="Times New Roman" w:eastAsia="Times New Roman" w:hAnsi="Times New Roman" w:cs="Times New Roman"/>
          <w:i/>
          <w:iCs/>
          <w:kern w:val="0"/>
          <w:sz w:val="24"/>
          <w:szCs w:val="24"/>
          <w:lang w:eastAsia="en-GB"/>
          <w14:ligatures w14:val="none"/>
        </w:rPr>
        <w:t>Resources, Conservation and Recycling</w:t>
      </w:r>
      <w:r w:rsidRPr="00105672">
        <w:rPr>
          <w:rFonts w:ascii="Times New Roman" w:eastAsia="Times New Roman" w:hAnsi="Times New Roman" w:cs="Times New Roman"/>
          <w:kern w:val="0"/>
          <w:sz w:val="24"/>
          <w:szCs w:val="24"/>
          <w:lang w:eastAsia="en-GB"/>
          <w14:ligatures w14:val="none"/>
        </w:rPr>
        <w:t>, 127, pp. 221–232.</w:t>
      </w:r>
    </w:p>
    <w:p w14:paraId="468569DB"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Norman, W. and MacDonald, C. (2004) ‘Getting to the bottom of the Triple Bottom Line’, </w:t>
      </w:r>
      <w:r w:rsidRPr="00105672">
        <w:rPr>
          <w:rFonts w:ascii="Times New Roman" w:eastAsia="Times New Roman" w:hAnsi="Times New Roman" w:cs="Times New Roman"/>
          <w:i/>
          <w:iCs/>
          <w:kern w:val="0"/>
          <w:sz w:val="24"/>
          <w:szCs w:val="24"/>
          <w:lang w:eastAsia="en-GB"/>
          <w14:ligatures w14:val="none"/>
        </w:rPr>
        <w:t>Business Ethics Quarterly</w:t>
      </w:r>
      <w:r w:rsidRPr="00105672">
        <w:rPr>
          <w:rFonts w:ascii="Times New Roman" w:eastAsia="Times New Roman" w:hAnsi="Times New Roman" w:cs="Times New Roman"/>
          <w:kern w:val="0"/>
          <w:sz w:val="24"/>
          <w:szCs w:val="24"/>
          <w:lang w:eastAsia="en-GB"/>
          <w14:ligatures w14:val="none"/>
        </w:rPr>
        <w:t>, 14(2), pp. 243–262.</w:t>
      </w:r>
    </w:p>
    <w:p w14:paraId="073AD665"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Porter, M.E. and van der Linde, C. (1995) ‘Toward a new conception of the environment–competitiveness relationship’, </w:t>
      </w:r>
      <w:r w:rsidRPr="00105672">
        <w:rPr>
          <w:rFonts w:ascii="Times New Roman" w:eastAsia="Times New Roman" w:hAnsi="Times New Roman" w:cs="Times New Roman"/>
          <w:i/>
          <w:iCs/>
          <w:kern w:val="0"/>
          <w:sz w:val="24"/>
          <w:szCs w:val="24"/>
          <w:lang w:eastAsia="en-GB"/>
          <w14:ligatures w14:val="none"/>
        </w:rPr>
        <w:t>Journal of Economic Perspectives</w:t>
      </w:r>
      <w:r w:rsidRPr="00105672">
        <w:rPr>
          <w:rFonts w:ascii="Times New Roman" w:eastAsia="Times New Roman" w:hAnsi="Times New Roman" w:cs="Times New Roman"/>
          <w:kern w:val="0"/>
          <w:sz w:val="24"/>
          <w:szCs w:val="24"/>
          <w:lang w:eastAsia="en-GB"/>
          <w14:ligatures w14:val="none"/>
        </w:rPr>
        <w:t>, 9(4), pp. 97–118.</w:t>
      </w:r>
    </w:p>
    <w:p w14:paraId="773FA061"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Saunders, M., Lewis, P. and Thornhill, A. (2019) </w:t>
      </w:r>
      <w:r w:rsidRPr="00105672">
        <w:rPr>
          <w:rFonts w:ascii="Times New Roman" w:eastAsia="Times New Roman" w:hAnsi="Times New Roman" w:cs="Times New Roman"/>
          <w:i/>
          <w:iCs/>
          <w:kern w:val="0"/>
          <w:sz w:val="24"/>
          <w:szCs w:val="24"/>
          <w:lang w:eastAsia="en-GB"/>
          <w14:ligatures w14:val="none"/>
        </w:rPr>
        <w:t>Research Methods for Business Students</w:t>
      </w:r>
      <w:r w:rsidRPr="00105672">
        <w:rPr>
          <w:rFonts w:ascii="Times New Roman" w:eastAsia="Times New Roman" w:hAnsi="Times New Roman" w:cs="Times New Roman"/>
          <w:kern w:val="0"/>
          <w:sz w:val="24"/>
          <w:szCs w:val="24"/>
          <w:lang w:eastAsia="en-GB"/>
          <w14:ligatures w14:val="none"/>
        </w:rPr>
        <w:t xml:space="preserve">. 8th </w:t>
      </w:r>
      <w:proofErr w:type="spellStart"/>
      <w:r w:rsidRPr="00105672">
        <w:rPr>
          <w:rFonts w:ascii="Times New Roman" w:eastAsia="Times New Roman" w:hAnsi="Times New Roman" w:cs="Times New Roman"/>
          <w:kern w:val="0"/>
          <w:sz w:val="24"/>
          <w:szCs w:val="24"/>
          <w:lang w:eastAsia="en-GB"/>
          <w14:ligatures w14:val="none"/>
        </w:rPr>
        <w:t>edn</w:t>
      </w:r>
      <w:proofErr w:type="spellEnd"/>
      <w:r w:rsidRPr="00105672">
        <w:rPr>
          <w:rFonts w:ascii="Times New Roman" w:eastAsia="Times New Roman" w:hAnsi="Times New Roman" w:cs="Times New Roman"/>
          <w:kern w:val="0"/>
          <w:sz w:val="24"/>
          <w:szCs w:val="24"/>
          <w:lang w:eastAsia="en-GB"/>
          <w14:ligatures w14:val="none"/>
        </w:rPr>
        <w:t>. Harlow: Pearson Education.</w:t>
      </w:r>
    </w:p>
    <w:p w14:paraId="5EF89236"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Society of Motor Manufacturers and Traders (2024) </w:t>
      </w:r>
      <w:r w:rsidRPr="00105672">
        <w:rPr>
          <w:rFonts w:ascii="Times New Roman" w:eastAsia="Times New Roman" w:hAnsi="Times New Roman" w:cs="Times New Roman"/>
          <w:i/>
          <w:iCs/>
          <w:kern w:val="0"/>
          <w:sz w:val="24"/>
          <w:szCs w:val="24"/>
          <w:lang w:eastAsia="en-GB"/>
          <w14:ligatures w14:val="none"/>
        </w:rPr>
        <w:t>UK Automotive Sustainability Report</w:t>
      </w:r>
      <w:r w:rsidRPr="00105672">
        <w:rPr>
          <w:rFonts w:ascii="Times New Roman" w:eastAsia="Times New Roman" w:hAnsi="Times New Roman" w:cs="Times New Roman"/>
          <w:kern w:val="0"/>
          <w:sz w:val="24"/>
          <w:szCs w:val="24"/>
          <w:lang w:eastAsia="en-GB"/>
          <w14:ligatures w14:val="none"/>
        </w:rPr>
        <w:t>. London: SMMT.</w:t>
      </w:r>
    </w:p>
    <w:p w14:paraId="010E0DE5"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Sturgeon, T., Van Biesebroeck, J. and Gereffi, G. (2008) ‘Value chains, networks and clusters’, </w:t>
      </w:r>
      <w:r w:rsidRPr="00105672">
        <w:rPr>
          <w:rFonts w:ascii="Times New Roman" w:eastAsia="Times New Roman" w:hAnsi="Times New Roman" w:cs="Times New Roman"/>
          <w:i/>
          <w:iCs/>
          <w:kern w:val="0"/>
          <w:sz w:val="24"/>
          <w:szCs w:val="24"/>
          <w:lang w:eastAsia="en-GB"/>
          <w14:ligatures w14:val="none"/>
        </w:rPr>
        <w:t>Journal of Economic Geography</w:t>
      </w:r>
      <w:r w:rsidRPr="00105672">
        <w:rPr>
          <w:rFonts w:ascii="Times New Roman" w:eastAsia="Times New Roman" w:hAnsi="Times New Roman" w:cs="Times New Roman"/>
          <w:kern w:val="0"/>
          <w:sz w:val="24"/>
          <w:szCs w:val="24"/>
          <w:lang w:eastAsia="en-GB"/>
          <w14:ligatures w14:val="none"/>
        </w:rPr>
        <w:t>, 8(3), pp. 297–321.</w:t>
      </w:r>
    </w:p>
    <w:p w14:paraId="1337A95D" w14:textId="77777777"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United Nations (2015) </w:t>
      </w:r>
      <w:r w:rsidRPr="00105672">
        <w:rPr>
          <w:rFonts w:ascii="Times New Roman" w:eastAsia="Times New Roman" w:hAnsi="Times New Roman" w:cs="Times New Roman"/>
          <w:i/>
          <w:iCs/>
          <w:kern w:val="0"/>
          <w:sz w:val="24"/>
          <w:szCs w:val="24"/>
          <w:lang w:eastAsia="en-GB"/>
          <w14:ligatures w14:val="none"/>
        </w:rPr>
        <w:t>Transforming Our World: The 2030 Agenda for Sustainable Development</w:t>
      </w:r>
      <w:r w:rsidRPr="00105672">
        <w:rPr>
          <w:rFonts w:ascii="Times New Roman" w:eastAsia="Times New Roman" w:hAnsi="Times New Roman" w:cs="Times New Roman"/>
          <w:kern w:val="0"/>
          <w:sz w:val="24"/>
          <w:szCs w:val="24"/>
          <w:lang w:eastAsia="en-GB"/>
          <w14:ligatures w14:val="none"/>
        </w:rPr>
        <w:t>. New York: United Nations.</w:t>
      </w:r>
    </w:p>
    <w:p w14:paraId="1E52DD1B" w14:textId="06105889" w:rsidR="00136C14" w:rsidRPr="00105672" w:rsidRDefault="00136C14" w:rsidP="00136C1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05672">
        <w:rPr>
          <w:rFonts w:ascii="Times New Roman" w:eastAsia="Times New Roman" w:hAnsi="Times New Roman" w:cs="Times New Roman"/>
          <w:kern w:val="0"/>
          <w:sz w:val="24"/>
          <w:szCs w:val="24"/>
          <w:lang w:eastAsia="en-GB"/>
          <w14:ligatures w14:val="none"/>
        </w:rPr>
        <w:t xml:space="preserve">World Health Organization (2023) </w:t>
      </w:r>
      <w:r w:rsidRPr="00105672">
        <w:rPr>
          <w:rFonts w:ascii="Times New Roman" w:eastAsia="Times New Roman" w:hAnsi="Times New Roman" w:cs="Times New Roman"/>
          <w:i/>
          <w:iCs/>
          <w:kern w:val="0"/>
          <w:sz w:val="24"/>
          <w:szCs w:val="24"/>
          <w:lang w:eastAsia="en-GB"/>
          <w14:ligatures w14:val="none"/>
        </w:rPr>
        <w:t>Ambient Air Pollution: Health Impacts</w:t>
      </w:r>
      <w:r w:rsidRPr="00105672">
        <w:rPr>
          <w:rFonts w:ascii="Times New Roman" w:eastAsia="Times New Roman" w:hAnsi="Times New Roman" w:cs="Times New Roman"/>
          <w:kern w:val="0"/>
          <w:sz w:val="24"/>
          <w:szCs w:val="24"/>
          <w:lang w:eastAsia="en-GB"/>
          <w14:ligatures w14:val="none"/>
        </w:rPr>
        <w:t>. Geneva: WHO.</w:t>
      </w:r>
    </w:p>
    <w:p w14:paraId="06008B7F" w14:textId="77777777" w:rsidR="00592F19" w:rsidRPr="00105672" w:rsidRDefault="00592F19">
      <w:pPr>
        <w:rPr>
          <w:rFonts w:ascii="Times New Roman" w:hAnsi="Times New Roman" w:cs="Times New Roman"/>
          <w:sz w:val="24"/>
          <w:szCs w:val="24"/>
        </w:rPr>
      </w:pPr>
    </w:p>
    <w:sectPr w:rsidR="00592F19" w:rsidRPr="001056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8219B"/>
    <w:multiLevelType w:val="multilevel"/>
    <w:tmpl w:val="EFA06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153255"/>
    <w:multiLevelType w:val="multilevel"/>
    <w:tmpl w:val="3B80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FC06BB"/>
    <w:multiLevelType w:val="multilevel"/>
    <w:tmpl w:val="A812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7F27CA"/>
    <w:multiLevelType w:val="multilevel"/>
    <w:tmpl w:val="6F22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55281"/>
    <w:multiLevelType w:val="multilevel"/>
    <w:tmpl w:val="BEC0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DC6F94"/>
    <w:multiLevelType w:val="multilevel"/>
    <w:tmpl w:val="8092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2251414">
    <w:abstractNumId w:val="1"/>
  </w:num>
  <w:num w:numId="2" w16cid:durableId="413162295">
    <w:abstractNumId w:val="3"/>
  </w:num>
  <w:num w:numId="3" w16cid:durableId="1985620029">
    <w:abstractNumId w:val="0"/>
  </w:num>
  <w:num w:numId="4" w16cid:durableId="1263107895">
    <w:abstractNumId w:val="5"/>
  </w:num>
  <w:num w:numId="5" w16cid:durableId="1744526109">
    <w:abstractNumId w:val="2"/>
  </w:num>
  <w:num w:numId="6" w16cid:durableId="7386769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14"/>
    <w:rsid w:val="00004885"/>
    <w:rsid w:val="00105672"/>
    <w:rsid w:val="00121DD1"/>
    <w:rsid w:val="00136C14"/>
    <w:rsid w:val="00237B9F"/>
    <w:rsid w:val="00386387"/>
    <w:rsid w:val="003C60C4"/>
    <w:rsid w:val="00462EC9"/>
    <w:rsid w:val="00532209"/>
    <w:rsid w:val="00592F19"/>
    <w:rsid w:val="00775CE6"/>
    <w:rsid w:val="00935B7F"/>
    <w:rsid w:val="00954423"/>
    <w:rsid w:val="00995E45"/>
    <w:rsid w:val="00B91596"/>
    <w:rsid w:val="00D662E0"/>
    <w:rsid w:val="00D81672"/>
    <w:rsid w:val="00E21151"/>
    <w:rsid w:val="00FB5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8899C"/>
  <w15:chartTrackingRefBased/>
  <w15:docId w15:val="{F6553950-996F-441E-8DE0-3793DE095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C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C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C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C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C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C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C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C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C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C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C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C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C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C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C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C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C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C14"/>
    <w:rPr>
      <w:rFonts w:eastAsiaTheme="majorEastAsia" w:cstheme="majorBidi"/>
      <w:color w:val="272727" w:themeColor="text1" w:themeTint="D8"/>
    </w:rPr>
  </w:style>
  <w:style w:type="paragraph" w:styleId="Title">
    <w:name w:val="Title"/>
    <w:basedOn w:val="Normal"/>
    <w:next w:val="Normal"/>
    <w:link w:val="TitleChar"/>
    <w:uiPriority w:val="10"/>
    <w:qFormat/>
    <w:rsid w:val="00136C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C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C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C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C14"/>
    <w:pPr>
      <w:spacing w:before="160"/>
      <w:jc w:val="center"/>
    </w:pPr>
    <w:rPr>
      <w:i/>
      <w:iCs/>
      <w:color w:val="404040" w:themeColor="text1" w:themeTint="BF"/>
    </w:rPr>
  </w:style>
  <w:style w:type="character" w:customStyle="1" w:styleId="QuoteChar">
    <w:name w:val="Quote Char"/>
    <w:basedOn w:val="DefaultParagraphFont"/>
    <w:link w:val="Quote"/>
    <w:uiPriority w:val="29"/>
    <w:rsid w:val="00136C14"/>
    <w:rPr>
      <w:i/>
      <w:iCs/>
      <w:color w:val="404040" w:themeColor="text1" w:themeTint="BF"/>
    </w:rPr>
  </w:style>
  <w:style w:type="paragraph" w:styleId="ListParagraph">
    <w:name w:val="List Paragraph"/>
    <w:basedOn w:val="Normal"/>
    <w:uiPriority w:val="34"/>
    <w:qFormat/>
    <w:rsid w:val="00136C14"/>
    <w:pPr>
      <w:ind w:left="720"/>
      <w:contextualSpacing/>
    </w:pPr>
  </w:style>
  <w:style w:type="character" w:styleId="IntenseEmphasis">
    <w:name w:val="Intense Emphasis"/>
    <w:basedOn w:val="DefaultParagraphFont"/>
    <w:uiPriority w:val="21"/>
    <w:qFormat/>
    <w:rsid w:val="00136C14"/>
    <w:rPr>
      <w:i/>
      <w:iCs/>
      <w:color w:val="0F4761" w:themeColor="accent1" w:themeShade="BF"/>
    </w:rPr>
  </w:style>
  <w:style w:type="paragraph" w:styleId="IntenseQuote">
    <w:name w:val="Intense Quote"/>
    <w:basedOn w:val="Normal"/>
    <w:next w:val="Normal"/>
    <w:link w:val="IntenseQuoteChar"/>
    <w:uiPriority w:val="30"/>
    <w:qFormat/>
    <w:rsid w:val="00136C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C14"/>
    <w:rPr>
      <w:i/>
      <w:iCs/>
      <w:color w:val="0F4761" w:themeColor="accent1" w:themeShade="BF"/>
    </w:rPr>
  </w:style>
  <w:style w:type="character" w:styleId="IntenseReference">
    <w:name w:val="Intense Reference"/>
    <w:basedOn w:val="DefaultParagraphFont"/>
    <w:uiPriority w:val="32"/>
    <w:qFormat/>
    <w:rsid w:val="00136C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8</Pages>
  <Words>2926</Words>
  <Characters>16682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Abdulwaheed Balogun Tijani (2323391)</dc:creator>
  <cp:keywords/>
  <dc:description/>
  <cp:lastModifiedBy>Abdulwaheed Balogun Tijani (2323391)</cp:lastModifiedBy>
  <cp:revision>8</cp:revision>
  <dcterms:created xsi:type="dcterms:W3CDTF">2026-07-11T09:04:00Z</dcterms:created>
  <dcterms:modified xsi:type="dcterms:W3CDTF">2026-07-18T10:22:00Z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41e20436-3da9-49f2-b577-e754b9a0e238</vt:lpwstr>
  </property>
</Properties>
</file>