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A931D" w14:textId="77777777" w:rsidR="00146297" w:rsidRDefault="00146297" w:rsidP="00146297">
      <w:pPr>
        <w:jc w:val="center"/>
        <w:rPr>
          <w:b/>
          <w:bCs/>
          <w:sz w:val="30"/>
          <w:szCs w:val="30"/>
        </w:rPr>
      </w:pPr>
      <w:r w:rsidRPr="00603198">
        <w:rPr>
          <w:b/>
          <w:bCs/>
          <w:sz w:val="30"/>
          <w:szCs w:val="30"/>
        </w:rPr>
        <w:t xml:space="preserve">Ontological and Methodological Foundations for Integrating Data-Driven Analysis and Intelligent Interaction in Virtual </w:t>
      </w:r>
      <w:r>
        <w:rPr>
          <w:rFonts w:hint="eastAsia"/>
          <w:b/>
          <w:bCs/>
          <w:sz w:val="30"/>
          <w:szCs w:val="30"/>
        </w:rPr>
        <w:t xml:space="preserve">   </w:t>
      </w:r>
      <w:r w:rsidRPr="00603198">
        <w:rPr>
          <w:b/>
          <w:bCs/>
          <w:sz w:val="30"/>
          <w:szCs w:val="30"/>
        </w:rPr>
        <w:t>Reality: A UXR Perspective</w:t>
      </w:r>
    </w:p>
    <w:p w14:paraId="083B616B" w14:textId="77777777" w:rsidR="007F6626" w:rsidRDefault="007F6626">
      <w:pPr>
        <w:rPr>
          <w:lang w:val="en-GB"/>
        </w:rPr>
      </w:pPr>
    </w:p>
    <w:p w14:paraId="67BCDDBD" w14:textId="77777777" w:rsidR="00146297" w:rsidRDefault="00146297">
      <w:pPr>
        <w:rPr>
          <w:lang w:val="en-GB"/>
        </w:rPr>
      </w:pPr>
    </w:p>
    <w:p w14:paraId="5D684624" w14:textId="77777777" w:rsidR="00146297" w:rsidRDefault="00146297">
      <w:pPr>
        <w:rPr>
          <w:lang w:val="en-GB"/>
        </w:rPr>
      </w:pPr>
    </w:p>
    <w:p w14:paraId="7FA65BF2" w14:textId="77777777" w:rsidR="00146297" w:rsidRDefault="00146297">
      <w:pPr>
        <w:rPr>
          <w:lang w:val="en-GB"/>
        </w:rPr>
      </w:pPr>
    </w:p>
    <w:p w14:paraId="35CC3996" w14:textId="7F445D73" w:rsidR="00146297" w:rsidRDefault="00146297" w:rsidP="0042700D">
      <w:pPr>
        <w:ind w:firstLineChars="1000" w:firstLine="3000"/>
        <w:rPr>
          <w:b/>
          <w:bCs/>
          <w:sz w:val="30"/>
          <w:szCs w:val="30"/>
        </w:rPr>
      </w:pPr>
      <w:r>
        <w:rPr>
          <w:rFonts w:hint="eastAsia"/>
          <w:b/>
          <w:bCs/>
          <w:sz w:val="30"/>
          <w:szCs w:val="30"/>
        </w:rPr>
        <w:t>INTRODUCTION</w:t>
      </w:r>
    </w:p>
    <w:p w14:paraId="75987971" w14:textId="05CD9680" w:rsidR="0014158A" w:rsidRDefault="00146297" w:rsidP="00146297">
      <w:pPr>
        <w:ind w:firstLineChars="100" w:firstLine="300"/>
        <w:rPr>
          <w:sz w:val="30"/>
          <w:szCs w:val="30"/>
        </w:rPr>
        <w:sectPr w:rsidR="0014158A" w:rsidSect="0014158A">
          <w:endnotePr>
            <w:numFmt w:val="decimal"/>
          </w:endnotePr>
          <w:type w:val="continuous"/>
          <w:pgSz w:w="11906" w:h="16838"/>
          <w:pgMar w:top="1440" w:right="1800" w:bottom="1440" w:left="1800" w:header="851" w:footer="992" w:gutter="0"/>
          <w:cols w:space="425"/>
          <w:docGrid w:type="lines" w:linePitch="312"/>
        </w:sectPr>
      </w:pPr>
      <w:r w:rsidRPr="000122C2">
        <w:rPr>
          <w:sz w:val="30"/>
          <w:szCs w:val="30"/>
        </w:rPr>
        <w:t>In today’s context, Extended Reality (XR) has evolved from a peripheral technology into a central technological hub</w:t>
      </w:r>
      <w:r w:rsidR="0014158A">
        <w:rPr>
          <w:rFonts w:hint="eastAsia"/>
          <w:sz w:val="30"/>
          <w:szCs w:val="30"/>
        </w:rPr>
        <w:t xml:space="preserve"> (</w:t>
      </w:r>
      <w:r w:rsidR="0014158A" w:rsidRPr="0014158A">
        <w:rPr>
          <w:sz w:val="30"/>
          <w:szCs w:val="30"/>
        </w:rPr>
        <w:t>Bauwens</w:t>
      </w:r>
      <w:r w:rsidR="0014158A">
        <w:rPr>
          <w:rFonts w:hint="eastAsia"/>
          <w:sz w:val="30"/>
          <w:szCs w:val="30"/>
        </w:rPr>
        <w:t>.2020)</w:t>
      </w:r>
      <w:r w:rsidRPr="000122C2">
        <w:rPr>
          <w:sz w:val="30"/>
          <w:szCs w:val="30"/>
        </w:rPr>
        <w:t>. Its application areas have gradually expanded from traditional industries such as industrial manufacturing, healthcare, and entertainment to cultural tourism</w:t>
      </w:r>
      <w:r w:rsidR="0014158A">
        <w:rPr>
          <w:rFonts w:hint="eastAsia"/>
          <w:sz w:val="30"/>
          <w:szCs w:val="30"/>
        </w:rPr>
        <w:t>.</w:t>
      </w:r>
      <w:r w:rsidR="0014158A">
        <w:rPr>
          <w:rStyle w:val="a9"/>
          <w:sz w:val="30"/>
          <w:szCs w:val="30"/>
        </w:rPr>
        <w:endnoteReference w:id="1"/>
      </w:r>
    </w:p>
    <w:p w14:paraId="5F95A2D0" w14:textId="388E5221" w:rsidR="00146297" w:rsidRPr="000122C2" w:rsidRDefault="00146297" w:rsidP="0014158A">
      <w:pPr>
        <w:ind w:firstLineChars="100" w:firstLine="300"/>
        <w:rPr>
          <w:sz w:val="30"/>
          <w:szCs w:val="30"/>
        </w:rPr>
      </w:pPr>
      <w:r w:rsidRPr="000122C2">
        <w:rPr>
          <w:sz w:val="30"/>
          <w:szCs w:val="30"/>
        </w:rPr>
        <w:t xml:space="preserve">Within these applications, virtual museums, as a major category in the cultural tourism sector, play critical roles in cultural preservation and education, digital innovation display, and tourism-related economic services. </w:t>
      </w:r>
      <w:r w:rsidR="0014158A">
        <w:rPr>
          <w:rStyle w:val="a9"/>
          <w:sz w:val="30"/>
          <w:szCs w:val="30"/>
        </w:rPr>
        <w:endnoteReference w:id="2"/>
      </w:r>
      <w:r w:rsidR="0014158A">
        <w:rPr>
          <w:rFonts w:hint="eastAsia"/>
          <w:sz w:val="30"/>
          <w:szCs w:val="30"/>
        </w:rPr>
        <w:t>H</w:t>
      </w:r>
      <w:r w:rsidRPr="000122C2">
        <w:rPr>
          <w:sz w:val="30"/>
          <w:szCs w:val="30"/>
        </w:rPr>
        <w:t>owever, a key challenge is how these virtual museums</w:t>
      </w:r>
      <w:r w:rsidR="00E304FE">
        <w:rPr>
          <w:rFonts w:hint="eastAsia"/>
          <w:sz w:val="30"/>
          <w:szCs w:val="30"/>
        </w:rPr>
        <w:t xml:space="preserve"> </w:t>
      </w:r>
      <w:r w:rsidR="0014158A">
        <w:rPr>
          <w:rFonts w:hint="eastAsia"/>
          <w:sz w:val="30"/>
          <w:szCs w:val="30"/>
        </w:rPr>
        <w:t>(</w:t>
      </w:r>
      <w:r w:rsidR="0014158A" w:rsidRPr="0014158A">
        <w:rPr>
          <w:sz w:val="30"/>
          <w:szCs w:val="30"/>
        </w:rPr>
        <w:t>Bowen, J., 2000</w:t>
      </w:r>
      <w:r w:rsidR="0014158A">
        <w:rPr>
          <w:rFonts w:hint="eastAsia"/>
          <w:sz w:val="30"/>
          <w:szCs w:val="30"/>
        </w:rPr>
        <w:t>)</w:t>
      </w:r>
      <w:r w:rsidRPr="000122C2">
        <w:rPr>
          <w:sz w:val="30"/>
          <w:szCs w:val="30"/>
        </w:rPr>
        <w:t xml:space="preserve"> can showcase a large number of cultural artifacts in virtual spaces while transcending the operational methods of traditional museums, providing users and audiences with an intuitive and interactive experience.</w:t>
      </w:r>
      <w:r>
        <w:rPr>
          <w:rStyle w:val="a9"/>
          <w:sz w:val="30"/>
          <w:szCs w:val="30"/>
        </w:rPr>
        <w:endnoteReference w:id="3"/>
      </w:r>
    </w:p>
    <w:p w14:paraId="0A940180" w14:textId="692578A8" w:rsidR="00146297" w:rsidRPr="000122C2" w:rsidRDefault="00146297" w:rsidP="00146297">
      <w:pPr>
        <w:ind w:firstLineChars="100" w:firstLine="300"/>
        <w:rPr>
          <w:sz w:val="30"/>
          <w:szCs w:val="30"/>
        </w:rPr>
      </w:pPr>
      <w:r w:rsidRPr="000122C2">
        <w:rPr>
          <w:sz w:val="30"/>
          <w:szCs w:val="30"/>
        </w:rPr>
        <w:t>The primary objective of this research is to explore, within the context of emerging technologies</w:t>
      </w:r>
      <w:r w:rsidR="0014158A">
        <w:rPr>
          <w:rStyle w:val="a9"/>
          <w:sz w:val="30"/>
          <w:szCs w:val="30"/>
        </w:rPr>
        <w:endnoteReference w:id="4"/>
      </w:r>
      <w:r w:rsidRPr="000122C2">
        <w:rPr>
          <w:sz w:val="30"/>
          <w:szCs w:val="30"/>
        </w:rPr>
        <w:t xml:space="preserve">, how data analysis and model </w:t>
      </w:r>
      <w:r w:rsidRPr="000122C2">
        <w:rPr>
          <w:sz w:val="30"/>
          <w:szCs w:val="30"/>
        </w:rPr>
        <w:lastRenderedPageBreak/>
        <w:t>construction—compared to traditional research methods—can effectively address</w:t>
      </w:r>
      <w:r w:rsidR="0014158A">
        <w:rPr>
          <w:rFonts w:hint="eastAsia"/>
          <w:sz w:val="30"/>
          <w:szCs w:val="30"/>
        </w:rPr>
        <w:t xml:space="preserve"> (</w:t>
      </w:r>
      <w:r w:rsidR="0014158A" w:rsidRPr="0014158A">
        <w:rPr>
          <w:sz w:val="30"/>
          <w:szCs w:val="30"/>
        </w:rPr>
        <w:t>Huhtamo, E., 2013</w:t>
      </w:r>
      <w:r w:rsidR="0014158A">
        <w:rPr>
          <w:rFonts w:hint="eastAsia"/>
          <w:sz w:val="30"/>
          <w:szCs w:val="30"/>
        </w:rPr>
        <w:t>)</w:t>
      </w:r>
      <w:r w:rsidRPr="000122C2">
        <w:rPr>
          <w:sz w:val="30"/>
          <w:szCs w:val="30"/>
        </w:rPr>
        <w:t xml:space="preserve">, regulate, and optimize the challenges associated with virtual museum applications. </w:t>
      </w:r>
      <w:r>
        <w:rPr>
          <w:rStyle w:val="a9"/>
          <w:sz w:val="30"/>
          <w:szCs w:val="30"/>
        </w:rPr>
        <w:endnoteReference w:id="5"/>
      </w:r>
      <w:r w:rsidRPr="000122C2">
        <w:rPr>
          <w:sz w:val="30"/>
          <w:szCs w:val="30"/>
        </w:rPr>
        <w:t>This is particularly relevant when combined with principles of User Experience Research (UXR). Therefore, this study focuses on analyzing the potential of integrating technology with intelligent systems and, under a robust theoretical framework, designing optimized virtual reality environments</w:t>
      </w:r>
      <w:r w:rsidR="0014158A">
        <w:rPr>
          <w:rFonts w:hint="eastAsia"/>
          <w:sz w:val="30"/>
          <w:szCs w:val="30"/>
        </w:rPr>
        <w:t xml:space="preserve"> (</w:t>
      </w:r>
      <w:r w:rsidR="0014158A" w:rsidRPr="0014158A">
        <w:rPr>
          <w:sz w:val="30"/>
          <w:szCs w:val="30"/>
        </w:rPr>
        <w:t>Schweibenz</w:t>
      </w:r>
      <w:r w:rsidR="0014158A">
        <w:rPr>
          <w:rFonts w:hint="eastAsia"/>
          <w:sz w:val="30"/>
          <w:szCs w:val="30"/>
        </w:rPr>
        <w:t xml:space="preserve"> </w:t>
      </w:r>
      <w:r w:rsidR="0014158A" w:rsidRPr="0014158A">
        <w:rPr>
          <w:sz w:val="30"/>
          <w:szCs w:val="30"/>
        </w:rPr>
        <w:t>2004</w:t>
      </w:r>
      <w:r w:rsidR="0014158A">
        <w:rPr>
          <w:rFonts w:hint="eastAsia"/>
          <w:sz w:val="30"/>
          <w:szCs w:val="30"/>
        </w:rPr>
        <w:t>)</w:t>
      </w:r>
      <w:r w:rsidR="0014158A" w:rsidRPr="0014158A">
        <w:rPr>
          <w:sz w:val="30"/>
          <w:szCs w:val="30"/>
        </w:rPr>
        <w:t>. Virtual museums. The Development of Virtual Museums</w:t>
      </w:r>
      <w:r w:rsidR="0014158A" w:rsidRPr="0014158A">
        <w:rPr>
          <w:i/>
          <w:iCs/>
          <w:sz w:val="30"/>
          <w:szCs w:val="30"/>
        </w:rPr>
        <w:t xml:space="preserve">, </w:t>
      </w:r>
      <w:r w:rsidR="0014158A" w:rsidRPr="0014158A">
        <w:rPr>
          <w:sz w:val="30"/>
          <w:szCs w:val="30"/>
        </w:rPr>
        <w:t>ICOM News Magazine,</w:t>
      </w:r>
      <w:r w:rsidRPr="000122C2">
        <w:rPr>
          <w:sz w:val="30"/>
          <w:szCs w:val="30"/>
        </w:rPr>
        <w:t xml:space="preserve"> By addressing this intersection, the research aims to propose a framework that promotes the development of XR/VR/AR applications, prioritizing human experience while harnessing the power of emerging technologies.</w:t>
      </w:r>
      <w:r w:rsidR="0014158A">
        <w:rPr>
          <w:rStyle w:val="a9"/>
          <w:sz w:val="30"/>
          <w:szCs w:val="30"/>
        </w:rPr>
        <w:endnoteReference w:id="6"/>
      </w:r>
    </w:p>
    <w:p w14:paraId="6B0A403F" w14:textId="77777777" w:rsidR="00146297" w:rsidRPr="000122C2" w:rsidRDefault="00146297" w:rsidP="00146297">
      <w:pPr>
        <w:ind w:firstLineChars="100" w:firstLine="300"/>
        <w:rPr>
          <w:sz w:val="30"/>
          <w:szCs w:val="30"/>
        </w:rPr>
      </w:pPr>
      <w:r w:rsidRPr="000122C2">
        <w:rPr>
          <w:sz w:val="30"/>
          <w:szCs w:val="30"/>
        </w:rPr>
        <w:t>The theoretical framework for this research is divided into three main components: ontology, epistemology, and ethical considerations, including user privacy and safety.</w:t>
      </w:r>
      <w:r>
        <w:rPr>
          <w:rFonts w:hint="eastAsia"/>
          <w:sz w:val="30"/>
          <w:szCs w:val="30"/>
        </w:rPr>
        <w:t xml:space="preserve"> </w:t>
      </w:r>
      <w:r>
        <w:rPr>
          <w:sz w:val="30"/>
          <w:szCs w:val="30"/>
        </w:rPr>
        <w:t>T</w:t>
      </w:r>
      <w:r>
        <w:rPr>
          <w:rFonts w:hint="eastAsia"/>
          <w:sz w:val="30"/>
          <w:szCs w:val="30"/>
        </w:rPr>
        <w:t xml:space="preserve">he first on is </w:t>
      </w:r>
      <w:r w:rsidRPr="000122C2">
        <w:rPr>
          <w:sz w:val="30"/>
          <w:szCs w:val="30"/>
        </w:rPr>
        <w:t>Ontology</w:t>
      </w:r>
      <w:r>
        <w:rPr>
          <w:rFonts w:hint="eastAsia"/>
          <w:sz w:val="30"/>
          <w:szCs w:val="30"/>
        </w:rPr>
        <w:t>,</w:t>
      </w:r>
      <w:r w:rsidRPr="000122C2">
        <w:rPr>
          <w:sz w:val="30"/>
          <w:szCs w:val="30"/>
        </w:rPr>
        <w:t xml:space="preserve"> </w:t>
      </w:r>
      <w:r>
        <w:rPr>
          <w:rFonts w:hint="eastAsia"/>
          <w:sz w:val="30"/>
          <w:szCs w:val="30"/>
        </w:rPr>
        <w:t>t</w:t>
      </w:r>
      <w:r w:rsidRPr="000122C2">
        <w:rPr>
          <w:sz w:val="30"/>
          <w:szCs w:val="30"/>
        </w:rPr>
        <w:t>his research aligns with a positivist paradigm while incorporating interpretivist approaches. Positivism is reflected in the empirical data collection and validation methods, whereas interpretivism plays a role in analyzing user behavior and subjective experiences.</w:t>
      </w:r>
    </w:p>
    <w:p w14:paraId="034FAC4C" w14:textId="1084969D" w:rsidR="00146297" w:rsidRDefault="00146297" w:rsidP="00146297">
      <w:pPr>
        <w:ind w:firstLineChars="100" w:firstLine="300"/>
        <w:rPr>
          <w:sz w:val="30"/>
          <w:szCs w:val="30"/>
        </w:rPr>
      </w:pPr>
      <w:r>
        <w:rPr>
          <w:rFonts w:hint="eastAsia"/>
          <w:sz w:val="30"/>
          <w:szCs w:val="30"/>
        </w:rPr>
        <w:t>The second is e</w:t>
      </w:r>
      <w:r w:rsidRPr="000122C2">
        <w:rPr>
          <w:sz w:val="30"/>
          <w:szCs w:val="30"/>
        </w:rPr>
        <w:t>pistemology</w:t>
      </w:r>
      <w:r w:rsidR="00CC6A33">
        <w:rPr>
          <w:rFonts w:hint="eastAsia"/>
          <w:sz w:val="30"/>
          <w:szCs w:val="30"/>
        </w:rPr>
        <w:t>,</w:t>
      </w:r>
      <w:r>
        <w:rPr>
          <w:rFonts w:hint="eastAsia"/>
          <w:sz w:val="30"/>
          <w:szCs w:val="30"/>
        </w:rPr>
        <w:t>because of the</w:t>
      </w:r>
      <w:r w:rsidRPr="000122C2">
        <w:rPr>
          <w:sz w:val="30"/>
          <w:szCs w:val="30"/>
        </w:rPr>
        <w:t xml:space="preserve"> research</w:t>
      </w:r>
      <w:r>
        <w:rPr>
          <w:rFonts w:hint="eastAsia"/>
          <w:sz w:val="30"/>
          <w:szCs w:val="30"/>
        </w:rPr>
        <w:t xml:space="preserve"> mainly</w:t>
      </w:r>
      <w:r w:rsidRPr="000122C2">
        <w:rPr>
          <w:sz w:val="30"/>
          <w:szCs w:val="30"/>
        </w:rPr>
        <w:t xml:space="preserve"> </w:t>
      </w:r>
      <w:r w:rsidRPr="000122C2">
        <w:rPr>
          <w:sz w:val="30"/>
          <w:szCs w:val="30"/>
        </w:rPr>
        <w:lastRenderedPageBreak/>
        <w:t>focuses on analyzing user interaction data, relying on behavioral feedback and the validation of machine learning models derived from these interactions. Therefore, empiricism serves as the primary epistemological foundation. XR technologies rely heavily on immersive user experiences, such as sensory-based interactions where users can observe, move, and solve puzzles to gather contextual story information. From the perspective of situated learning, users (or players) can acquire knowledge through these interactions and provide valuable feedback based on their experiences.</w:t>
      </w:r>
      <w:r w:rsidR="003B0E77">
        <w:rPr>
          <w:rStyle w:val="a9"/>
          <w:sz w:val="30"/>
          <w:szCs w:val="30"/>
        </w:rPr>
        <w:endnoteReference w:id="7"/>
      </w:r>
    </w:p>
    <w:p w14:paraId="22919962" w14:textId="01F5835D" w:rsidR="00146297" w:rsidRPr="000122C2" w:rsidRDefault="00146297" w:rsidP="00146297">
      <w:pPr>
        <w:ind w:firstLineChars="100" w:firstLine="300"/>
        <w:rPr>
          <w:sz w:val="30"/>
          <w:szCs w:val="30"/>
        </w:rPr>
      </w:pPr>
      <w:r>
        <w:rPr>
          <w:rFonts w:hint="eastAsia"/>
          <w:sz w:val="30"/>
          <w:szCs w:val="30"/>
        </w:rPr>
        <w:t>The last one is about e</w:t>
      </w:r>
      <w:r w:rsidRPr="000122C2">
        <w:rPr>
          <w:sz w:val="30"/>
          <w:szCs w:val="30"/>
        </w:rPr>
        <w:t>thics</w:t>
      </w:r>
      <w:r w:rsidR="00656EC3">
        <w:rPr>
          <w:rFonts w:hint="eastAsia"/>
          <w:sz w:val="30"/>
          <w:szCs w:val="30"/>
        </w:rPr>
        <w:t xml:space="preserve"> and the research challenging</w:t>
      </w:r>
      <w:r>
        <w:rPr>
          <w:rFonts w:hint="eastAsia"/>
          <w:sz w:val="30"/>
          <w:szCs w:val="30"/>
        </w:rPr>
        <w:t xml:space="preserve">. </w:t>
      </w:r>
      <w:r w:rsidRPr="000122C2">
        <w:rPr>
          <w:sz w:val="30"/>
          <w:szCs w:val="30"/>
        </w:rPr>
        <w:t>At the ontological level, the research must ensure the authenticity and timeliness of the collected data.</w:t>
      </w:r>
      <w:r>
        <w:rPr>
          <w:rStyle w:val="a9"/>
          <w:sz w:val="30"/>
          <w:szCs w:val="30"/>
        </w:rPr>
        <w:endnoteReference w:id="8"/>
      </w:r>
      <w:r w:rsidRPr="000122C2">
        <w:rPr>
          <w:sz w:val="30"/>
          <w:szCs w:val="30"/>
        </w:rPr>
        <w:t xml:space="preserve"> Epistemologically, it is crucial to account for cognitive differences among users, as varying life experiences and cultural backgrounds may lead to diverse conclusions from the same interaction</w:t>
      </w:r>
      <w:r w:rsidR="003B0E77">
        <w:rPr>
          <w:rFonts w:hint="eastAsia"/>
          <w:sz w:val="30"/>
          <w:szCs w:val="30"/>
        </w:rPr>
        <w:t>(</w:t>
      </w:r>
      <w:r w:rsidR="003B0E77" w:rsidRPr="003B0E77">
        <w:rPr>
          <w:sz w:val="30"/>
          <w:szCs w:val="30"/>
        </w:rPr>
        <w:t>Lee, H.K., Park, S. and Lee, Y., 2022</w:t>
      </w:r>
      <w:r w:rsidR="003B0E77">
        <w:rPr>
          <w:rFonts w:hint="eastAsia"/>
          <w:sz w:val="30"/>
          <w:szCs w:val="30"/>
        </w:rPr>
        <w:t>)</w:t>
      </w:r>
      <w:r w:rsidRPr="000122C2">
        <w:rPr>
          <w:sz w:val="30"/>
          <w:szCs w:val="30"/>
        </w:rPr>
        <w:t>. Ethically, researchers must consider individual differences when using virtual reality as a medium, ensuring that the design appropriately accommodates these variations</w:t>
      </w:r>
      <w:r w:rsidR="003B0E77">
        <w:rPr>
          <w:rStyle w:val="a9"/>
          <w:sz w:val="30"/>
          <w:szCs w:val="30"/>
        </w:rPr>
        <w:endnoteReference w:id="9"/>
      </w:r>
      <w:r w:rsidRPr="000122C2">
        <w:rPr>
          <w:sz w:val="30"/>
          <w:szCs w:val="30"/>
        </w:rPr>
        <w:t>.</w:t>
      </w:r>
    </w:p>
    <w:p w14:paraId="46B5F9CE" w14:textId="4992BC2F" w:rsidR="00146297" w:rsidRPr="000122C2" w:rsidRDefault="00146297" w:rsidP="00146297">
      <w:pPr>
        <w:ind w:firstLineChars="100" w:firstLine="300"/>
        <w:rPr>
          <w:sz w:val="30"/>
          <w:szCs w:val="30"/>
        </w:rPr>
      </w:pPr>
      <w:r w:rsidRPr="000122C2">
        <w:rPr>
          <w:sz w:val="30"/>
          <w:szCs w:val="30"/>
        </w:rPr>
        <w:t xml:space="preserve">This study aims to make </w:t>
      </w:r>
      <w:r>
        <w:rPr>
          <w:rFonts w:hint="eastAsia"/>
          <w:sz w:val="30"/>
          <w:szCs w:val="30"/>
        </w:rPr>
        <w:t>three</w:t>
      </w:r>
      <w:r w:rsidRPr="000122C2">
        <w:rPr>
          <w:sz w:val="30"/>
          <w:szCs w:val="30"/>
        </w:rPr>
        <w:t xml:space="preserve"> significant contributions</w:t>
      </w:r>
      <w:r w:rsidRPr="000122C2">
        <w:rPr>
          <w:rFonts w:hint="eastAsia"/>
          <w:sz w:val="30"/>
          <w:szCs w:val="30"/>
        </w:rPr>
        <w:t>，</w:t>
      </w:r>
      <w:r w:rsidR="003B0E77">
        <w:rPr>
          <w:rFonts w:hint="eastAsia"/>
          <w:sz w:val="30"/>
          <w:szCs w:val="30"/>
        </w:rPr>
        <w:t>(</w:t>
      </w:r>
      <w:r w:rsidR="003B0E77" w:rsidRPr="003B0E77">
        <w:rPr>
          <w:sz w:val="30"/>
          <w:szCs w:val="30"/>
        </w:rPr>
        <w:t>Petridis</w:t>
      </w:r>
      <w:r w:rsidR="003B0E77">
        <w:rPr>
          <w:rFonts w:hint="eastAsia"/>
          <w:sz w:val="30"/>
          <w:szCs w:val="30"/>
        </w:rPr>
        <w:t xml:space="preserve"> .</w:t>
      </w:r>
      <w:r w:rsidR="003B0E77" w:rsidRPr="003B0E77">
        <w:rPr>
          <w:sz w:val="30"/>
          <w:szCs w:val="30"/>
        </w:rPr>
        <w:t>P</w:t>
      </w:r>
      <w:r w:rsidR="003B0E77">
        <w:rPr>
          <w:rFonts w:hint="eastAsia"/>
          <w:sz w:val="30"/>
          <w:szCs w:val="30"/>
        </w:rPr>
        <w:t xml:space="preserve"> 2013) </w:t>
      </w:r>
      <w:r w:rsidRPr="000122C2">
        <w:rPr>
          <w:rFonts w:hint="eastAsia"/>
          <w:sz w:val="30"/>
          <w:szCs w:val="30"/>
        </w:rPr>
        <w:t>the first is c</w:t>
      </w:r>
      <w:r w:rsidRPr="000122C2">
        <w:rPr>
          <w:sz w:val="30"/>
          <w:szCs w:val="30"/>
        </w:rPr>
        <w:t xml:space="preserve">ompared to traditional research approaches that </w:t>
      </w:r>
      <w:r>
        <w:rPr>
          <w:rFonts w:hint="eastAsia"/>
          <w:sz w:val="30"/>
          <w:szCs w:val="30"/>
        </w:rPr>
        <w:t xml:space="preserve">differ to </w:t>
      </w:r>
      <w:r w:rsidRPr="000122C2">
        <w:rPr>
          <w:sz w:val="30"/>
          <w:szCs w:val="30"/>
        </w:rPr>
        <w:t xml:space="preserve">employ constructivist ontologies, this </w:t>
      </w:r>
      <w:r w:rsidRPr="000122C2">
        <w:rPr>
          <w:sz w:val="30"/>
          <w:szCs w:val="30"/>
        </w:rPr>
        <w:lastRenderedPageBreak/>
        <w:t>research emphasizes data-driven to achieve its objectives.</w:t>
      </w:r>
      <w:r>
        <w:rPr>
          <w:rFonts w:hint="eastAsia"/>
          <w:sz w:val="30"/>
          <w:szCs w:val="30"/>
        </w:rPr>
        <w:t xml:space="preserve"> </w:t>
      </w:r>
      <w:r w:rsidR="003B0E77">
        <w:rPr>
          <w:rStyle w:val="a9"/>
          <w:sz w:val="30"/>
          <w:szCs w:val="30"/>
        </w:rPr>
        <w:endnoteReference w:id="10"/>
      </w:r>
      <w:r w:rsidRPr="000122C2">
        <w:rPr>
          <w:rFonts w:hint="eastAsia"/>
          <w:sz w:val="30"/>
          <w:szCs w:val="30"/>
        </w:rPr>
        <w:t xml:space="preserve">The second is </w:t>
      </w:r>
      <w:r w:rsidR="003B0E77">
        <w:rPr>
          <w:rFonts w:hint="eastAsia"/>
          <w:sz w:val="30"/>
          <w:szCs w:val="30"/>
        </w:rPr>
        <w:t>i</w:t>
      </w:r>
      <w:r w:rsidRPr="000122C2">
        <w:rPr>
          <w:sz w:val="30"/>
          <w:szCs w:val="30"/>
        </w:rPr>
        <w:t>n the context of virtual museum research</w:t>
      </w:r>
      <w:r w:rsidR="003B0E77">
        <w:rPr>
          <w:rFonts w:hint="eastAsia"/>
          <w:sz w:val="30"/>
          <w:szCs w:val="30"/>
        </w:rPr>
        <w:t>(</w:t>
      </w:r>
      <w:r w:rsidR="003B0E77" w:rsidRPr="003B0E77">
        <w:rPr>
          <w:sz w:val="30"/>
          <w:szCs w:val="30"/>
        </w:rPr>
        <w:t>Pujol</w:t>
      </w:r>
      <w:r w:rsidR="003B0E77">
        <w:rPr>
          <w:rFonts w:hint="eastAsia"/>
          <w:sz w:val="30"/>
          <w:szCs w:val="30"/>
        </w:rPr>
        <w:t>.2018)</w:t>
      </w:r>
      <w:r w:rsidRPr="000122C2">
        <w:rPr>
          <w:sz w:val="30"/>
          <w:szCs w:val="30"/>
        </w:rPr>
        <w:t>, this study aims to delve deeper into the diverse circumstances of users, thoroughly considering the objective differences between individuals at the epistemological level</w:t>
      </w:r>
      <w:r>
        <w:rPr>
          <w:rFonts w:hint="eastAsia"/>
          <w:sz w:val="30"/>
          <w:szCs w:val="30"/>
        </w:rPr>
        <w:t>, and the</w:t>
      </w:r>
      <w:r w:rsidRPr="00A373E2">
        <w:rPr>
          <w:sz w:val="30"/>
          <w:szCs w:val="30"/>
        </w:rPr>
        <w:t xml:space="preserve"> final contribution is to emphasize the importance of effectively utilizing the available tools within the framework of positivism, ultimately achieving specific research objectives.</w:t>
      </w:r>
    </w:p>
    <w:p w14:paraId="69E94A17" w14:textId="77777777" w:rsidR="00146297" w:rsidRDefault="00146297">
      <w:pPr>
        <w:rPr>
          <w:lang w:val="en-GB"/>
        </w:rPr>
      </w:pPr>
    </w:p>
    <w:p w14:paraId="3E177DFC" w14:textId="77777777" w:rsidR="00146297" w:rsidRDefault="00146297">
      <w:pPr>
        <w:rPr>
          <w:lang w:val="en-GB"/>
        </w:rPr>
      </w:pPr>
    </w:p>
    <w:p w14:paraId="5A617751" w14:textId="77777777" w:rsidR="00146297" w:rsidRDefault="00146297">
      <w:pPr>
        <w:rPr>
          <w:lang w:val="en-GB"/>
        </w:rPr>
      </w:pPr>
    </w:p>
    <w:p w14:paraId="38DC69D3" w14:textId="3B59D684" w:rsidR="00146297" w:rsidRPr="00081F3C" w:rsidRDefault="0042700D" w:rsidP="00146297">
      <w:pPr>
        <w:rPr>
          <w:b/>
          <w:bCs/>
          <w:sz w:val="30"/>
          <w:szCs w:val="30"/>
        </w:rPr>
      </w:pPr>
      <w:r>
        <w:rPr>
          <w:rFonts w:hint="eastAsia"/>
          <w:b/>
          <w:bCs/>
          <w:sz w:val="30"/>
          <w:szCs w:val="30"/>
        </w:rPr>
        <w:t>1</w:t>
      </w:r>
      <w:r w:rsidR="00146297" w:rsidRPr="00081F3C">
        <w:rPr>
          <w:b/>
          <w:bCs/>
          <w:sz w:val="30"/>
          <w:szCs w:val="30"/>
        </w:rPr>
        <w:t>. Ontology, Epistemology, and Other Theories in This Study</w:t>
      </w:r>
    </w:p>
    <w:p w14:paraId="7AD49565" w14:textId="76952018" w:rsidR="00146297" w:rsidRPr="00081F3C" w:rsidRDefault="00146297" w:rsidP="00146297">
      <w:pPr>
        <w:ind w:firstLineChars="100" w:firstLine="300"/>
        <w:rPr>
          <w:sz w:val="30"/>
          <w:szCs w:val="30"/>
        </w:rPr>
      </w:pPr>
      <w:r w:rsidRPr="00081F3C">
        <w:rPr>
          <w:sz w:val="30"/>
          <w:szCs w:val="30"/>
        </w:rPr>
        <w:t>Ontology and epistemology serve as foundational frameworks for extending the concept of virtual museum research</w:t>
      </w:r>
      <w:r w:rsidR="003B0E77">
        <w:rPr>
          <w:rStyle w:val="a9"/>
          <w:sz w:val="30"/>
          <w:szCs w:val="30"/>
        </w:rPr>
        <w:endnoteReference w:id="11"/>
      </w:r>
      <w:r w:rsidRPr="00081F3C">
        <w:rPr>
          <w:sz w:val="30"/>
          <w:szCs w:val="30"/>
        </w:rPr>
        <w:t>. Exploring its essence as an interactive experience environment within "virtual spaces"</w:t>
      </w:r>
      <w:r w:rsidR="003B0E77">
        <w:rPr>
          <w:rFonts w:hint="eastAsia"/>
          <w:sz w:val="30"/>
          <w:szCs w:val="30"/>
        </w:rPr>
        <w:t>(</w:t>
      </w:r>
      <w:r w:rsidR="003B0E77" w:rsidRPr="003B0E77">
        <w:rPr>
          <w:sz w:val="30"/>
          <w:szCs w:val="30"/>
        </w:rPr>
        <w:t>Alberti</w:t>
      </w:r>
      <w:r w:rsidR="003B0E77">
        <w:rPr>
          <w:rFonts w:hint="eastAsia"/>
          <w:sz w:val="30"/>
          <w:szCs w:val="30"/>
        </w:rPr>
        <w:t xml:space="preserve"> </w:t>
      </w:r>
      <w:r w:rsidR="003B0E77" w:rsidRPr="003B0E77">
        <w:rPr>
          <w:sz w:val="30"/>
          <w:szCs w:val="30"/>
        </w:rPr>
        <w:t>B. 2016</w:t>
      </w:r>
      <w:r w:rsidR="003B0E77">
        <w:rPr>
          <w:rFonts w:hint="eastAsia"/>
          <w:sz w:val="30"/>
          <w:szCs w:val="30"/>
        </w:rPr>
        <w:t>)</w:t>
      </w:r>
      <w:r w:rsidRPr="00081F3C">
        <w:rPr>
          <w:sz w:val="30"/>
          <w:szCs w:val="30"/>
        </w:rPr>
        <w:t xml:space="preserve"> is particularly significant. From a traditional perspective, virtual museums are not merely extensions of physical museums</w:t>
      </w:r>
      <w:r w:rsidR="003B0E77">
        <w:rPr>
          <w:rFonts w:hint="eastAsia"/>
          <w:sz w:val="30"/>
          <w:szCs w:val="30"/>
        </w:rPr>
        <w:t xml:space="preserve"> (</w:t>
      </w:r>
      <w:r w:rsidR="003B0E77" w:rsidRPr="003B0E77">
        <w:rPr>
          <w:sz w:val="30"/>
          <w:szCs w:val="30"/>
        </w:rPr>
        <w:t>Hacking, I., 2002</w:t>
      </w:r>
      <w:r w:rsidR="003B0E77">
        <w:rPr>
          <w:rFonts w:hint="eastAsia"/>
          <w:sz w:val="30"/>
          <w:szCs w:val="30"/>
        </w:rPr>
        <w:t>)</w:t>
      </w:r>
      <w:r w:rsidRPr="00081F3C">
        <w:rPr>
          <w:sz w:val="30"/>
          <w:szCs w:val="30"/>
        </w:rPr>
        <w:t>rather, they represent a new type of digital space that integrates cultural heritage, education, and technological innovation</w:t>
      </w:r>
      <w:r w:rsidR="003B0E77">
        <w:rPr>
          <w:rStyle w:val="a9"/>
          <w:sz w:val="30"/>
          <w:szCs w:val="30"/>
        </w:rPr>
        <w:endnoteReference w:id="12"/>
      </w:r>
      <w:r w:rsidRPr="00081F3C">
        <w:rPr>
          <w:sz w:val="30"/>
          <w:szCs w:val="30"/>
        </w:rPr>
        <w:t>. Ontology helps clarify the existential significance of virtual museums and distinguishes them from traditional museums by addressing the question of "what exists</w:t>
      </w:r>
      <w:r w:rsidR="003B0E77">
        <w:rPr>
          <w:rStyle w:val="a9"/>
          <w:sz w:val="30"/>
          <w:szCs w:val="30"/>
        </w:rPr>
        <w:endnoteReference w:id="13"/>
      </w:r>
      <w:r w:rsidRPr="00081F3C">
        <w:rPr>
          <w:sz w:val="30"/>
          <w:szCs w:val="30"/>
        </w:rPr>
        <w:t>."</w:t>
      </w:r>
      <w:r w:rsidR="003B0E77">
        <w:rPr>
          <w:rFonts w:hint="eastAsia"/>
          <w:sz w:val="30"/>
          <w:szCs w:val="30"/>
        </w:rPr>
        <w:t>(</w:t>
      </w:r>
      <w:r w:rsidR="003B0E77" w:rsidRPr="003B0E77">
        <w:rPr>
          <w:sz w:val="30"/>
          <w:szCs w:val="30"/>
        </w:rPr>
        <w:t>Effingham, N., 2013</w:t>
      </w:r>
      <w:r w:rsidR="003B0E77">
        <w:rPr>
          <w:rFonts w:hint="eastAsia"/>
          <w:sz w:val="30"/>
          <w:szCs w:val="30"/>
        </w:rPr>
        <w:t>)</w:t>
      </w:r>
    </w:p>
    <w:p w14:paraId="48744A6A" w14:textId="3DF3B9C7" w:rsidR="00146297" w:rsidRPr="00081F3C" w:rsidRDefault="00146297" w:rsidP="00146297">
      <w:pPr>
        <w:ind w:firstLineChars="150" w:firstLine="450"/>
        <w:rPr>
          <w:sz w:val="30"/>
          <w:szCs w:val="30"/>
        </w:rPr>
      </w:pPr>
      <w:r w:rsidRPr="00081F3C">
        <w:rPr>
          <w:sz w:val="30"/>
          <w:szCs w:val="30"/>
        </w:rPr>
        <w:t xml:space="preserve">On the other hand, epistemology focuses on investigating </w:t>
      </w:r>
      <w:r w:rsidRPr="00081F3C">
        <w:rPr>
          <w:sz w:val="30"/>
          <w:szCs w:val="30"/>
        </w:rPr>
        <w:lastRenderedPageBreak/>
        <w:t>"how we acquire knowledge,"</w:t>
      </w:r>
      <w:r w:rsidR="003B0E77">
        <w:rPr>
          <w:rStyle w:val="a9"/>
          <w:sz w:val="30"/>
          <w:szCs w:val="30"/>
        </w:rPr>
        <w:endnoteReference w:id="14"/>
      </w:r>
      <w:r w:rsidRPr="00081F3C">
        <w:rPr>
          <w:sz w:val="30"/>
          <w:szCs w:val="30"/>
        </w:rPr>
        <w:t xml:space="preserve"> examining how researchers understand and validate the subjects of their study</w:t>
      </w:r>
      <w:r w:rsidR="0014667C">
        <w:rPr>
          <w:rFonts w:hint="eastAsia"/>
          <w:sz w:val="30"/>
          <w:szCs w:val="30"/>
        </w:rPr>
        <w:t xml:space="preserve"> </w:t>
      </w:r>
      <w:r w:rsidR="003B0E77">
        <w:rPr>
          <w:rFonts w:hint="eastAsia"/>
          <w:sz w:val="30"/>
          <w:szCs w:val="30"/>
        </w:rPr>
        <w:t>(</w:t>
      </w:r>
      <w:r w:rsidR="003B0E77" w:rsidRPr="003B0E77">
        <w:rPr>
          <w:sz w:val="30"/>
          <w:szCs w:val="30"/>
        </w:rPr>
        <w:t>Hofer, B.K., 2001</w:t>
      </w:r>
      <w:r w:rsidR="003B0E77">
        <w:rPr>
          <w:rFonts w:hint="eastAsia"/>
          <w:sz w:val="30"/>
          <w:szCs w:val="30"/>
        </w:rPr>
        <w:t>)</w:t>
      </w:r>
      <w:r w:rsidRPr="00081F3C">
        <w:rPr>
          <w:sz w:val="30"/>
          <w:szCs w:val="30"/>
        </w:rPr>
        <w:t>. In the context of virtual museum research, this involves gathering insights from different users about their experiences in XR environments.</w:t>
      </w:r>
      <w:r w:rsidR="0014667C">
        <w:rPr>
          <w:rStyle w:val="a9"/>
          <w:sz w:val="30"/>
          <w:szCs w:val="30"/>
        </w:rPr>
        <w:endnoteReference w:id="15"/>
      </w:r>
      <w:r w:rsidRPr="00081F3C">
        <w:rPr>
          <w:sz w:val="30"/>
          <w:szCs w:val="30"/>
        </w:rPr>
        <w:t>It also emphasizes understanding the cognitive differences among users, such as how users from diverse backgrounds perceive and engage with virtual museum experiences</w:t>
      </w:r>
      <w:r w:rsidR="0014667C">
        <w:rPr>
          <w:rFonts w:hint="eastAsia"/>
          <w:sz w:val="30"/>
          <w:szCs w:val="30"/>
        </w:rPr>
        <w:t xml:space="preserve"> (</w:t>
      </w:r>
      <w:r w:rsidR="0014667C" w:rsidRPr="0014667C">
        <w:rPr>
          <w:sz w:val="30"/>
          <w:szCs w:val="30"/>
        </w:rPr>
        <w:t>Conee, E. and Feldman, R., 2004</w:t>
      </w:r>
      <w:r w:rsidR="0014667C">
        <w:rPr>
          <w:rFonts w:hint="eastAsia"/>
          <w:sz w:val="30"/>
          <w:szCs w:val="30"/>
        </w:rPr>
        <w:t>)</w:t>
      </w:r>
      <w:r w:rsidRPr="00081F3C">
        <w:rPr>
          <w:sz w:val="30"/>
          <w:szCs w:val="30"/>
        </w:rPr>
        <w:t>. These variations provide critical insights for designers and engineers to optimize designs and create more personalized and adaptive interactive experiences.</w:t>
      </w:r>
      <w:r w:rsidR="0014667C">
        <w:rPr>
          <w:rStyle w:val="a9"/>
          <w:sz w:val="30"/>
          <w:szCs w:val="30"/>
        </w:rPr>
        <w:endnoteReference w:id="16"/>
      </w:r>
    </w:p>
    <w:p w14:paraId="30578EC3" w14:textId="77777777" w:rsidR="00146297" w:rsidRPr="00081F3C" w:rsidRDefault="00146297" w:rsidP="00146297">
      <w:pPr>
        <w:rPr>
          <w:b/>
          <w:bCs/>
          <w:sz w:val="30"/>
          <w:szCs w:val="30"/>
        </w:rPr>
      </w:pPr>
    </w:p>
    <w:p w14:paraId="2A0CA8E8" w14:textId="63A3C9BA" w:rsidR="00146297" w:rsidRPr="00081F3C" w:rsidRDefault="0042700D" w:rsidP="00146297">
      <w:pPr>
        <w:rPr>
          <w:b/>
          <w:bCs/>
          <w:sz w:val="30"/>
          <w:szCs w:val="30"/>
        </w:rPr>
      </w:pPr>
      <w:r>
        <w:rPr>
          <w:rFonts w:hint="eastAsia"/>
          <w:b/>
          <w:bCs/>
          <w:sz w:val="30"/>
          <w:szCs w:val="30"/>
        </w:rPr>
        <w:t>1</w:t>
      </w:r>
      <w:r w:rsidR="00146297" w:rsidRPr="00081F3C">
        <w:rPr>
          <w:b/>
          <w:bCs/>
          <w:sz w:val="30"/>
          <w:szCs w:val="30"/>
        </w:rPr>
        <w:t>.1 Ontology</w:t>
      </w:r>
    </w:p>
    <w:p w14:paraId="42B88C7F" w14:textId="75DD1822" w:rsidR="00146297" w:rsidRPr="00081F3C" w:rsidRDefault="00146297" w:rsidP="00146297">
      <w:pPr>
        <w:ind w:firstLineChars="200" w:firstLine="600"/>
        <w:rPr>
          <w:sz w:val="30"/>
          <w:szCs w:val="30"/>
        </w:rPr>
      </w:pPr>
      <w:r w:rsidRPr="00081F3C">
        <w:rPr>
          <w:sz w:val="30"/>
          <w:szCs w:val="30"/>
        </w:rPr>
        <w:t>This study falls under the domain of positivism, a conclusion derived from theoretical considerations. In traditional research on user experience, the interdisciplinary nature of the field necessitates a positivist approach. The 19th-century French philosopher Auguste Comte</w:t>
      </w:r>
      <w:r w:rsidR="0014667C">
        <w:rPr>
          <w:rStyle w:val="a9"/>
          <w:sz w:val="30"/>
          <w:szCs w:val="30"/>
        </w:rPr>
        <w:endnoteReference w:id="17"/>
      </w:r>
      <w:r w:rsidRPr="00081F3C">
        <w:rPr>
          <w:sz w:val="30"/>
          <w:szCs w:val="30"/>
        </w:rPr>
        <w:t xml:space="preserve"> first proposed positivism, defining it as a philosophical system that emphasizes acquiring knowledge through observation, experience, experimentation, and scientific methods</w:t>
      </w:r>
      <w:r w:rsidR="0014667C">
        <w:rPr>
          <w:rFonts w:hint="eastAsia"/>
          <w:sz w:val="30"/>
          <w:szCs w:val="30"/>
        </w:rPr>
        <w:t>(</w:t>
      </w:r>
      <w:r w:rsidR="0014667C" w:rsidRPr="0014667C">
        <w:rPr>
          <w:sz w:val="30"/>
          <w:szCs w:val="30"/>
        </w:rPr>
        <w:t>Comte, A., 1975</w:t>
      </w:r>
      <w:r w:rsidR="0014667C">
        <w:rPr>
          <w:rFonts w:hint="eastAsia"/>
          <w:sz w:val="30"/>
          <w:szCs w:val="30"/>
        </w:rPr>
        <w:t>)</w:t>
      </w:r>
      <w:r w:rsidRPr="00081F3C">
        <w:rPr>
          <w:sz w:val="30"/>
          <w:szCs w:val="30"/>
        </w:rPr>
        <w:t xml:space="preserve">. Positivism holds that knowledge must be objective, verifiable, observable, and grounded in empirical </w:t>
      </w:r>
      <w:r w:rsidRPr="00081F3C">
        <w:rPr>
          <w:sz w:val="30"/>
          <w:szCs w:val="30"/>
        </w:rPr>
        <w:lastRenderedPageBreak/>
        <w:t>evidence. It applies research methods from natural sciences to social science investigations.</w:t>
      </w:r>
    </w:p>
    <w:p w14:paraId="3CF2B12A" w14:textId="7ABEB074" w:rsidR="00146297" w:rsidRPr="00081F3C" w:rsidRDefault="00146297" w:rsidP="00146297">
      <w:pPr>
        <w:ind w:firstLineChars="200" w:firstLine="600"/>
        <w:rPr>
          <w:sz w:val="30"/>
          <w:szCs w:val="30"/>
        </w:rPr>
      </w:pPr>
      <w:r w:rsidRPr="00081F3C">
        <w:rPr>
          <w:sz w:val="30"/>
          <w:szCs w:val="30"/>
        </w:rPr>
        <w:t>For user experience research, the British Design Council summarized the general steps of design research into four stages: Discover, Define, Develop, and Deliver. These stages can be summarized into a "divergent-convergent" model</w:t>
      </w:r>
      <w:r w:rsidR="0014667C">
        <w:rPr>
          <w:rStyle w:val="a9"/>
          <w:sz w:val="30"/>
          <w:szCs w:val="30"/>
        </w:rPr>
        <w:endnoteReference w:id="18"/>
      </w:r>
      <w:r w:rsidRPr="00081F3C">
        <w:rPr>
          <w:sz w:val="30"/>
          <w:szCs w:val="30"/>
        </w:rPr>
        <w:t>. Particularly in the discovery phase, researchers need keen insights to identify users' fundamental needs and the new issues arising in the context of emerging technologies</w:t>
      </w:r>
      <w:r w:rsidR="0014667C">
        <w:rPr>
          <w:rFonts w:hint="eastAsia"/>
          <w:sz w:val="30"/>
          <w:szCs w:val="30"/>
        </w:rPr>
        <w:t>(</w:t>
      </w:r>
      <w:r w:rsidR="0014667C" w:rsidRPr="0014667C">
        <w:rPr>
          <w:sz w:val="30"/>
          <w:szCs w:val="30"/>
        </w:rPr>
        <w:t>Simons P. 2000</w:t>
      </w:r>
      <w:r w:rsidR="0014667C">
        <w:rPr>
          <w:rFonts w:hint="eastAsia"/>
          <w:sz w:val="30"/>
          <w:szCs w:val="30"/>
        </w:rPr>
        <w:t>)</w:t>
      </w:r>
      <w:r w:rsidRPr="00081F3C">
        <w:rPr>
          <w:sz w:val="30"/>
          <w:szCs w:val="30"/>
        </w:rPr>
        <w:t>. Achieving this level of understanding necessitates practice, field testing, and problem-focused research. This aligns with positivism's emphasis on observation and verification, as it stresses that theories and propositions must be observed and validated to qualify as legitimate knowledge</w:t>
      </w:r>
      <w:r w:rsidR="0014667C">
        <w:rPr>
          <w:rStyle w:val="a9"/>
          <w:sz w:val="30"/>
          <w:szCs w:val="30"/>
        </w:rPr>
        <w:endnoteReference w:id="19"/>
      </w:r>
      <w:r w:rsidRPr="00081F3C">
        <w:rPr>
          <w:sz w:val="30"/>
          <w:szCs w:val="30"/>
        </w:rPr>
        <w:t>.</w:t>
      </w:r>
    </w:p>
    <w:p w14:paraId="4583679B" w14:textId="00772EA7" w:rsidR="00146297" w:rsidRDefault="00146297" w:rsidP="00146297">
      <w:pPr>
        <w:ind w:firstLineChars="200" w:firstLine="600"/>
        <w:rPr>
          <w:sz w:val="30"/>
          <w:szCs w:val="30"/>
        </w:rPr>
      </w:pPr>
      <w:r w:rsidRPr="00081F3C">
        <w:rPr>
          <w:sz w:val="30"/>
          <w:szCs w:val="30"/>
        </w:rPr>
        <w:t>For instance, consider Google's development of smart glasses—a wearable AR device within XR technology</w:t>
      </w:r>
      <w:r w:rsidR="0014667C">
        <w:rPr>
          <w:rStyle w:val="a9"/>
          <w:sz w:val="30"/>
          <w:szCs w:val="30"/>
        </w:rPr>
        <w:endnoteReference w:id="20"/>
      </w:r>
      <w:r w:rsidRPr="00081F3C">
        <w:rPr>
          <w:sz w:val="30"/>
          <w:szCs w:val="30"/>
        </w:rPr>
        <w:t>. Despite being hailed as a revolutionary technology, these glasses failed in the consumer market due to their lack of attention to actual user needs</w:t>
      </w:r>
      <w:r w:rsidR="0014667C">
        <w:rPr>
          <w:rFonts w:hint="eastAsia"/>
          <w:sz w:val="30"/>
          <w:szCs w:val="30"/>
        </w:rPr>
        <w:t>(</w:t>
      </w:r>
      <w:r w:rsidR="0014667C" w:rsidRPr="0014667C">
        <w:rPr>
          <w:sz w:val="30"/>
          <w:szCs w:val="30"/>
        </w:rPr>
        <w:t>Matveiuk K. 2019</w:t>
      </w:r>
      <w:r w:rsidR="0014667C">
        <w:rPr>
          <w:rFonts w:hint="eastAsia"/>
          <w:sz w:val="30"/>
          <w:szCs w:val="30"/>
        </w:rPr>
        <w:t>)</w:t>
      </w:r>
      <w:r w:rsidRPr="00081F3C">
        <w:rPr>
          <w:sz w:val="30"/>
          <w:szCs w:val="30"/>
        </w:rPr>
        <w:t>. While the technology provided features like information push, voice interaction, and environmental integration, developers overlooked the glasses' usability in everyday life</w:t>
      </w:r>
      <w:r w:rsidR="0014667C">
        <w:rPr>
          <w:rStyle w:val="a9"/>
          <w:sz w:val="30"/>
          <w:szCs w:val="30"/>
        </w:rPr>
        <w:endnoteReference w:id="21"/>
      </w:r>
      <w:r w:rsidRPr="00081F3C">
        <w:rPr>
          <w:sz w:val="30"/>
          <w:szCs w:val="30"/>
        </w:rPr>
        <w:t xml:space="preserve">. Issues such as unappealing design, discomfort </w:t>
      </w:r>
      <w:r w:rsidRPr="00081F3C">
        <w:rPr>
          <w:sz w:val="30"/>
          <w:szCs w:val="30"/>
        </w:rPr>
        <w:lastRenderedPageBreak/>
        <w:t>during wear, short battery life, and impracticality led to their poor market performance.</w:t>
      </w:r>
    </w:p>
    <w:p w14:paraId="5D2A8CDC" w14:textId="006C3635" w:rsidR="00146297" w:rsidRPr="00081F3C" w:rsidRDefault="00146297" w:rsidP="00146297">
      <w:pPr>
        <w:ind w:firstLineChars="200" w:firstLine="600"/>
        <w:rPr>
          <w:sz w:val="30"/>
          <w:szCs w:val="30"/>
        </w:rPr>
      </w:pPr>
      <w:r w:rsidRPr="00081F3C">
        <w:rPr>
          <w:sz w:val="30"/>
          <w:szCs w:val="30"/>
        </w:rPr>
        <w:t>In the case of virtual museum projects, the goal is to serve the users themselves. Therefore, users' likes, dislikes, surprises, frustrations, and other emotional responses must be thoroughly addressed</w:t>
      </w:r>
      <w:r w:rsidR="009048EA">
        <w:rPr>
          <w:rStyle w:val="a9"/>
          <w:sz w:val="30"/>
          <w:szCs w:val="30"/>
        </w:rPr>
        <w:endnoteReference w:id="22"/>
      </w:r>
      <w:r w:rsidRPr="00081F3C">
        <w:rPr>
          <w:sz w:val="30"/>
          <w:szCs w:val="30"/>
        </w:rPr>
        <w:t>. From another perspective, the positivist principles of observability and verifiability align closely with the research focus of this study</w:t>
      </w:r>
      <w:r w:rsidR="009048EA">
        <w:rPr>
          <w:rStyle w:val="a9"/>
          <w:sz w:val="30"/>
          <w:szCs w:val="30"/>
        </w:rPr>
        <w:endnoteReference w:id="23"/>
      </w:r>
      <w:r w:rsidRPr="00081F3C">
        <w:rPr>
          <w:sz w:val="30"/>
          <w:szCs w:val="30"/>
        </w:rPr>
        <w:t>. In 2007, Staffer effectively defined user experience design in service design as a systematic concept, stating that “user experience, as a specialized system design</w:t>
      </w:r>
      <w:r w:rsidR="009048EA">
        <w:rPr>
          <w:rFonts w:hint="eastAsia"/>
          <w:sz w:val="30"/>
          <w:szCs w:val="30"/>
        </w:rPr>
        <w:t xml:space="preserve"> (</w:t>
      </w:r>
      <w:r w:rsidR="009048EA" w:rsidRPr="009048EA">
        <w:rPr>
          <w:sz w:val="30"/>
          <w:szCs w:val="30"/>
        </w:rPr>
        <w:t>Lepouras</w:t>
      </w:r>
      <w:r w:rsidR="009048EA">
        <w:rPr>
          <w:rFonts w:hint="eastAsia"/>
          <w:sz w:val="30"/>
          <w:szCs w:val="30"/>
        </w:rPr>
        <w:t>,</w:t>
      </w:r>
      <w:r w:rsidR="009048EA" w:rsidRPr="009048EA">
        <w:rPr>
          <w:sz w:val="30"/>
          <w:szCs w:val="30"/>
        </w:rPr>
        <w:t xml:space="preserve"> G., Katifori, A., Vassilakis, C. and Charitos, D., 2004</w:t>
      </w:r>
      <w:r w:rsidR="009048EA">
        <w:rPr>
          <w:rFonts w:hint="eastAsia"/>
          <w:sz w:val="30"/>
          <w:szCs w:val="30"/>
        </w:rPr>
        <w:t>)</w:t>
      </w:r>
      <w:r w:rsidRPr="00081F3C">
        <w:rPr>
          <w:sz w:val="30"/>
          <w:szCs w:val="30"/>
        </w:rPr>
        <w:t>, focuses on the service process and system integration, combining tangible and intangible media” (Interaction Design Lab, 2008). This underscores the alignment of positivist principles with the methodology employed in this study</w:t>
      </w:r>
      <w:r w:rsidR="009048EA">
        <w:rPr>
          <w:rStyle w:val="a9"/>
          <w:sz w:val="30"/>
          <w:szCs w:val="30"/>
        </w:rPr>
        <w:endnoteReference w:id="24"/>
      </w:r>
      <w:r w:rsidRPr="00081F3C">
        <w:rPr>
          <w:sz w:val="30"/>
          <w:szCs w:val="30"/>
        </w:rPr>
        <w:t>.</w:t>
      </w:r>
    </w:p>
    <w:p w14:paraId="446AAECF" w14:textId="4FC67640" w:rsidR="00146297" w:rsidRPr="00081F3C" w:rsidRDefault="00146297" w:rsidP="00146297">
      <w:pPr>
        <w:ind w:firstLineChars="200" w:firstLine="600"/>
        <w:rPr>
          <w:sz w:val="30"/>
          <w:szCs w:val="30"/>
        </w:rPr>
      </w:pPr>
      <w:r w:rsidRPr="00081F3C">
        <w:rPr>
          <w:sz w:val="30"/>
          <w:szCs w:val="30"/>
        </w:rPr>
        <w:t>In addition to positivism, this study also incorporates pragmatism</w:t>
      </w:r>
      <w:r w:rsidR="009048EA">
        <w:rPr>
          <w:rStyle w:val="a9"/>
          <w:sz w:val="30"/>
          <w:szCs w:val="30"/>
        </w:rPr>
        <w:endnoteReference w:id="25"/>
      </w:r>
      <w:r w:rsidRPr="00081F3C">
        <w:rPr>
          <w:sz w:val="30"/>
          <w:szCs w:val="30"/>
        </w:rPr>
        <w:t>. Pragmatism not only emphasizes theoretical rigor, such as the data authenticity and causality within the positivist framework</w:t>
      </w:r>
      <w:r w:rsidR="009048EA">
        <w:rPr>
          <w:rStyle w:val="a9"/>
          <w:sz w:val="30"/>
          <w:szCs w:val="30"/>
        </w:rPr>
        <w:endnoteReference w:id="26"/>
      </w:r>
      <w:r w:rsidR="009048EA">
        <w:rPr>
          <w:rFonts w:hint="eastAsia"/>
          <w:sz w:val="30"/>
          <w:szCs w:val="30"/>
        </w:rPr>
        <w:t>.</w:t>
      </w:r>
      <w:r w:rsidRPr="00081F3C">
        <w:rPr>
          <w:sz w:val="30"/>
          <w:szCs w:val="30"/>
        </w:rPr>
        <w:t xml:space="preserve"> but also prioritizes practical application and its direct impact on user experience. User experience research, as a highly practice-oriented activity, directly determines commercial success</w:t>
      </w:r>
      <w:r w:rsidR="009048EA">
        <w:rPr>
          <w:rFonts w:hint="eastAsia"/>
          <w:sz w:val="30"/>
          <w:szCs w:val="30"/>
        </w:rPr>
        <w:t>(</w:t>
      </w:r>
      <w:r w:rsidR="009048EA" w:rsidRPr="009048EA">
        <w:rPr>
          <w:sz w:val="30"/>
          <w:szCs w:val="30"/>
        </w:rPr>
        <w:t>Schlick, M. and Rynin, D., 1948</w:t>
      </w:r>
      <w:r w:rsidR="009048EA">
        <w:rPr>
          <w:rFonts w:hint="eastAsia"/>
          <w:sz w:val="30"/>
          <w:szCs w:val="30"/>
        </w:rPr>
        <w:t>)</w:t>
      </w:r>
      <w:r w:rsidRPr="00081F3C">
        <w:rPr>
          <w:sz w:val="30"/>
          <w:szCs w:val="30"/>
        </w:rPr>
        <w:t xml:space="preserve">. As part of building a </w:t>
      </w:r>
      <w:r w:rsidRPr="00081F3C">
        <w:rPr>
          <w:sz w:val="30"/>
          <w:szCs w:val="30"/>
        </w:rPr>
        <w:lastRenderedPageBreak/>
        <w:t>virtual museum, this study aims to optimize the user experience and interactive design, creating a system that adapts to users' needs. This goal-oriented approach resonates strongly with the ontological principles of pragmatism</w:t>
      </w:r>
      <w:r w:rsidR="009048EA">
        <w:rPr>
          <w:rStyle w:val="a9"/>
          <w:sz w:val="30"/>
          <w:szCs w:val="30"/>
        </w:rPr>
        <w:endnoteReference w:id="27"/>
      </w:r>
      <w:r w:rsidRPr="00081F3C">
        <w:rPr>
          <w:sz w:val="30"/>
          <w:szCs w:val="30"/>
        </w:rPr>
        <w:t>.</w:t>
      </w:r>
    </w:p>
    <w:p w14:paraId="4BC121B3" w14:textId="45FAE84E" w:rsidR="00146297" w:rsidRDefault="00146297" w:rsidP="009048EA">
      <w:pPr>
        <w:ind w:firstLineChars="100" w:firstLine="300"/>
        <w:rPr>
          <w:sz w:val="30"/>
          <w:szCs w:val="30"/>
        </w:rPr>
      </w:pPr>
      <w:r w:rsidRPr="00081F3C">
        <w:rPr>
          <w:sz w:val="30"/>
          <w:szCs w:val="30"/>
        </w:rPr>
        <w:t>For example, when users interact with their surroundings in a virtual museum</w:t>
      </w:r>
      <w:r w:rsidR="009048EA">
        <w:rPr>
          <w:rStyle w:val="a9"/>
          <w:sz w:val="30"/>
          <w:szCs w:val="30"/>
        </w:rPr>
        <w:endnoteReference w:id="28"/>
      </w:r>
      <w:r w:rsidRPr="00081F3C">
        <w:rPr>
          <w:sz w:val="30"/>
          <w:szCs w:val="30"/>
        </w:rPr>
        <w:t>, their initial impressions, their engagement with the visual UI, operations via controller buttons, or their reactions to interactive elements like opening a diary or lighting objects in the dark—all these interactions must be examined through direct user feedback. Pragmatism’s focus on the dynamic and contextual application of knowledge complements the adaptive nature of system designs in virtual museums</w:t>
      </w:r>
      <w:r w:rsidR="009048EA">
        <w:rPr>
          <w:rStyle w:val="a9"/>
          <w:sz w:val="30"/>
          <w:szCs w:val="30"/>
        </w:rPr>
        <w:endnoteReference w:id="29"/>
      </w:r>
      <w:r w:rsidRPr="00081F3C">
        <w:rPr>
          <w:sz w:val="30"/>
          <w:szCs w:val="30"/>
        </w:rPr>
        <w:t>.</w:t>
      </w:r>
    </w:p>
    <w:p w14:paraId="5C4FF1BD" w14:textId="31CFADFC" w:rsidR="00BD3B34" w:rsidRPr="00F12607" w:rsidRDefault="00BD3B34" w:rsidP="00BD3B34">
      <w:pPr>
        <w:ind w:firstLineChars="100" w:firstLine="300"/>
        <w:rPr>
          <w:sz w:val="30"/>
          <w:szCs w:val="30"/>
        </w:rPr>
      </w:pPr>
      <w:r w:rsidRPr="00F12607">
        <w:rPr>
          <w:sz w:val="30"/>
          <w:szCs w:val="30"/>
        </w:rPr>
        <w:t xml:space="preserve">In the virtual museum experiment, different variables need to be set up for comparative research. Furthermore, in experimental research, controlled experiments can compare various conditions (variables) to study aspects such as user completion time, immersion ratings, and puzzle-solving efficiency. As for user experience, the key to a successful interactive game lies in its story, characters, scene settings, background summaries, shot sequences, trigger events, and scene items. Through the arrangement and combination of these elements, players can experience an unprecedented sense of immersion Of course, a </w:t>
      </w:r>
      <w:r w:rsidRPr="00F12607">
        <w:rPr>
          <w:sz w:val="30"/>
          <w:szCs w:val="30"/>
        </w:rPr>
        <w:lastRenderedPageBreak/>
        <w:t>museum inherently serves functions like preservation, education, dissemination, and entertainment.</w:t>
      </w:r>
      <w:r w:rsidR="00CC6D36">
        <w:rPr>
          <w:rFonts w:hint="eastAsia"/>
          <w:sz w:val="30"/>
          <w:szCs w:val="30"/>
        </w:rPr>
        <w:t xml:space="preserve"> (</w:t>
      </w:r>
      <w:r w:rsidR="00CC6D36" w:rsidRPr="00CC6D36">
        <w:rPr>
          <w:sz w:val="30"/>
          <w:szCs w:val="30"/>
        </w:rPr>
        <w:t>GheorghiuD. and Ştefan, L., 2014</w:t>
      </w:r>
      <w:r w:rsidR="00CC6D36">
        <w:rPr>
          <w:rFonts w:hint="eastAsia"/>
          <w:sz w:val="30"/>
          <w:szCs w:val="30"/>
        </w:rPr>
        <w:t>)</w:t>
      </w:r>
    </w:p>
    <w:p w14:paraId="01F9CCAF" w14:textId="0239D322" w:rsidR="00BD3B34" w:rsidRPr="00F12607" w:rsidRDefault="00BD3B34" w:rsidP="00BD3B34">
      <w:pPr>
        <w:ind w:firstLineChars="100" w:firstLine="300"/>
        <w:rPr>
          <w:sz w:val="30"/>
          <w:szCs w:val="30"/>
        </w:rPr>
      </w:pPr>
      <w:r w:rsidRPr="00F12607">
        <w:rPr>
          <w:sz w:val="30"/>
          <w:szCs w:val="30"/>
        </w:rPr>
        <w:t>Therefore, if a game is to be linked with a museum exhibit, an adventure-puzzle game must incorporate these four aspects.</w:t>
      </w:r>
      <w:r w:rsidR="00CC6D36">
        <w:rPr>
          <w:rStyle w:val="a9"/>
          <w:sz w:val="30"/>
          <w:szCs w:val="30"/>
        </w:rPr>
        <w:endnoteReference w:id="30"/>
      </w:r>
      <w:r w:rsidRPr="00F12607">
        <w:rPr>
          <w:sz w:val="30"/>
          <w:szCs w:val="30"/>
        </w:rPr>
        <w:t xml:space="preserve"> This is because, in order to fully complete the game, users must think critically to solve various challenges, find clues, and remember certain hints or useful information. In this integration process, the museum can project its inherent attributes—such as observation, movement, and artifact information—into the game content, which can be woven into the story. For instance, a seemingly insignificant corner may contain a diary with encoded information related to artifacts and their arrangements within the "virtual museum."</w:t>
      </w:r>
    </w:p>
    <w:p w14:paraId="672E1410" w14:textId="5BE101E7" w:rsidR="00BD3B34" w:rsidRPr="00F12607" w:rsidRDefault="00BD3B34" w:rsidP="00BD3B34">
      <w:pPr>
        <w:ind w:firstLineChars="100" w:firstLine="300"/>
        <w:rPr>
          <w:sz w:val="30"/>
          <w:szCs w:val="30"/>
        </w:rPr>
      </w:pPr>
      <w:r w:rsidRPr="00F12607">
        <w:rPr>
          <w:sz w:val="30"/>
          <w:szCs w:val="30"/>
        </w:rPr>
        <w:t>In this way, when players take on the roles within the game, they are no longer passively receiving information but are actively engaging with and utilizing the discovered details</w:t>
      </w:r>
      <w:r w:rsidR="00CC6D36">
        <w:rPr>
          <w:rFonts w:hint="eastAsia"/>
          <w:sz w:val="30"/>
          <w:szCs w:val="30"/>
        </w:rPr>
        <w:t xml:space="preserve"> (</w:t>
      </w:r>
      <w:r w:rsidR="00CC6D36" w:rsidRPr="00CC6D36">
        <w:rPr>
          <w:sz w:val="30"/>
          <w:szCs w:val="30"/>
        </w:rPr>
        <w:t>Carolei, P. and Schlemmer, E., 2015</w:t>
      </w:r>
      <w:r w:rsidR="00CC6D36">
        <w:rPr>
          <w:rFonts w:hint="eastAsia"/>
          <w:sz w:val="30"/>
          <w:szCs w:val="30"/>
        </w:rPr>
        <w:t>)</w:t>
      </w:r>
      <w:r w:rsidRPr="00F12607">
        <w:rPr>
          <w:sz w:val="30"/>
          <w:szCs w:val="30"/>
        </w:rPr>
        <w:t xml:space="preserve">. This aligns with the application of self-determination theory in psychology. To genuinely spark curiosity in individuals and stimulate their interest, they must perceive that by engaging with the task, they can achieve satisfaction and stimulation. </w:t>
      </w:r>
      <w:r w:rsidR="00CC6D36">
        <w:rPr>
          <w:rStyle w:val="a9"/>
          <w:sz w:val="30"/>
          <w:szCs w:val="30"/>
        </w:rPr>
        <w:endnoteReference w:id="31"/>
      </w:r>
      <w:r w:rsidRPr="00F12607">
        <w:rPr>
          <w:sz w:val="30"/>
          <w:szCs w:val="30"/>
        </w:rPr>
        <w:t xml:space="preserve">Thus, effective information interaction, methods, </w:t>
      </w:r>
      <w:r w:rsidRPr="00F12607">
        <w:rPr>
          <w:sz w:val="30"/>
          <w:szCs w:val="30"/>
        </w:rPr>
        <w:lastRenderedPageBreak/>
        <w:t>and goal realization, along with important reward mechanisms and a sense of accomplishment, become crucial.</w:t>
      </w:r>
    </w:p>
    <w:p w14:paraId="4B36BC73" w14:textId="77777777" w:rsidR="00146297" w:rsidRPr="00081F3C" w:rsidRDefault="00146297" w:rsidP="00CC6D36">
      <w:pPr>
        <w:ind w:firstLineChars="100" w:firstLine="300"/>
        <w:rPr>
          <w:sz w:val="30"/>
          <w:szCs w:val="30"/>
        </w:rPr>
      </w:pPr>
      <w:r w:rsidRPr="00081F3C">
        <w:rPr>
          <w:sz w:val="30"/>
          <w:szCs w:val="30"/>
        </w:rPr>
        <w:t>Thus, the ontological framework of this study is primarily guided by positivism, supported by pragmatism. Positivism ensures objectivity and scientific rigor through data collection and validation, while pragmatism aids in addressing practical challenges, focusing on the operability of the research outcomes and enhancing user experience.</w:t>
      </w:r>
    </w:p>
    <w:p w14:paraId="0DE85B40" w14:textId="77777777" w:rsidR="00146297" w:rsidRPr="00081F3C" w:rsidRDefault="00146297" w:rsidP="00146297">
      <w:pPr>
        <w:rPr>
          <w:b/>
          <w:bCs/>
          <w:sz w:val="30"/>
          <w:szCs w:val="30"/>
        </w:rPr>
      </w:pPr>
    </w:p>
    <w:p w14:paraId="26016711" w14:textId="26832F6F" w:rsidR="00146297" w:rsidRPr="00081F3C" w:rsidRDefault="0042700D" w:rsidP="00146297">
      <w:pPr>
        <w:rPr>
          <w:b/>
          <w:bCs/>
          <w:sz w:val="30"/>
          <w:szCs w:val="30"/>
        </w:rPr>
      </w:pPr>
      <w:r>
        <w:rPr>
          <w:rFonts w:hint="eastAsia"/>
          <w:b/>
          <w:bCs/>
          <w:sz w:val="30"/>
          <w:szCs w:val="30"/>
        </w:rPr>
        <w:t>1</w:t>
      </w:r>
      <w:r w:rsidR="00146297" w:rsidRPr="00081F3C">
        <w:rPr>
          <w:b/>
          <w:bCs/>
          <w:sz w:val="30"/>
          <w:szCs w:val="30"/>
        </w:rPr>
        <w:t>.2 Epistemology</w:t>
      </w:r>
    </w:p>
    <w:p w14:paraId="1EDBAF39" w14:textId="488B914C" w:rsidR="00146297" w:rsidRPr="00081F3C" w:rsidRDefault="00146297" w:rsidP="00146297">
      <w:pPr>
        <w:ind w:firstLineChars="150" w:firstLine="450"/>
        <w:rPr>
          <w:sz w:val="30"/>
          <w:szCs w:val="30"/>
        </w:rPr>
      </w:pPr>
      <w:r w:rsidRPr="00081F3C">
        <w:rPr>
          <w:sz w:val="30"/>
          <w:szCs w:val="30"/>
        </w:rPr>
        <w:t>As stated at the beginning, in terms of epistemology, user experience-centered design research inevitably adheres to the framework of empiricism</w:t>
      </w:r>
      <w:r w:rsidR="00CC6D36">
        <w:rPr>
          <w:rStyle w:val="a9"/>
          <w:sz w:val="30"/>
          <w:szCs w:val="30"/>
        </w:rPr>
        <w:endnoteReference w:id="32"/>
      </w:r>
      <w:r w:rsidRPr="00081F3C">
        <w:rPr>
          <w:sz w:val="30"/>
          <w:szCs w:val="30"/>
        </w:rPr>
        <w:t>. American researchers such as Lucila Carvalho and Peter Goodyear</w:t>
      </w:r>
      <w:r w:rsidR="00CC6D36">
        <w:rPr>
          <w:rStyle w:val="a9"/>
          <w:sz w:val="30"/>
          <w:szCs w:val="30"/>
        </w:rPr>
        <w:endnoteReference w:id="33"/>
      </w:r>
      <w:r w:rsidRPr="00081F3C">
        <w:rPr>
          <w:sz w:val="30"/>
          <w:szCs w:val="30"/>
        </w:rPr>
        <w:t>, in their work on UX professions, emphasized a participatory service approach centered on human activities. They asserted that the essence of user experience design lies in "conceiving and realizing human-centered value propositions, which require researchers and developers to focus on users’ experiences, interactions, practices, and dreams.</w:t>
      </w:r>
      <w:r w:rsidR="004F3685">
        <w:rPr>
          <w:rFonts w:hint="eastAsia"/>
          <w:sz w:val="30"/>
          <w:szCs w:val="30"/>
        </w:rPr>
        <w:t>(</w:t>
      </w:r>
      <w:r w:rsidR="004F3685" w:rsidRPr="004F3685">
        <w:rPr>
          <w:sz w:val="30"/>
          <w:szCs w:val="30"/>
        </w:rPr>
        <w:t xml:space="preserve">Goodyear, P., Carvalho, N.B., 2016 </w:t>
      </w:r>
      <w:r w:rsidR="004F3685">
        <w:rPr>
          <w:rFonts w:hint="eastAsia"/>
          <w:sz w:val="30"/>
          <w:szCs w:val="30"/>
        </w:rPr>
        <w:t>)</w:t>
      </w:r>
      <w:r w:rsidRPr="00081F3C">
        <w:rPr>
          <w:sz w:val="30"/>
          <w:szCs w:val="30"/>
        </w:rPr>
        <w:t xml:space="preserve">" This closely aligns with the philosophical definition of empiricism, which posits that knowledge primarily stems from experience and sensory </w:t>
      </w:r>
      <w:r w:rsidRPr="00081F3C">
        <w:rPr>
          <w:sz w:val="30"/>
          <w:szCs w:val="30"/>
        </w:rPr>
        <w:lastRenderedPageBreak/>
        <w:t>perception rather than innate reasoning or pure logic. Empiricism advocates for deriving knowledge through observation, practice, and experimentation, validating theories or hypotheses based on actual experiences.</w:t>
      </w:r>
    </w:p>
    <w:p w14:paraId="6CDDF273" w14:textId="6FC11829" w:rsidR="00146297" w:rsidRPr="00081F3C" w:rsidRDefault="00146297" w:rsidP="00146297">
      <w:pPr>
        <w:ind w:firstLineChars="100" w:firstLine="300"/>
        <w:rPr>
          <w:sz w:val="30"/>
          <w:szCs w:val="30"/>
        </w:rPr>
      </w:pPr>
      <w:r w:rsidRPr="00081F3C">
        <w:rPr>
          <w:sz w:val="30"/>
          <w:szCs w:val="30"/>
        </w:rPr>
        <w:t>In the context of this study on virtual museums and user experience, the epistemological framework aligns with empiricism for three main reasons</w:t>
      </w:r>
      <w:r w:rsidR="004F3685">
        <w:rPr>
          <w:rFonts w:hint="eastAsia"/>
          <w:sz w:val="30"/>
          <w:szCs w:val="30"/>
        </w:rPr>
        <w:t>,</w:t>
      </w:r>
      <w:r w:rsidR="00656EC3">
        <w:rPr>
          <w:rFonts w:hint="eastAsia"/>
          <w:sz w:val="30"/>
          <w:szCs w:val="30"/>
        </w:rPr>
        <w:t xml:space="preserve"> </w:t>
      </w:r>
      <w:r w:rsidRPr="00081F3C">
        <w:rPr>
          <w:sz w:val="30"/>
          <w:szCs w:val="30"/>
        </w:rPr>
        <w:t>Data-Driven Research</w:t>
      </w:r>
      <w:r>
        <w:rPr>
          <w:rFonts w:hint="eastAsia"/>
          <w:sz w:val="30"/>
          <w:szCs w:val="30"/>
        </w:rPr>
        <w:t>,</w:t>
      </w:r>
      <w:r w:rsidR="004F3685">
        <w:rPr>
          <w:rFonts w:hint="eastAsia"/>
          <w:sz w:val="30"/>
          <w:szCs w:val="30"/>
        </w:rPr>
        <w:t xml:space="preserve"> </w:t>
      </w:r>
      <w:r w:rsidRPr="0026678C">
        <w:rPr>
          <w:rFonts w:hint="eastAsia"/>
          <w:sz w:val="30"/>
          <w:szCs w:val="30"/>
        </w:rPr>
        <w:t>t</w:t>
      </w:r>
      <w:r w:rsidRPr="00081F3C">
        <w:rPr>
          <w:sz w:val="30"/>
          <w:szCs w:val="30"/>
        </w:rPr>
        <w:t>he study focuses on analyzing users' interaction behaviors and feedback data, such as how they navigate the virtual museum, operate controls, and respond to immersive experiences.</w:t>
      </w:r>
      <w:r w:rsidR="004F3685">
        <w:rPr>
          <w:rStyle w:val="a9"/>
          <w:sz w:val="30"/>
          <w:szCs w:val="30"/>
        </w:rPr>
        <w:endnoteReference w:id="34"/>
      </w:r>
      <w:r w:rsidRPr="00081F3C">
        <w:rPr>
          <w:sz w:val="30"/>
          <w:szCs w:val="30"/>
        </w:rPr>
        <w:t xml:space="preserve"> The reliance on empirical observation and data aligns with the core principle of empiricism</w:t>
      </w:r>
      <w:r w:rsidR="004F3685">
        <w:rPr>
          <w:rFonts w:hint="eastAsia"/>
          <w:sz w:val="30"/>
          <w:szCs w:val="30"/>
        </w:rPr>
        <w:t xml:space="preserve"> ,</w:t>
      </w:r>
      <w:r w:rsidRPr="00081F3C">
        <w:rPr>
          <w:sz w:val="30"/>
          <w:szCs w:val="30"/>
        </w:rPr>
        <w:t>knowledge originates from experience.</w:t>
      </w:r>
      <w:r w:rsidRPr="0026678C">
        <w:rPr>
          <w:rFonts w:hint="eastAsia"/>
          <w:sz w:val="30"/>
          <w:szCs w:val="30"/>
        </w:rPr>
        <w:t xml:space="preserve"> </w:t>
      </w:r>
      <w:r w:rsidRPr="00081F3C">
        <w:rPr>
          <w:sz w:val="30"/>
          <w:szCs w:val="30"/>
        </w:rPr>
        <w:t>Validation through Experimentation</w:t>
      </w:r>
      <w:r w:rsidRPr="0026678C">
        <w:rPr>
          <w:rFonts w:hint="eastAsia"/>
          <w:sz w:val="30"/>
          <w:szCs w:val="30"/>
        </w:rPr>
        <w:t>, g</w:t>
      </w:r>
      <w:r w:rsidRPr="00081F3C">
        <w:rPr>
          <w:sz w:val="30"/>
          <w:szCs w:val="30"/>
        </w:rPr>
        <w:t>iven the highly practical nature of user experience research, this study depends heavily on data analysis and model validation</w:t>
      </w:r>
      <w:r w:rsidR="00656EC3">
        <w:rPr>
          <w:rFonts w:hint="eastAsia"/>
          <w:sz w:val="30"/>
          <w:szCs w:val="30"/>
        </w:rPr>
        <w:t xml:space="preserve"> </w:t>
      </w:r>
      <w:r w:rsidR="004F3685">
        <w:rPr>
          <w:rFonts w:hint="eastAsia"/>
          <w:sz w:val="30"/>
          <w:szCs w:val="30"/>
        </w:rPr>
        <w:t>(</w:t>
      </w:r>
      <w:r w:rsidR="004F3685" w:rsidRPr="004F3685">
        <w:rPr>
          <w:sz w:val="30"/>
          <w:szCs w:val="30"/>
        </w:rPr>
        <w:t>Clauset, A</w:t>
      </w:r>
      <w:r w:rsidR="004F3685">
        <w:rPr>
          <w:rFonts w:hint="eastAsia"/>
          <w:sz w:val="30"/>
          <w:szCs w:val="30"/>
        </w:rPr>
        <w:t xml:space="preserve"> 2020)</w:t>
      </w:r>
      <w:r w:rsidRPr="00081F3C">
        <w:rPr>
          <w:sz w:val="30"/>
          <w:szCs w:val="30"/>
        </w:rPr>
        <w:t>. The process of inductive analysis, which identifies patterns from specific data points to form general conclusions, reflects the empirical methodology</w:t>
      </w:r>
      <w:r w:rsidR="004F3685">
        <w:rPr>
          <w:rStyle w:val="a9"/>
          <w:sz w:val="30"/>
          <w:szCs w:val="30"/>
        </w:rPr>
        <w:endnoteReference w:id="35"/>
      </w:r>
      <w:r w:rsidRPr="00081F3C">
        <w:rPr>
          <w:sz w:val="30"/>
          <w:szCs w:val="30"/>
        </w:rPr>
        <w:t>.</w:t>
      </w:r>
    </w:p>
    <w:p w14:paraId="19AB1054" w14:textId="5E478940" w:rsidR="00146297" w:rsidRPr="00081F3C" w:rsidRDefault="00146297" w:rsidP="004F3685">
      <w:pPr>
        <w:ind w:firstLineChars="150" w:firstLine="450"/>
        <w:rPr>
          <w:sz w:val="30"/>
          <w:szCs w:val="30"/>
        </w:rPr>
      </w:pPr>
      <w:r w:rsidRPr="00081F3C">
        <w:rPr>
          <w:sz w:val="30"/>
          <w:szCs w:val="30"/>
        </w:rPr>
        <w:t>Practical Testing and Optimization</w:t>
      </w:r>
      <w:r w:rsidRPr="0026678C">
        <w:rPr>
          <w:rFonts w:hint="eastAsia"/>
          <w:sz w:val="30"/>
          <w:szCs w:val="30"/>
        </w:rPr>
        <w:t xml:space="preserve"> </w:t>
      </w:r>
      <w:r w:rsidRPr="00081F3C">
        <w:rPr>
          <w:sz w:val="30"/>
          <w:szCs w:val="30"/>
        </w:rPr>
        <w:t>Through testing and optimizing the virtual museum, the study validates the effectiveness of design interventions. This experimental and practice-based approach is a hallmark of empiricism.</w:t>
      </w:r>
      <w:r w:rsidR="004F3685">
        <w:rPr>
          <w:rStyle w:val="a9"/>
          <w:sz w:val="30"/>
          <w:szCs w:val="30"/>
        </w:rPr>
        <w:endnoteReference w:id="36"/>
      </w:r>
      <w:r w:rsidRPr="00081F3C">
        <w:rPr>
          <w:sz w:val="30"/>
          <w:szCs w:val="30"/>
        </w:rPr>
        <w:t xml:space="preserve"> Furthermore, the study emphasizes sensory interaction (visual, </w:t>
      </w:r>
      <w:r w:rsidRPr="00081F3C">
        <w:rPr>
          <w:sz w:val="30"/>
          <w:szCs w:val="30"/>
        </w:rPr>
        <w:lastRenderedPageBreak/>
        <w:t xml:space="preserve">auditory, tactile) as users engage with virtual exhibits, mirroring empiricism’s focus on sensory-derived knowledge. For instance, the 2021 </w:t>
      </w:r>
      <w:r w:rsidRPr="00081F3C">
        <w:rPr>
          <w:i/>
          <w:iCs/>
          <w:sz w:val="30"/>
          <w:szCs w:val="30"/>
        </w:rPr>
        <w:t>National Treasure Mystery</w:t>
      </w:r>
      <w:r w:rsidRPr="00081F3C">
        <w:rPr>
          <w:sz w:val="30"/>
          <w:szCs w:val="30"/>
        </w:rPr>
        <w:t xml:space="preserve"> project</w:t>
      </w:r>
      <w:r w:rsidR="004F3685">
        <w:rPr>
          <w:rStyle w:val="a9"/>
          <w:sz w:val="30"/>
          <w:szCs w:val="30"/>
        </w:rPr>
        <w:endnoteReference w:id="37"/>
      </w:r>
      <w:r w:rsidRPr="00081F3C">
        <w:rPr>
          <w:sz w:val="30"/>
          <w:szCs w:val="30"/>
        </w:rPr>
        <w:t xml:space="preserve"> at the Hunan Museum incorporated 66 motion-capture cameras and 14 customized artifact props, leveraging VR interaction to create a "Night at the Museum" experience. This underscores how sensory engagement and empirical approaches enable a project's viability.</w:t>
      </w:r>
    </w:p>
    <w:p w14:paraId="529E2561" w14:textId="77777777" w:rsidR="00146297" w:rsidRPr="00081F3C" w:rsidRDefault="00146297" w:rsidP="00146297">
      <w:pPr>
        <w:ind w:firstLineChars="150" w:firstLine="450"/>
        <w:rPr>
          <w:sz w:val="30"/>
          <w:szCs w:val="30"/>
        </w:rPr>
      </w:pPr>
      <w:r w:rsidRPr="00081F3C">
        <w:rPr>
          <w:sz w:val="30"/>
          <w:szCs w:val="30"/>
        </w:rPr>
        <w:t>In conclusion, this study’s epistemological foundation leans heavily on empiricism. By collecting, refining, and observing data to derive actionable insights, the study adopts an experience-driven methodology. This not only aligns with the research objectives but also provides meaningful guidance for virtual museum design.</w:t>
      </w:r>
    </w:p>
    <w:p w14:paraId="5F50A0E5" w14:textId="77777777" w:rsidR="00146297" w:rsidRPr="00146297" w:rsidRDefault="00146297"/>
    <w:p w14:paraId="3CC02CE0" w14:textId="77777777" w:rsidR="00146297" w:rsidRDefault="00146297">
      <w:pPr>
        <w:rPr>
          <w:lang w:val="en-GB"/>
        </w:rPr>
      </w:pPr>
    </w:p>
    <w:p w14:paraId="439A7887" w14:textId="77777777" w:rsidR="00146297" w:rsidRDefault="00146297">
      <w:pPr>
        <w:rPr>
          <w:lang w:val="en-GB"/>
        </w:rPr>
      </w:pPr>
    </w:p>
    <w:p w14:paraId="04E8D8D7" w14:textId="77777777" w:rsidR="00146297" w:rsidRDefault="00146297">
      <w:pPr>
        <w:rPr>
          <w:lang w:val="en-GB"/>
        </w:rPr>
      </w:pPr>
    </w:p>
    <w:p w14:paraId="45B4C623" w14:textId="77552FF1" w:rsidR="00146297" w:rsidRPr="00146297" w:rsidRDefault="0042700D" w:rsidP="00146297">
      <w:pPr>
        <w:rPr>
          <w:b/>
          <w:bCs/>
          <w:sz w:val="30"/>
          <w:szCs w:val="30"/>
        </w:rPr>
      </w:pPr>
      <w:r>
        <w:rPr>
          <w:rFonts w:hint="eastAsia"/>
          <w:b/>
          <w:bCs/>
          <w:sz w:val="30"/>
          <w:szCs w:val="30"/>
        </w:rPr>
        <w:t>2</w:t>
      </w:r>
      <w:r w:rsidR="00146297" w:rsidRPr="00146297">
        <w:rPr>
          <w:b/>
          <w:bCs/>
          <w:sz w:val="30"/>
          <w:szCs w:val="30"/>
        </w:rPr>
        <w:t>. The Knowledge Tree Roots and Map of This Research</w:t>
      </w:r>
    </w:p>
    <w:p w14:paraId="4321F685" w14:textId="6718A7D1" w:rsidR="00146297" w:rsidRPr="00146297" w:rsidRDefault="00146297" w:rsidP="00146297">
      <w:pPr>
        <w:ind w:firstLineChars="100" w:firstLine="300"/>
        <w:rPr>
          <w:sz w:val="30"/>
          <w:szCs w:val="30"/>
        </w:rPr>
      </w:pPr>
      <w:r w:rsidRPr="00146297">
        <w:rPr>
          <w:sz w:val="30"/>
          <w:szCs w:val="30"/>
        </w:rPr>
        <w:t xml:space="preserve">Researching a project necessarily requires starting from why it happens. For user experience (UX) research, as a highly practical discipline, this applies particularly to this project. Be it the ontological and epistemological framework or the purposes and significance of the research, none of these aspects can be separated from the inherent attributes of what is being studied, </w:t>
      </w:r>
      <w:r w:rsidRPr="00146297">
        <w:rPr>
          <w:sz w:val="30"/>
          <w:szCs w:val="30"/>
        </w:rPr>
        <w:lastRenderedPageBreak/>
        <w:t>namely the origins of UX research itself. Historically, UX research as a formal discipline has been established for a relatively short time</w:t>
      </w:r>
      <w:r w:rsidR="004F3685">
        <w:rPr>
          <w:rStyle w:val="a9"/>
          <w:sz w:val="30"/>
          <w:szCs w:val="30"/>
        </w:rPr>
        <w:endnoteReference w:id="38"/>
      </w:r>
      <w:r w:rsidRPr="00146297">
        <w:rPr>
          <w:sz w:val="30"/>
          <w:szCs w:val="30"/>
        </w:rPr>
        <w:t>. However, its background reveals that throughout the long course of human history, people have long recognized the critical role of tool usage and environmental conditions in influencing the effectiveness of their application</w:t>
      </w:r>
      <w:r w:rsidR="004F3685">
        <w:rPr>
          <w:rFonts w:hint="eastAsia"/>
          <w:sz w:val="30"/>
          <w:szCs w:val="30"/>
        </w:rPr>
        <w:t xml:space="preserve"> (</w:t>
      </w:r>
      <w:r w:rsidR="004F3685" w:rsidRPr="004F3685">
        <w:rPr>
          <w:sz w:val="30"/>
          <w:szCs w:val="30"/>
        </w:rPr>
        <w:t>Hassenzahl, M. and Tractinsky, N., 2006</w:t>
      </w:r>
      <w:r w:rsidR="004F3685">
        <w:rPr>
          <w:rFonts w:hint="eastAsia"/>
          <w:sz w:val="30"/>
          <w:szCs w:val="30"/>
        </w:rPr>
        <w:t>)</w:t>
      </w:r>
      <w:r w:rsidRPr="00146297">
        <w:rPr>
          <w:sz w:val="30"/>
          <w:szCs w:val="30"/>
        </w:rPr>
        <w:t>.</w:t>
      </w:r>
    </w:p>
    <w:p w14:paraId="0EB1878A" w14:textId="2CAE6988" w:rsidR="00146297" w:rsidRDefault="00CD300B" w:rsidP="00CD300B">
      <w:pPr>
        <w:ind w:firstLineChars="100" w:firstLine="210"/>
      </w:pPr>
      <w:r w:rsidRPr="00CD300B">
        <w:drawing>
          <wp:inline distT="0" distB="0" distL="0" distR="0" wp14:anchorId="3A136305" wp14:editId="3C93FEDE">
            <wp:extent cx="5274310" cy="2613025"/>
            <wp:effectExtent l="0" t="0" r="2540" b="0"/>
            <wp:docPr id="106465494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654943" name=""/>
                    <pic:cNvPicPr/>
                  </pic:nvPicPr>
                  <pic:blipFill>
                    <a:blip r:embed="rId7"/>
                    <a:stretch>
                      <a:fillRect/>
                    </a:stretch>
                  </pic:blipFill>
                  <pic:spPr>
                    <a:xfrm>
                      <a:off x="0" y="0"/>
                      <a:ext cx="5274310" cy="2613025"/>
                    </a:xfrm>
                    <a:prstGeom prst="rect">
                      <a:avLst/>
                    </a:prstGeom>
                  </pic:spPr>
                </pic:pic>
              </a:graphicData>
            </a:graphic>
          </wp:inline>
        </w:drawing>
      </w:r>
    </w:p>
    <w:p w14:paraId="681704FF" w14:textId="4234B93E" w:rsidR="00CD300B" w:rsidRPr="00146297" w:rsidRDefault="00CD300B" w:rsidP="00CD300B">
      <w:pPr>
        <w:ind w:firstLineChars="100" w:firstLine="210"/>
        <w:rPr>
          <w:rFonts w:hint="eastAsia"/>
        </w:rPr>
      </w:pPr>
      <w:r>
        <w:rPr>
          <w:rFonts w:hint="eastAsia"/>
        </w:rPr>
        <w:t xml:space="preserve">                        Three steps of the family trees</w:t>
      </w:r>
    </w:p>
    <w:p w14:paraId="639B30EA" w14:textId="7BB34893" w:rsidR="00146297" w:rsidRPr="00CD300B" w:rsidRDefault="00CD300B">
      <w:pPr>
        <w:rPr>
          <w:lang w:val="en-GB"/>
        </w:rPr>
      </w:pPr>
      <w:r>
        <w:rPr>
          <w:rFonts w:hint="eastAsia"/>
          <w:lang w:val="en-GB"/>
        </w:rPr>
        <w:t xml:space="preserve">      </w:t>
      </w:r>
      <w:r w:rsidRPr="00CD300B">
        <w:rPr>
          <w:rFonts w:hint="eastAsia"/>
          <w:b/>
          <w:bCs/>
          <w:lang w:val="en-GB"/>
        </w:rPr>
        <w:t xml:space="preserve">   </w:t>
      </w:r>
      <w:r>
        <w:rPr>
          <w:rFonts w:hint="eastAsia"/>
          <w:b/>
          <w:bCs/>
          <w:lang w:val="en-GB"/>
        </w:rPr>
        <w:t xml:space="preserve">             </w:t>
      </w:r>
      <w:r w:rsidRPr="00CD300B">
        <w:rPr>
          <w:rFonts w:hint="eastAsia"/>
          <w:lang w:val="en-GB"/>
        </w:rPr>
        <w:t xml:space="preserve"> </w:t>
      </w:r>
      <w:r>
        <w:rPr>
          <w:rFonts w:hint="eastAsia"/>
          <w:lang w:val="en-GB"/>
        </w:rPr>
        <w:t>（</w:t>
      </w:r>
      <w:r w:rsidRPr="00CD300B">
        <w:t>The images are created by myself</w:t>
      </w:r>
      <w:r>
        <w:rPr>
          <w:rFonts w:hint="eastAsia"/>
        </w:rPr>
        <w:t>）</w:t>
      </w:r>
    </w:p>
    <w:p w14:paraId="09D1975B" w14:textId="6DD2C333" w:rsidR="00146297" w:rsidRPr="00146297" w:rsidRDefault="0042700D" w:rsidP="00146297">
      <w:pPr>
        <w:rPr>
          <w:b/>
          <w:bCs/>
          <w:sz w:val="30"/>
          <w:szCs w:val="30"/>
        </w:rPr>
      </w:pPr>
      <w:r>
        <w:rPr>
          <w:rFonts w:hint="eastAsia"/>
          <w:b/>
          <w:bCs/>
          <w:sz w:val="30"/>
          <w:szCs w:val="30"/>
        </w:rPr>
        <w:t>2</w:t>
      </w:r>
      <w:r w:rsidR="00146297" w:rsidRPr="00146297">
        <w:rPr>
          <w:b/>
          <w:bCs/>
          <w:sz w:val="30"/>
          <w:szCs w:val="30"/>
        </w:rPr>
        <w:t>.1 The First Stage: The Early Emergence of UX Research in History</w:t>
      </w:r>
    </w:p>
    <w:p w14:paraId="48A83F05" w14:textId="17ACE4F4" w:rsidR="00146297" w:rsidRPr="00146297" w:rsidRDefault="00146297" w:rsidP="00146297">
      <w:pPr>
        <w:ind w:firstLineChars="100" w:firstLine="300"/>
        <w:rPr>
          <w:sz w:val="30"/>
          <w:szCs w:val="30"/>
        </w:rPr>
      </w:pPr>
      <w:r w:rsidRPr="00146297">
        <w:rPr>
          <w:sz w:val="30"/>
          <w:szCs w:val="30"/>
        </w:rPr>
        <w:t>According to relevant literature, as early as the 5th century BCE, ancient Greek civilization began designing and constructing their tools and living spaces based on ergonomic principles.</w:t>
      </w:r>
      <w:r w:rsidR="004F3685">
        <w:rPr>
          <w:rStyle w:val="a9"/>
          <w:sz w:val="30"/>
          <w:szCs w:val="30"/>
        </w:rPr>
        <w:endnoteReference w:id="39"/>
      </w:r>
    </w:p>
    <w:p w14:paraId="79868F29" w14:textId="7D60E1E2" w:rsidR="00146297" w:rsidRPr="00146297" w:rsidRDefault="00146297" w:rsidP="00146297">
      <w:pPr>
        <w:ind w:firstLineChars="100" w:firstLine="300"/>
        <w:rPr>
          <w:sz w:val="30"/>
          <w:szCs w:val="30"/>
        </w:rPr>
      </w:pPr>
      <w:r w:rsidRPr="00146297">
        <w:rPr>
          <w:sz w:val="30"/>
          <w:szCs w:val="30"/>
        </w:rPr>
        <w:t xml:space="preserve">As defined by the International Ergonomics Association, ergonomics, or human factors engineering, is a discipline </w:t>
      </w:r>
      <w:r w:rsidRPr="00146297">
        <w:rPr>
          <w:sz w:val="30"/>
          <w:szCs w:val="30"/>
        </w:rPr>
        <w:lastRenderedPageBreak/>
        <w:t>“concerned with understanding the interactions between humans and other elements of a system and applying relevant theories, principles, data, and methods to design and optimize human well-being and overall system performance.</w:t>
      </w:r>
      <w:r w:rsidR="004F3685">
        <w:rPr>
          <w:rFonts w:hint="eastAsia"/>
          <w:sz w:val="30"/>
          <w:szCs w:val="30"/>
        </w:rPr>
        <w:t>(</w:t>
      </w:r>
      <w:r w:rsidR="004F3685" w:rsidRPr="004F3685">
        <w:rPr>
          <w:rFonts w:ascii="Arial" w:hAnsi="Arial" w:cs="Arial"/>
          <w:color w:val="222222"/>
          <w:sz w:val="20"/>
          <w:szCs w:val="20"/>
          <w:shd w:val="clear" w:color="auto" w:fill="FFFFFF"/>
        </w:rPr>
        <w:t xml:space="preserve"> </w:t>
      </w:r>
      <w:r w:rsidR="004F3685" w:rsidRPr="004F3685">
        <w:rPr>
          <w:sz w:val="30"/>
          <w:szCs w:val="30"/>
        </w:rPr>
        <w:t>Nunnally, B. and Farkas, D., 2016</w:t>
      </w:r>
      <w:r w:rsidR="004F3685">
        <w:rPr>
          <w:rFonts w:hint="eastAsia"/>
          <w:sz w:val="30"/>
          <w:szCs w:val="30"/>
        </w:rPr>
        <w:t>)</w:t>
      </w:r>
      <w:r w:rsidRPr="00146297">
        <w:rPr>
          <w:sz w:val="30"/>
          <w:szCs w:val="30"/>
        </w:rPr>
        <w:t>” The ancient Greeks valued ergonomic principles significantly, as reflected in Hippocrates’ (the father of Greek medicine) descriptions of how to establish surgical workspaces.</w:t>
      </w:r>
    </w:p>
    <w:p w14:paraId="3A2F0AC3" w14:textId="35CD76A8" w:rsidR="00146297" w:rsidRPr="00146297" w:rsidRDefault="00146297" w:rsidP="00146297">
      <w:pPr>
        <w:ind w:firstLineChars="100" w:firstLine="300"/>
        <w:rPr>
          <w:sz w:val="30"/>
          <w:szCs w:val="30"/>
        </w:rPr>
      </w:pPr>
      <w:r w:rsidRPr="00146297">
        <w:rPr>
          <w:sz w:val="30"/>
          <w:szCs w:val="30"/>
        </w:rPr>
        <w:t>Michael Gelb, in his book</w:t>
      </w:r>
      <w:r w:rsidRPr="00CD300B">
        <w:rPr>
          <w:sz w:val="30"/>
          <w:szCs w:val="30"/>
        </w:rPr>
        <w:t xml:space="preserve"> How to</w:t>
      </w:r>
      <w:r w:rsidRPr="00146297">
        <w:rPr>
          <w:i/>
          <w:iCs/>
          <w:sz w:val="30"/>
          <w:szCs w:val="30"/>
        </w:rPr>
        <w:t xml:space="preserve"> </w:t>
      </w:r>
      <w:r w:rsidRPr="00146297">
        <w:rPr>
          <w:sz w:val="30"/>
          <w:szCs w:val="30"/>
        </w:rPr>
        <w:t>Think Like Leonardo da Vinci</w:t>
      </w:r>
      <w:r w:rsidR="004F3685">
        <w:rPr>
          <w:rStyle w:val="a9"/>
          <w:sz w:val="30"/>
          <w:szCs w:val="30"/>
        </w:rPr>
        <w:endnoteReference w:id="40"/>
      </w:r>
      <w:r w:rsidRPr="00146297">
        <w:rPr>
          <w:sz w:val="30"/>
          <w:szCs w:val="30"/>
        </w:rPr>
        <w:t>, recounts the story of the Duke of Milan commissioning Leonardo da Vinci to design a custom kitchen for high-end banquets. Da Vinci, with his innate creative genius, infused technology and UX design into every detail of the kitchen. For instance, he incorporated conveyor belts to deliver food and included a fire-sprinkling system as a safety measure in the kitchen for the first time</w:t>
      </w:r>
      <w:r w:rsidR="004F3685">
        <w:rPr>
          <w:rStyle w:val="a9"/>
          <w:sz w:val="30"/>
          <w:szCs w:val="30"/>
        </w:rPr>
        <w:endnoteReference w:id="41"/>
      </w:r>
      <w:r w:rsidRPr="00146297">
        <w:rPr>
          <w:sz w:val="30"/>
          <w:szCs w:val="30"/>
        </w:rPr>
        <w:t>.</w:t>
      </w:r>
    </w:p>
    <w:p w14:paraId="39BC9FD9" w14:textId="6EC9836F" w:rsidR="00146297" w:rsidRPr="00146297" w:rsidRDefault="00146297" w:rsidP="00146297">
      <w:pPr>
        <w:ind w:firstLineChars="100" w:firstLine="300"/>
        <w:rPr>
          <w:sz w:val="30"/>
          <w:szCs w:val="30"/>
        </w:rPr>
      </w:pPr>
      <w:r w:rsidRPr="00146297">
        <w:rPr>
          <w:sz w:val="30"/>
          <w:szCs w:val="30"/>
        </w:rPr>
        <w:t>Interestingly, even a visionary like Da Vinci had limitations in his pioneering designs. The conveyor belts required manual operation rather than automated mechanical transmission, and the fire-sprinkling system malfunctioned, accidentally destroying some of the food. Nonetheless, Da Vinci's attempt to make life more convenient and beautiful</w:t>
      </w:r>
      <w:r w:rsidR="007453DD">
        <w:rPr>
          <w:rStyle w:val="a9"/>
          <w:sz w:val="30"/>
          <w:szCs w:val="30"/>
        </w:rPr>
        <w:endnoteReference w:id="42"/>
      </w:r>
      <w:r w:rsidRPr="00146297">
        <w:rPr>
          <w:sz w:val="30"/>
          <w:szCs w:val="30"/>
        </w:rPr>
        <w:t xml:space="preserve"> captured the essence of addressing user pain points—a concept realized in modern </w:t>
      </w:r>
      <w:r w:rsidRPr="00146297">
        <w:rPr>
          <w:sz w:val="30"/>
          <w:szCs w:val="30"/>
        </w:rPr>
        <w:lastRenderedPageBreak/>
        <w:t>design practices, such as streamlined kitchen workflows and advanced fire safety systems</w:t>
      </w:r>
      <w:r w:rsidR="004F3685">
        <w:rPr>
          <w:rFonts w:hint="eastAsia"/>
          <w:sz w:val="30"/>
          <w:szCs w:val="30"/>
        </w:rPr>
        <w:t xml:space="preserve">, from such instance we can see that the da vinci was the pioneer to using the UX knowledges to </w:t>
      </w:r>
      <w:r w:rsidR="007453DD">
        <w:rPr>
          <w:rFonts w:hint="eastAsia"/>
          <w:sz w:val="30"/>
          <w:szCs w:val="30"/>
        </w:rPr>
        <w:t>create the better world.</w:t>
      </w:r>
    </w:p>
    <w:p w14:paraId="2FD385EB" w14:textId="77777777" w:rsidR="00146297" w:rsidRPr="00146297" w:rsidRDefault="00146297">
      <w:pPr>
        <w:rPr>
          <w:sz w:val="30"/>
          <w:szCs w:val="30"/>
        </w:rPr>
      </w:pPr>
    </w:p>
    <w:p w14:paraId="0E69CDE6" w14:textId="77777777" w:rsidR="00146297" w:rsidRDefault="00146297">
      <w:pPr>
        <w:rPr>
          <w:lang w:val="en-GB"/>
        </w:rPr>
      </w:pPr>
    </w:p>
    <w:p w14:paraId="5AD2A607" w14:textId="77777777" w:rsidR="00146297" w:rsidRDefault="00146297">
      <w:pPr>
        <w:rPr>
          <w:lang w:val="en-GB"/>
        </w:rPr>
      </w:pPr>
    </w:p>
    <w:p w14:paraId="16E29E47" w14:textId="5033CC21" w:rsidR="00146297" w:rsidRPr="00146297" w:rsidRDefault="0042700D" w:rsidP="00146297">
      <w:pPr>
        <w:rPr>
          <w:b/>
          <w:bCs/>
          <w:sz w:val="30"/>
          <w:szCs w:val="30"/>
        </w:rPr>
      </w:pPr>
      <w:r>
        <w:rPr>
          <w:rFonts w:hint="eastAsia"/>
          <w:b/>
          <w:bCs/>
          <w:sz w:val="30"/>
          <w:szCs w:val="30"/>
        </w:rPr>
        <w:t>2</w:t>
      </w:r>
      <w:r w:rsidR="00146297" w:rsidRPr="00146297">
        <w:rPr>
          <w:b/>
          <w:bCs/>
          <w:sz w:val="30"/>
          <w:szCs w:val="30"/>
        </w:rPr>
        <w:t>.2 The Second Stage: UX Research as a Framework for Human-Machine Interaction</w:t>
      </w:r>
    </w:p>
    <w:p w14:paraId="0EDEBBB3" w14:textId="77777777" w:rsidR="00146297" w:rsidRPr="00146297" w:rsidRDefault="00146297" w:rsidP="00146297">
      <w:pPr>
        <w:ind w:firstLineChars="100" w:firstLine="300"/>
        <w:rPr>
          <w:sz w:val="30"/>
          <w:szCs w:val="30"/>
        </w:rPr>
      </w:pPr>
      <w:r w:rsidRPr="00146297">
        <w:rPr>
          <w:sz w:val="30"/>
          <w:szCs w:val="30"/>
        </w:rPr>
        <w:t>With the Second Industrial Revolution spreading across Western countries, more entrepreneurs recognized the importance of scientifically and efficiently managing business activities.</w:t>
      </w:r>
    </w:p>
    <w:p w14:paraId="11D37475" w14:textId="6C143FDC" w:rsidR="00146297" w:rsidRPr="00146297" w:rsidRDefault="00146297" w:rsidP="00146297">
      <w:pPr>
        <w:ind w:firstLineChars="100" w:firstLine="300"/>
        <w:rPr>
          <w:sz w:val="30"/>
          <w:szCs w:val="30"/>
        </w:rPr>
      </w:pPr>
      <w:r w:rsidRPr="00146297">
        <w:rPr>
          <w:sz w:val="30"/>
          <w:szCs w:val="30"/>
        </w:rPr>
        <w:t>In the early 20th century, Frederick Winslow Taylor</w:t>
      </w:r>
      <w:r w:rsidR="007453DD">
        <w:rPr>
          <w:rStyle w:val="a9"/>
          <w:sz w:val="30"/>
          <w:szCs w:val="30"/>
        </w:rPr>
        <w:endnoteReference w:id="43"/>
      </w:r>
      <w:r w:rsidRPr="00146297">
        <w:rPr>
          <w:sz w:val="30"/>
          <w:szCs w:val="30"/>
        </w:rPr>
        <w:t>, a mechanical engineer and pioneer of Taylorism (now known as Scientific Management), conducted extensive studies on the interaction between humans and tools to improve labor productivity. In 1911, Taylor wrote The Principles of Scientific Management</w:t>
      </w:r>
      <w:r w:rsidR="007453DD">
        <w:rPr>
          <w:rStyle w:val="a9"/>
          <w:sz w:val="30"/>
          <w:szCs w:val="30"/>
        </w:rPr>
        <w:endnoteReference w:id="44"/>
      </w:r>
      <w:r w:rsidRPr="00146297">
        <w:rPr>
          <w:sz w:val="30"/>
          <w:szCs w:val="30"/>
        </w:rPr>
        <w:t xml:space="preserve">, asserting that systematic management was the solution to inefficiency. This work profoundly impacted studies on engineering efficiency. As Henry Ford implemented mass production with Ford automobiles, Taylor and his supporters gradually developed an early model of efficient synergy between </w:t>
      </w:r>
      <w:r w:rsidRPr="00146297">
        <w:rPr>
          <w:sz w:val="30"/>
          <w:szCs w:val="30"/>
        </w:rPr>
        <w:lastRenderedPageBreak/>
        <w:t>workers and tools</w:t>
      </w:r>
      <w:r w:rsidR="007453DD">
        <w:rPr>
          <w:rFonts w:hint="eastAsia"/>
          <w:sz w:val="30"/>
          <w:szCs w:val="30"/>
        </w:rPr>
        <w:t>(</w:t>
      </w:r>
      <w:r w:rsidR="007453DD" w:rsidRPr="007453DD">
        <w:rPr>
          <w:sz w:val="30"/>
          <w:szCs w:val="30"/>
        </w:rPr>
        <w:t>Cadbury, E., 1914</w:t>
      </w:r>
      <w:r w:rsidR="007453DD">
        <w:rPr>
          <w:rFonts w:hint="eastAsia"/>
          <w:sz w:val="30"/>
          <w:szCs w:val="30"/>
        </w:rPr>
        <w:t>)</w:t>
      </w:r>
      <w:r w:rsidRPr="00146297">
        <w:rPr>
          <w:sz w:val="30"/>
          <w:szCs w:val="30"/>
        </w:rPr>
        <w:t>.</w:t>
      </w:r>
    </w:p>
    <w:p w14:paraId="78276958" w14:textId="77777777" w:rsidR="00146297" w:rsidRPr="00146297" w:rsidRDefault="00146297" w:rsidP="00146297">
      <w:pPr>
        <w:ind w:firstLineChars="100" w:firstLine="300"/>
        <w:rPr>
          <w:sz w:val="30"/>
          <w:szCs w:val="30"/>
        </w:rPr>
      </w:pPr>
      <w:r w:rsidRPr="00146297">
        <w:rPr>
          <w:sz w:val="30"/>
          <w:szCs w:val="30"/>
        </w:rPr>
        <w:t>This reflected one of UX's most important business aspects: improving efficiency. Identifying and solving problems, particularly the conflicts between workers (users) and tools (products), optimized workflows, making tools more convenient and efficient for workers while achieving the enterprise's goals of mass production—a win-win realized through UX research.</w:t>
      </w:r>
    </w:p>
    <w:p w14:paraId="1B0141B1" w14:textId="13EB7040" w:rsidR="00146297" w:rsidRPr="00146297" w:rsidRDefault="00146297" w:rsidP="00146297">
      <w:pPr>
        <w:rPr>
          <w:sz w:val="30"/>
          <w:szCs w:val="30"/>
        </w:rPr>
      </w:pPr>
      <w:r w:rsidRPr="00146297">
        <w:rPr>
          <w:sz w:val="30"/>
          <w:szCs w:val="30"/>
        </w:rPr>
        <w:t>In addition, by 1948, seeking efficiency improvements, Japanese automobile company Toyota developed the renowned people-centered Toyota Production System</w:t>
      </w:r>
      <w:r w:rsidR="007453DD">
        <w:rPr>
          <w:rStyle w:val="a9"/>
          <w:sz w:val="30"/>
          <w:szCs w:val="30"/>
        </w:rPr>
        <w:endnoteReference w:id="45"/>
      </w:r>
      <w:r w:rsidRPr="00146297">
        <w:rPr>
          <w:sz w:val="30"/>
          <w:szCs w:val="30"/>
        </w:rPr>
        <w:t>. Unlike Taylorism, Toyota’s system was based on respect for individuals and focused on creating the best work environment. For instance, Toyota factory workers could halt an assembly line to test feedback or improve processes—much like usability testing.</w:t>
      </w:r>
    </w:p>
    <w:p w14:paraId="1A41EC5C" w14:textId="77777777" w:rsidR="00146297" w:rsidRPr="00146297" w:rsidRDefault="00146297" w:rsidP="00146297">
      <w:pPr>
        <w:ind w:firstLineChars="100" w:firstLine="300"/>
        <w:rPr>
          <w:sz w:val="30"/>
          <w:szCs w:val="30"/>
        </w:rPr>
      </w:pPr>
      <w:r w:rsidRPr="00146297">
        <w:rPr>
          <w:sz w:val="30"/>
          <w:szCs w:val="30"/>
        </w:rPr>
        <w:t>This deliberate emphasis on UX—through post-launch feedback, user needs analysis, and scenario-based integration—demonstrated “user-centered” design in real-world applications.</w:t>
      </w:r>
    </w:p>
    <w:p w14:paraId="2E2A1AAC" w14:textId="77777777" w:rsidR="00146297" w:rsidRPr="00146297" w:rsidRDefault="00146297">
      <w:pPr>
        <w:rPr>
          <w:sz w:val="30"/>
          <w:szCs w:val="30"/>
        </w:rPr>
      </w:pPr>
    </w:p>
    <w:p w14:paraId="35A9A9A2" w14:textId="01540770" w:rsidR="0062789A" w:rsidRPr="0062789A" w:rsidRDefault="0042700D" w:rsidP="0062789A">
      <w:pPr>
        <w:rPr>
          <w:b/>
          <w:bCs/>
          <w:sz w:val="30"/>
          <w:szCs w:val="30"/>
        </w:rPr>
      </w:pPr>
      <w:r>
        <w:rPr>
          <w:rFonts w:hint="eastAsia"/>
          <w:b/>
          <w:bCs/>
          <w:sz w:val="30"/>
          <w:szCs w:val="30"/>
        </w:rPr>
        <w:t>2</w:t>
      </w:r>
      <w:r w:rsidR="0062789A" w:rsidRPr="0062789A">
        <w:rPr>
          <w:b/>
          <w:bCs/>
          <w:sz w:val="30"/>
          <w:szCs w:val="30"/>
        </w:rPr>
        <w:t>.3 The Third Phase: User Experience Research as the Framework for Design Application Theory</w:t>
      </w:r>
    </w:p>
    <w:p w14:paraId="48DD83BE" w14:textId="4D7245D4" w:rsidR="0062789A" w:rsidRPr="0062789A" w:rsidRDefault="0062789A" w:rsidP="0062789A">
      <w:pPr>
        <w:ind w:firstLineChars="100" w:firstLine="300"/>
        <w:rPr>
          <w:sz w:val="30"/>
          <w:szCs w:val="30"/>
        </w:rPr>
      </w:pPr>
      <w:r w:rsidRPr="0062789A">
        <w:rPr>
          <w:sz w:val="30"/>
          <w:szCs w:val="30"/>
        </w:rPr>
        <w:t xml:space="preserve">In this phase, a user experience (UX)-centered framework takes shape, particularly advancing in the realm of design application </w:t>
      </w:r>
      <w:r w:rsidRPr="0062789A">
        <w:rPr>
          <w:sz w:val="30"/>
          <w:szCs w:val="30"/>
        </w:rPr>
        <w:lastRenderedPageBreak/>
        <w:t>theory</w:t>
      </w:r>
      <w:r w:rsidR="007453DD">
        <w:rPr>
          <w:rFonts w:hint="eastAsia"/>
          <w:sz w:val="30"/>
          <w:szCs w:val="30"/>
        </w:rPr>
        <w:t>(</w:t>
      </w:r>
      <w:r w:rsidR="007453DD" w:rsidRPr="007453DD">
        <w:rPr>
          <w:sz w:val="30"/>
          <w:szCs w:val="30"/>
        </w:rPr>
        <w:t>Da Silva, T.S</w:t>
      </w:r>
      <w:r w:rsidR="007453DD">
        <w:rPr>
          <w:rFonts w:hint="eastAsia"/>
          <w:sz w:val="30"/>
          <w:szCs w:val="30"/>
        </w:rPr>
        <w:t>.2012)</w:t>
      </w:r>
      <w:r w:rsidRPr="0062789A">
        <w:rPr>
          <w:sz w:val="30"/>
          <w:szCs w:val="30"/>
        </w:rPr>
        <w:t>. The essence of UX research in the context of design and design theory lies in deeply understanding users' needs, behaviors, and emotions. This data and insight provide strong support for design decisions. During the construction of design theories, UX research processes can reveal the core issues of design problems, identifying key points of theoretical growth. This ensures that design is logical, scientific, and actionable. With the support of such methodologies, design transitions from being purely driven by experience or inspiration to a process grounded in systematic thinking and scientific validation</w:t>
      </w:r>
      <w:r w:rsidR="007453DD">
        <w:rPr>
          <w:rStyle w:val="a9"/>
          <w:sz w:val="30"/>
          <w:szCs w:val="30"/>
        </w:rPr>
        <w:endnoteReference w:id="46"/>
      </w:r>
      <w:r w:rsidRPr="0062789A">
        <w:rPr>
          <w:sz w:val="30"/>
          <w:szCs w:val="30"/>
        </w:rPr>
        <w:t>.</w:t>
      </w:r>
    </w:p>
    <w:p w14:paraId="7513EC55" w14:textId="0CABF537" w:rsidR="0062789A" w:rsidRPr="0062789A" w:rsidRDefault="0062789A" w:rsidP="0062789A">
      <w:pPr>
        <w:ind w:firstLineChars="100" w:firstLine="300"/>
        <w:rPr>
          <w:sz w:val="30"/>
          <w:szCs w:val="30"/>
        </w:rPr>
      </w:pPr>
      <w:r w:rsidRPr="0062789A">
        <w:rPr>
          <w:sz w:val="30"/>
          <w:szCs w:val="30"/>
        </w:rPr>
        <w:t xml:space="preserve">As a content framework within the field of design, UX research is relatively recent. According to historical records, one of the earliest papers to propose UX research was </w:t>
      </w:r>
      <w:r w:rsidRPr="0062789A">
        <w:rPr>
          <w:i/>
          <w:iCs/>
          <w:sz w:val="30"/>
          <w:szCs w:val="30"/>
        </w:rPr>
        <w:t>"</w:t>
      </w:r>
      <w:r w:rsidRPr="0062789A">
        <w:rPr>
          <w:sz w:val="30"/>
          <w:szCs w:val="30"/>
        </w:rPr>
        <w:t>Production-Line Approach to Service</w:t>
      </w:r>
      <w:r w:rsidR="007453DD">
        <w:rPr>
          <w:rStyle w:val="a9"/>
          <w:sz w:val="30"/>
          <w:szCs w:val="30"/>
        </w:rPr>
        <w:endnoteReference w:id="47"/>
      </w:r>
      <w:r w:rsidRPr="0062789A">
        <w:rPr>
          <w:i/>
          <w:iCs/>
          <w:sz w:val="30"/>
          <w:szCs w:val="30"/>
        </w:rPr>
        <w:t>"</w:t>
      </w:r>
      <w:r w:rsidRPr="0062789A">
        <w:rPr>
          <w:sz w:val="30"/>
          <w:szCs w:val="30"/>
        </w:rPr>
        <w:t xml:space="preserve"> by Levitt, published in 1972 in the </w:t>
      </w:r>
      <w:r w:rsidRPr="0062789A">
        <w:rPr>
          <w:i/>
          <w:iCs/>
          <w:sz w:val="30"/>
          <w:szCs w:val="30"/>
        </w:rPr>
        <w:t>Harvard Business Review</w:t>
      </w:r>
      <w:r w:rsidRPr="0062789A">
        <w:rPr>
          <w:sz w:val="30"/>
          <w:szCs w:val="30"/>
        </w:rPr>
        <w:t xml:space="preserve">. In this paper, Levitt innovatively introduced the concept of "design," explicitly presenting UX research as a specialized form of service design realized through tangible machines and related tools. Building on this foundation, Shostack published </w:t>
      </w:r>
      <w:r w:rsidRPr="0062789A">
        <w:rPr>
          <w:i/>
          <w:iCs/>
          <w:sz w:val="30"/>
          <w:szCs w:val="30"/>
        </w:rPr>
        <w:t>"</w:t>
      </w:r>
      <w:r w:rsidRPr="0062789A">
        <w:rPr>
          <w:sz w:val="30"/>
          <w:szCs w:val="30"/>
        </w:rPr>
        <w:t>Designing Services That Deliver</w:t>
      </w:r>
      <w:r w:rsidR="007453DD">
        <w:rPr>
          <w:rStyle w:val="a9"/>
          <w:sz w:val="30"/>
          <w:szCs w:val="30"/>
        </w:rPr>
        <w:endnoteReference w:id="48"/>
      </w:r>
      <w:r w:rsidRPr="0062789A">
        <w:rPr>
          <w:sz w:val="30"/>
          <w:szCs w:val="30"/>
        </w:rPr>
        <w:t xml:space="preserve">" in the </w:t>
      </w:r>
      <w:r w:rsidRPr="0062789A">
        <w:rPr>
          <w:i/>
          <w:iCs/>
          <w:sz w:val="30"/>
          <w:szCs w:val="30"/>
        </w:rPr>
        <w:t>European Journal of Marketing</w:t>
      </w:r>
      <w:r w:rsidRPr="0062789A">
        <w:rPr>
          <w:sz w:val="30"/>
          <w:szCs w:val="30"/>
        </w:rPr>
        <w:t xml:space="preserve"> in 1982 and discussed the focus of design research in the Harvard Business Review in 1984. Shostack </w:t>
      </w:r>
      <w:r w:rsidRPr="0062789A">
        <w:rPr>
          <w:sz w:val="30"/>
          <w:szCs w:val="30"/>
        </w:rPr>
        <w:lastRenderedPageBreak/>
        <w:t>proposed that "service" and "design" are interdependent and culturally embedded concepts, intricately linked to each other</w:t>
      </w:r>
      <w:r w:rsidR="007453DD">
        <w:rPr>
          <w:rStyle w:val="a9"/>
          <w:sz w:val="30"/>
          <w:szCs w:val="30"/>
        </w:rPr>
        <w:endnoteReference w:id="49"/>
      </w:r>
      <w:r w:rsidRPr="0062789A">
        <w:rPr>
          <w:sz w:val="30"/>
          <w:szCs w:val="30"/>
        </w:rPr>
        <w:t>.</w:t>
      </w:r>
    </w:p>
    <w:p w14:paraId="185E70B1" w14:textId="30C6950F" w:rsidR="0062789A" w:rsidRPr="0062789A" w:rsidRDefault="0062789A" w:rsidP="007453DD">
      <w:pPr>
        <w:ind w:firstLineChars="100" w:firstLine="300"/>
        <w:rPr>
          <w:sz w:val="30"/>
          <w:szCs w:val="30"/>
        </w:rPr>
      </w:pPr>
      <w:r w:rsidRPr="0062789A">
        <w:rPr>
          <w:sz w:val="30"/>
          <w:szCs w:val="30"/>
        </w:rPr>
        <w:t>However, the true independence of UX research from the service economy, marking its establishment as a distinct domain within design, began in the late 20th century with the practices of American entrepreneur Walt Disney</w:t>
      </w:r>
      <w:r w:rsidR="007453DD">
        <w:rPr>
          <w:rStyle w:val="a9"/>
          <w:sz w:val="30"/>
          <w:szCs w:val="30"/>
        </w:rPr>
        <w:endnoteReference w:id="50"/>
      </w:r>
      <w:r w:rsidRPr="0062789A">
        <w:rPr>
          <w:sz w:val="30"/>
          <w:szCs w:val="30"/>
        </w:rPr>
        <w:t>.</w:t>
      </w:r>
    </w:p>
    <w:p w14:paraId="3845AB7B" w14:textId="3AB50AF5" w:rsidR="0062789A" w:rsidRPr="0062789A" w:rsidRDefault="0062789A" w:rsidP="0062789A">
      <w:pPr>
        <w:ind w:firstLineChars="100" w:firstLine="300"/>
        <w:rPr>
          <w:sz w:val="30"/>
          <w:szCs w:val="30"/>
        </w:rPr>
      </w:pPr>
      <w:r w:rsidRPr="0062789A">
        <w:rPr>
          <w:sz w:val="30"/>
          <w:szCs w:val="30"/>
        </w:rPr>
        <w:t>Walt Disney is regarded as one of the first true UX designers in history. During the early construction phases of Disney World, he described the project as follows</w:t>
      </w:r>
      <w:r w:rsidR="007453DD">
        <w:rPr>
          <w:rFonts w:hint="eastAsia"/>
          <w:sz w:val="30"/>
          <w:szCs w:val="30"/>
        </w:rPr>
        <w:t xml:space="preserve"> ,</w:t>
      </w:r>
      <w:r w:rsidRPr="0062789A">
        <w:rPr>
          <w:sz w:val="30"/>
          <w:szCs w:val="30"/>
        </w:rPr>
        <w:t>"It will be a place dedicated to improving people's lives through the use of the latest technologies.</w:t>
      </w:r>
      <w:r w:rsidR="007453DD">
        <w:rPr>
          <w:rStyle w:val="a9"/>
          <w:sz w:val="30"/>
          <w:szCs w:val="30"/>
        </w:rPr>
        <w:endnoteReference w:id="51"/>
      </w:r>
      <w:r w:rsidRPr="0062789A">
        <w:rPr>
          <w:sz w:val="30"/>
          <w:szCs w:val="30"/>
        </w:rPr>
        <w:t>"</w:t>
      </w:r>
    </w:p>
    <w:p w14:paraId="63D05457" w14:textId="5ED143C6" w:rsidR="0062789A" w:rsidRPr="0062789A" w:rsidRDefault="0062789A" w:rsidP="0062789A">
      <w:pPr>
        <w:ind w:firstLineChars="100" w:firstLine="300"/>
        <w:rPr>
          <w:sz w:val="30"/>
          <w:szCs w:val="30"/>
        </w:rPr>
      </w:pPr>
      <w:r w:rsidRPr="0062789A">
        <w:rPr>
          <w:sz w:val="30"/>
          <w:szCs w:val="30"/>
        </w:rPr>
        <w:t xml:space="preserve">His combination of imagination and technology brought happiness and joy to millions worldwide and inspired generations of designers, particularly UX designers. In an article for UX Magazine, Joseph Dickson outlined the guiding principles Walt Disney shared with his engineering team: </w:t>
      </w:r>
      <w:r w:rsidRPr="0062789A">
        <w:rPr>
          <w:i/>
          <w:iCs/>
          <w:sz w:val="30"/>
          <w:szCs w:val="30"/>
        </w:rPr>
        <w:t>"</w:t>
      </w:r>
      <w:r w:rsidRPr="0062789A">
        <w:rPr>
          <w:sz w:val="30"/>
          <w:szCs w:val="30"/>
        </w:rPr>
        <w:t>Know your audience, walk in your guests’ shoes, communicate with color, shape, and texture..."</w:t>
      </w:r>
      <w:r w:rsidR="007453DD">
        <w:rPr>
          <w:rStyle w:val="a9"/>
          <w:sz w:val="30"/>
          <w:szCs w:val="30"/>
        </w:rPr>
        <w:endnoteReference w:id="52"/>
      </w:r>
    </w:p>
    <w:p w14:paraId="3B27DCCB" w14:textId="68E07216" w:rsidR="0062789A" w:rsidRPr="0062789A" w:rsidRDefault="0062789A" w:rsidP="0062789A">
      <w:pPr>
        <w:ind w:firstLineChars="100" w:firstLine="300"/>
        <w:rPr>
          <w:sz w:val="30"/>
          <w:szCs w:val="30"/>
        </w:rPr>
      </w:pPr>
      <w:r w:rsidRPr="0062789A">
        <w:rPr>
          <w:sz w:val="30"/>
          <w:szCs w:val="30"/>
        </w:rPr>
        <w:t>These characteristics reflect modern principles of user experience</w:t>
      </w:r>
      <w:r w:rsidR="001F6B84">
        <w:rPr>
          <w:rStyle w:val="a9"/>
          <w:sz w:val="30"/>
          <w:szCs w:val="30"/>
        </w:rPr>
        <w:endnoteReference w:id="53"/>
      </w:r>
      <w:r w:rsidRPr="0062789A">
        <w:rPr>
          <w:sz w:val="30"/>
          <w:szCs w:val="30"/>
        </w:rPr>
        <w:t xml:space="preserve"> and service design, emphasizing</w:t>
      </w:r>
      <w:r w:rsidRPr="0062789A">
        <w:rPr>
          <w:rFonts w:hint="eastAsia"/>
          <w:sz w:val="30"/>
          <w:szCs w:val="30"/>
        </w:rPr>
        <w:t xml:space="preserve"> on </w:t>
      </w:r>
      <w:r w:rsidRPr="0062789A">
        <w:rPr>
          <w:sz w:val="30"/>
          <w:szCs w:val="30"/>
        </w:rPr>
        <w:t>User-first approach</w:t>
      </w:r>
      <w:r w:rsidRPr="0062789A">
        <w:rPr>
          <w:rFonts w:hint="eastAsia"/>
          <w:sz w:val="30"/>
          <w:szCs w:val="30"/>
        </w:rPr>
        <w:t>、</w:t>
      </w:r>
      <w:r w:rsidRPr="0062789A">
        <w:rPr>
          <w:sz w:val="30"/>
          <w:szCs w:val="30"/>
        </w:rPr>
        <w:t>Tracking the experience process</w:t>
      </w:r>
      <w:r w:rsidRPr="0062789A">
        <w:rPr>
          <w:rFonts w:hint="eastAsia"/>
          <w:sz w:val="30"/>
          <w:szCs w:val="30"/>
        </w:rPr>
        <w:t>、</w:t>
      </w:r>
      <w:r w:rsidRPr="0062789A">
        <w:rPr>
          <w:sz w:val="30"/>
          <w:szCs w:val="30"/>
        </w:rPr>
        <w:t>Addressing all touchpoints</w:t>
      </w:r>
      <w:r w:rsidRPr="0062789A">
        <w:rPr>
          <w:rFonts w:hint="eastAsia"/>
          <w:sz w:val="30"/>
          <w:szCs w:val="30"/>
        </w:rPr>
        <w:t xml:space="preserve"> and</w:t>
      </w:r>
      <w:r w:rsidR="00F12607">
        <w:rPr>
          <w:rFonts w:hint="eastAsia"/>
          <w:sz w:val="30"/>
          <w:szCs w:val="30"/>
        </w:rPr>
        <w:t xml:space="preserve"> </w:t>
      </w:r>
      <w:r w:rsidRPr="0062789A">
        <w:rPr>
          <w:sz w:val="30"/>
          <w:szCs w:val="30"/>
        </w:rPr>
        <w:t>Striving for a seamless user experience</w:t>
      </w:r>
      <w:r w:rsidRPr="0062789A">
        <w:rPr>
          <w:rFonts w:hint="eastAsia"/>
          <w:sz w:val="30"/>
          <w:szCs w:val="30"/>
        </w:rPr>
        <w:t xml:space="preserve"> </w:t>
      </w:r>
      <w:r w:rsidRPr="0062789A">
        <w:rPr>
          <w:sz w:val="30"/>
          <w:szCs w:val="30"/>
        </w:rPr>
        <w:t xml:space="preserve">Indeed, </w:t>
      </w:r>
      <w:r w:rsidRPr="0062789A">
        <w:rPr>
          <w:sz w:val="30"/>
          <w:szCs w:val="30"/>
        </w:rPr>
        <w:lastRenderedPageBreak/>
        <w:t>Disney's dedication to creating magical, immersive, and nearly perfect user experiences set a benchmark for UX design. His approach to building Disney World embodies the essence of what user experience should represent.</w:t>
      </w:r>
    </w:p>
    <w:p w14:paraId="696A8224" w14:textId="77777777" w:rsidR="00146297" w:rsidRPr="0062789A" w:rsidRDefault="00146297"/>
    <w:p w14:paraId="0B39DA10" w14:textId="77777777" w:rsidR="00146297" w:rsidRPr="00146297" w:rsidRDefault="00146297">
      <w:pPr>
        <w:rPr>
          <w:sz w:val="30"/>
          <w:szCs w:val="30"/>
          <w:lang w:val="en-GB"/>
        </w:rPr>
      </w:pPr>
    </w:p>
    <w:p w14:paraId="3F278320" w14:textId="2363DBC7" w:rsidR="00C4191F" w:rsidRDefault="0042700D" w:rsidP="00C4191F">
      <w:pPr>
        <w:rPr>
          <w:b/>
          <w:bCs/>
          <w:sz w:val="30"/>
          <w:szCs w:val="30"/>
        </w:rPr>
      </w:pPr>
      <w:r>
        <w:rPr>
          <w:rFonts w:hint="eastAsia"/>
          <w:b/>
          <w:bCs/>
          <w:sz w:val="30"/>
          <w:szCs w:val="30"/>
        </w:rPr>
        <w:t>3</w:t>
      </w:r>
      <w:r w:rsidR="00C4191F" w:rsidRPr="00C4191F">
        <w:rPr>
          <w:b/>
          <w:bCs/>
          <w:sz w:val="30"/>
          <w:szCs w:val="30"/>
        </w:rPr>
        <w:t xml:space="preserve"> Objectives of the Research</w:t>
      </w:r>
    </w:p>
    <w:p w14:paraId="04D3FD3E" w14:textId="77777777" w:rsidR="00F12607" w:rsidRPr="00F12607" w:rsidRDefault="00F12607" w:rsidP="00F12607">
      <w:pPr>
        <w:ind w:firstLineChars="100" w:firstLine="300"/>
        <w:rPr>
          <w:sz w:val="30"/>
          <w:szCs w:val="30"/>
        </w:rPr>
      </w:pPr>
      <w:r w:rsidRPr="00F12607">
        <w:rPr>
          <w:sz w:val="30"/>
          <w:szCs w:val="30"/>
        </w:rPr>
        <w:t>The main goal of this study is to further explore the content and empirical data within the virtual museum project, to verify whether this format can provide users with a rich interactive experience, and ultimately gain user approval and acceptance. In this process, the study will not only investigate the functionality and technical implementation of the virtual museum, but also delve into the analysis of user needs and behavior patterns to ensure that the virtual museum can attract and retain audiences.</w:t>
      </w:r>
    </w:p>
    <w:p w14:paraId="53A6D757" w14:textId="5874D69E" w:rsidR="00F12607" w:rsidRPr="00F12607" w:rsidRDefault="00BD3B34" w:rsidP="00BD3B34">
      <w:pPr>
        <w:ind w:firstLineChars="100" w:firstLine="300"/>
        <w:rPr>
          <w:sz w:val="30"/>
          <w:szCs w:val="30"/>
        </w:rPr>
      </w:pPr>
      <w:r>
        <w:rPr>
          <w:rFonts w:hint="eastAsia"/>
          <w:sz w:val="30"/>
          <w:szCs w:val="30"/>
        </w:rPr>
        <w:t>T</w:t>
      </w:r>
      <w:r w:rsidR="00F12607" w:rsidRPr="00F12607">
        <w:rPr>
          <w:sz w:val="30"/>
          <w:szCs w:val="30"/>
        </w:rPr>
        <w:t xml:space="preserve">he study will conduct detailed testing and optimization based on the already established virtual museum prototype. The creation of the prototype provides an experimental platform for subsequent user experience research, but the existence of the prototype alone is not sufficient to ensure that it meets user expectations. Therefore, the research will gather comprehensive user feedback through methods such as user interviews, behavioral data analysis, and surveys, analyzing the challenges, </w:t>
      </w:r>
      <w:r w:rsidR="00F12607" w:rsidRPr="00F12607">
        <w:rPr>
          <w:sz w:val="30"/>
          <w:szCs w:val="30"/>
        </w:rPr>
        <w:lastRenderedPageBreak/>
        <w:t>preferences, and emotional reactions encountered by users while visiting the virtual museum. These data will not only help improve the details of the museum design, but also provide important reference for future content planning and updates of the museum.</w:t>
      </w:r>
    </w:p>
    <w:p w14:paraId="429FF7B3" w14:textId="77777777" w:rsidR="00F12607" w:rsidRPr="00F12607" w:rsidRDefault="00F12607" w:rsidP="00F12607">
      <w:pPr>
        <w:ind w:firstLineChars="100" w:firstLine="300"/>
        <w:rPr>
          <w:sz w:val="30"/>
          <w:szCs w:val="30"/>
        </w:rPr>
      </w:pPr>
      <w:r w:rsidRPr="00F12607">
        <w:rPr>
          <w:sz w:val="30"/>
          <w:szCs w:val="30"/>
        </w:rPr>
        <w:t>Next, the study will focus on the impact of different interactive elements and design formats within the virtual museum on user experience. For instance, how users can enhance their immersion and participation by engaging in activities such as interactive tours, puzzle tasks, and puzzle solving while exploring the virtual environment, and how interactions with virtual exhibits deepen their understanding of culture and history. Through the design and testing of these interactive elements, the study can reveal which functions and scenes are most likely to attract users' interest and increase their participation and satisfaction within the museum.</w:t>
      </w:r>
    </w:p>
    <w:p w14:paraId="0DEE78BB" w14:textId="77777777" w:rsidR="00F12607" w:rsidRPr="00F12607" w:rsidRDefault="00F12607" w:rsidP="00F12607">
      <w:pPr>
        <w:ind w:firstLineChars="100" w:firstLine="300"/>
        <w:rPr>
          <w:sz w:val="30"/>
          <w:szCs w:val="30"/>
        </w:rPr>
      </w:pPr>
      <w:r w:rsidRPr="00F12607">
        <w:rPr>
          <w:sz w:val="30"/>
          <w:szCs w:val="30"/>
        </w:rPr>
        <w:t xml:space="preserve">Additionally, experimental research will compare the user experience effects of different virtual museum design models (such as traditional display versus interactive display, passive viewing versus active participation) to explore which design scheme is more likely to spark users' interest and promote long-term engagement. Through comparative experiments, the </w:t>
      </w:r>
      <w:r w:rsidRPr="00F12607">
        <w:rPr>
          <w:sz w:val="30"/>
          <w:szCs w:val="30"/>
        </w:rPr>
        <w:lastRenderedPageBreak/>
        <w:t>research will not only assess the advantages and disadvantages of various design schemes but also analyze user behavior, emotional responses, and cognitive effects in different experience modes.</w:t>
      </w:r>
    </w:p>
    <w:p w14:paraId="109A443A" w14:textId="77777777" w:rsidR="00F12607" w:rsidRDefault="00F12607" w:rsidP="00F12607">
      <w:pPr>
        <w:ind w:firstLineChars="100" w:firstLine="300"/>
        <w:rPr>
          <w:sz w:val="30"/>
          <w:szCs w:val="30"/>
        </w:rPr>
      </w:pPr>
      <w:r w:rsidRPr="00F12607">
        <w:rPr>
          <w:sz w:val="30"/>
          <w:szCs w:val="30"/>
        </w:rPr>
        <w:t>Through the above research methods, the ultimate goal is to determine whether the virtual museum as an innovative format can be widely accepted and provide theoretical support and practical guidance for the development of similar projects in the future. This will not only help promote the application and development of virtual museum technology but also open up new possibilities in fields such as education, cultural dissemination, and entertainment.</w:t>
      </w:r>
    </w:p>
    <w:p w14:paraId="6A4C7FC5" w14:textId="77777777" w:rsidR="005D6969" w:rsidRDefault="005D6969" w:rsidP="005D6969">
      <w:pPr>
        <w:ind w:firstLineChars="100" w:firstLine="300"/>
        <w:rPr>
          <w:sz w:val="30"/>
          <w:szCs w:val="30"/>
        </w:rPr>
      </w:pPr>
      <w:r w:rsidRPr="005D6969">
        <w:rPr>
          <w:sz w:val="30"/>
          <w:szCs w:val="30"/>
        </w:rPr>
        <w:t>Therefore, this chapter will focus on discussing the following three points. The first aspect explores the sources of data and information used in this research, providing an explanation of the relevant literature and where the sources of information come from. The second aspect primarily discusses the research plan and social evaluation. In this section, the paper will illustrate current issues through examples. The third part focuses on the use of ethical information, particularly emphasizing the importance of privacy protection in this research.</w:t>
      </w:r>
    </w:p>
    <w:p w14:paraId="6F642117" w14:textId="77777777" w:rsidR="007453DD" w:rsidRDefault="007453DD" w:rsidP="005D6969">
      <w:pPr>
        <w:ind w:firstLineChars="100" w:firstLine="300"/>
        <w:rPr>
          <w:sz w:val="30"/>
          <w:szCs w:val="30"/>
        </w:rPr>
      </w:pPr>
    </w:p>
    <w:p w14:paraId="69DE3665" w14:textId="3188DEA1" w:rsidR="00C4191F" w:rsidRPr="00C4191F" w:rsidRDefault="0042700D" w:rsidP="005D6969">
      <w:pPr>
        <w:rPr>
          <w:b/>
          <w:bCs/>
          <w:sz w:val="30"/>
          <w:szCs w:val="30"/>
        </w:rPr>
      </w:pPr>
      <w:r>
        <w:rPr>
          <w:rFonts w:hint="eastAsia"/>
          <w:b/>
          <w:bCs/>
          <w:sz w:val="30"/>
          <w:szCs w:val="30"/>
        </w:rPr>
        <w:lastRenderedPageBreak/>
        <w:t>3</w:t>
      </w:r>
      <w:r w:rsidR="00C4191F" w:rsidRPr="00C4191F">
        <w:rPr>
          <w:b/>
          <w:bCs/>
          <w:sz w:val="30"/>
          <w:szCs w:val="30"/>
        </w:rPr>
        <w:t>.1 Sources and Reliability of Data</w:t>
      </w:r>
    </w:p>
    <w:p w14:paraId="5290B8E6" w14:textId="47FC4E68" w:rsidR="00405D54" w:rsidRPr="00405D54" w:rsidRDefault="00405D54" w:rsidP="00405D54">
      <w:pPr>
        <w:ind w:firstLineChars="200" w:firstLine="600"/>
        <w:rPr>
          <w:sz w:val="30"/>
          <w:szCs w:val="30"/>
        </w:rPr>
      </w:pPr>
      <w:r w:rsidRPr="00405D54">
        <w:rPr>
          <w:rFonts w:hint="eastAsia"/>
          <w:sz w:val="30"/>
          <w:szCs w:val="30"/>
        </w:rPr>
        <w:t>In today's era, transitioning from informatization to digitalization and then to intelligentization</w:t>
      </w:r>
      <w:r w:rsidR="001F6B84">
        <w:rPr>
          <w:rStyle w:val="a9"/>
          <w:sz w:val="30"/>
          <w:szCs w:val="30"/>
        </w:rPr>
        <w:endnoteReference w:id="54"/>
      </w:r>
      <w:r w:rsidRPr="00405D54">
        <w:rPr>
          <w:rFonts w:hint="eastAsia"/>
          <w:sz w:val="30"/>
          <w:szCs w:val="30"/>
        </w:rPr>
        <w:t>, data has undoubtedly become the most critical resource. This is particularly evident in UXR research</w:t>
      </w:r>
      <w:r w:rsidR="001F6B84">
        <w:rPr>
          <w:rFonts w:hint="eastAsia"/>
          <w:sz w:val="30"/>
          <w:szCs w:val="30"/>
        </w:rPr>
        <w:t>(</w:t>
      </w:r>
      <w:r w:rsidR="001F6B84" w:rsidRPr="001F6B84">
        <w:rPr>
          <w:sz w:val="30"/>
          <w:szCs w:val="30"/>
        </w:rPr>
        <w:t>Wang, Z. and Ge, S</w:t>
      </w:r>
      <w:r w:rsidR="001F6B84">
        <w:rPr>
          <w:rFonts w:hint="eastAsia"/>
          <w:sz w:val="30"/>
          <w:szCs w:val="30"/>
        </w:rPr>
        <w:t>, 2007)</w:t>
      </w:r>
      <w:r w:rsidRPr="00405D54">
        <w:rPr>
          <w:rFonts w:hint="eastAsia"/>
          <w:sz w:val="30"/>
          <w:szCs w:val="30"/>
        </w:rPr>
        <w:t>. However, as highlighted by the previously analyzed current state and challenges, many contemporary UXR researchers have not effectively utilized or analyzed these data. Yet, true modern practitioners must keep pace with the times. So, for me, what improvements can I make</w:t>
      </w:r>
      <w:r>
        <w:rPr>
          <w:sz w:val="30"/>
          <w:szCs w:val="30"/>
        </w:rPr>
        <w:t xml:space="preserve"> is to make the study more </w:t>
      </w:r>
      <w:r>
        <w:rPr>
          <w:rFonts w:hint="eastAsia"/>
          <w:sz w:val="30"/>
          <w:szCs w:val="30"/>
        </w:rPr>
        <w:t xml:space="preserve">accurately and could also consider the diversity of the users, and also from this </w:t>
      </w:r>
      <w:r>
        <w:rPr>
          <w:sz w:val="30"/>
          <w:szCs w:val="30"/>
        </w:rPr>
        <w:t>I</w:t>
      </w:r>
      <w:r>
        <w:rPr>
          <w:rFonts w:hint="eastAsia"/>
          <w:sz w:val="30"/>
          <w:szCs w:val="30"/>
        </w:rPr>
        <w:t xml:space="preserve"> could create the formation of the virtual reality research.</w:t>
      </w:r>
    </w:p>
    <w:p w14:paraId="0CD99D62" w14:textId="45189235" w:rsidR="00C4191F" w:rsidRPr="00C4191F" w:rsidRDefault="00405D54" w:rsidP="00C4191F">
      <w:pPr>
        <w:ind w:firstLineChars="100" w:firstLine="300"/>
        <w:rPr>
          <w:sz w:val="30"/>
          <w:szCs w:val="30"/>
        </w:rPr>
      </w:pPr>
      <w:r>
        <w:rPr>
          <w:rFonts w:hint="eastAsia"/>
          <w:sz w:val="30"/>
          <w:szCs w:val="30"/>
        </w:rPr>
        <w:t>Because of my</w:t>
      </w:r>
      <w:r w:rsidR="00C4191F" w:rsidRPr="00C4191F">
        <w:rPr>
          <w:sz w:val="30"/>
          <w:szCs w:val="30"/>
        </w:rPr>
        <w:t xml:space="preserve"> study focusing on virtual museums, the evaluation of various models and their characteristics from a user experience (UX) perspective is a central theme. To achieve this, a comprehensive selection and application of data are essential. Currently, the sources of data for this research can be broadly categorized into three areas</w:t>
      </w:r>
      <w:r w:rsidR="001F6B84">
        <w:rPr>
          <w:rFonts w:hint="eastAsia"/>
          <w:sz w:val="30"/>
          <w:szCs w:val="30"/>
        </w:rPr>
        <w:t>,</w:t>
      </w:r>
    </w:p>
    <w:p w14:paraId="529367F6" w14:textId="68043EEB" w:rsidR="00C4191F" w:rsidRDefault="001F6B84" w:rsidP="001F6B84">
      <w:pPr>
        <w:ind w:firstLineChars="150" w:firstLine="450"/>
        <w:rPr>
          <w:sz w:val="30"/>
          <w:szCs w:val="30"/>
        </w:rPr>
      </w:pPr>
      <w:r>
        <w:rPr>
          <w:rFonts w:hint="eastAsia"/>
          <w:sz w:val="30"/>
          <w:szCs w:val="30"/>
        </w:rPr>
        <w:t xml:space="preserve">The </w:t>
      </w:r>
      <w:r w:rsidR="00C4191F" w:rsidRPr="00C4191F">
        <w:rPr>
          <w:sz w:val="30"/>
          <w:szCs w:val="30"/>
        </w:rPr>
        <w:t>Books</w:t>
      </w:r>
      <w:r>
        <w:rPr>
          <w:rFonts w:hint="eastAsia"/>
          <w:sz w:val="30"/>
          <w:szCs w:val="30"/>
        </w:rPr>
        <w:t xml:space="preserve"> are the mainly sources that </w:t>
      </w:r>
      <w:r>
        <w:rPr>
          <w:sz w:val="30"/>
          <w:szCs w:val="30"/>
        </w:rPr>
        <w:t>I</w:t>
      </w:r>
      <w:r>
        <w:rPr>
          <w:rFonts w:hint="eastAsia"/>
          <w:sz w:val="30"/>
          <w:szCs w:val="30"/>
        </w:rPr>
        <w:t xml:space="preserve"> will to consider into ,</w:t>
      </w:r>
      <w:r w:rsidR="00C4191F" w:rsidRPr="00C4191F">
        <w:rPr>
          <w:sz w:val="30"/>
          <w:szCs w:val="30"/>
        </w:rPr>
        <w:t>These include relevant UX research books</w:t>
      </w:r>
      <w:r>
        <w:rPr>
          <w:rFonts w:hint="eastAsia"/>
          <w:sz w:val="30"/>
          <w:szCs w:val="30"/>
        </w:rPr>
        <w:t xml:space="preserve">, </w:t>
      </w:r>
      <w:r w:rsidR="00C4191F" w:rsidRPr="00C4191F">
        <w:rPr>
          <w:sz w:val="30"/>
          <w:szCs w:val="30"/>
        </w:rPr>
        <w:t xml:space="preserve">museum theory books, and virtual museum theory texts </w:t>
      </w:r>
      <w:r>
        <w:rPr>
          <w:rFonts w:hint="eastAsia"/>
          <w:sz w:val="30"/>
          <w:szCs w:val="30"/>
        </w:rPr>
        <w:t>.</w:t>
      </w:r>
      <w:r w:rsidR="00C4191F" w:rsidRPr="00C4191F">
        <w:rPr>
          <w:sz w:val="30"/>
          <w:szCs w:val="30"/>
        </w:rPr>
        <w:t xml:space="preserve"> Additional books on related knowledge such as data analysis and theoretical </w:t>
      </w:r>
      <w:r w:rsidR="00C4191F" w:rsidRPr="00C4191F">
        <w:rPr>
          <w:sz w:val="30"/>
          <w:szCs w:val="30"/>
        </w:rPr>
        <w:lastRenderedPageBreak/>
        <w:t>applications are also considered</w:t>
      </w:r>
      <w:r>
        <w:rPr>
          <w:rFonts w:hint="eastAsia"/>
          <w:sz w:val="30"/>
          <w:szCs w:val="30"/>
        </w:rPr>
        <w:t xml:space="preserve">. </w:t>
      </w:r>
      <w:r w:rsidR="00C4191F" w:rsidRPr="00C4191F">
        <w:rPr>
          <w:sz w:val="30"/>
          <w:szCs w:val="30"/>
        </w:rPr>
        <w:t>Academic Literature</w:t>
      </w:r>
      <w:r>
        <w:rPr>
          <w:rFonts w:hint="eastAsia"/>
          <w:sz w:val="30"/>
          <w:szCs w:val="30"/>
        </w:rPr>
        <w:t xml:space="preserve"> on the other hand is </w:t>
      </w:r>
      <w:r>
        <w:rPr>
          <w:sz w:val="30"/>
          <w:szCs w:val="30"/>
        </w:rPr>
        <w:t>critical</w:t>
      </w:r>
      <w:r>
        <w:rPr>
          <w:rFonts w:hint="eastAsia"/>
          <w:sz w:val="30"/>
          <w:szCs w:val="30"/>
        </w:rPr>
        <w:t xml:space="preserve"> to this research.</w:t>
      </w:r>
      <w:r w:rsidR="005D6969">
        <w:rPr>
          <w:rFonts w:hint="eastAsia"/>
          <w:sz w:val="30"/>
          <w:szCs w:val="30"/>
        </w:rPr>
        <w:t xml:space="preserve"> </w:t>
      </w:r>
      <w:r w:rsidR="00C4191F" w:rsidRPr="00C4191F">
        <w:rPr>
          <w:sz w:val="30"/>
          <w:szCs w:val="30"/>
        </w:rPr>
        <w:t>This includes scholarly articles and related journals that provide insights into UX research methods, approaches, and steps. Furthermore, foundational knowledge on statistics and data science is also explored and analyzed</w:t>
      </w:r>
      <w:r>
        <w:rPr>
          <w:rFonts w:hint="eastAsia"/>
          <w:sz w:val="30"/>
          <w:szCs w:val="30"/>
        </w:rPr>
        <w:t xml:space="preserve">, </w:t>
      </w:r>
      <w:r>
        <w:rPr>
          <w:sz w:val="30"/>
          <w:szCs w:val="30"/>
        </w:rPr>
        <w:t>Last</w:t>
      </w:r>
      <w:r>
        <w:rPr>
          <w:rFonts w:hint="eastAsia"/>
          <w:sz w:val="30"/>
          <w:szCs w:val="30"/>
        </w:rPr>
        <w:t xml:space="preserve"> but not the least, </w:t>
      </w:r>
      <w:r w:rsidR="00C4191F" w:rsidRPr="00C4191F">
        <w:rPr>
          <w:sz w:val="30"/>
          <w:szCs w:val="30"/>
        </w:rPr>
        <w:t>Official Data Sources</w:t>
      </w:r>
      <w:r w:rsidR="005D6969">
        <w:rPr>
          <w:rFonts w:hint="eastAsia"/>
          <w:sz w:val="30"/>
          <w:szCs w:val="30"/>
        </w:rPr>
        <w:t>，</w:t>
      </w:r>
      <w:r w:rsidR="00C4191F" w:rsidRPr="00C4191F">
        <w:rPr>
          <w:sz w:val="30"/>
          <w:szCs w:val="30"/>
        </w:rPr>
        <w:t xml:space="preserve">Reliable websites and databases that store verifiable information and data are used for research purposes </w:t>
      </w:r>
    </w:p>
    <w:p w14:paraId="30332F45" w14:textId="77777777" w:rsidR="00C4191F" w:rsidRPr="00C4191F" w:rsidRDefault="00C4191F" w:rsidP="00C4191F">
      <w:pPr>
        <w:ind w:firstLineChars="100" w:firstLine="300"/>
        <w:rPr>
          <w:sz w:val="30"/>
          <w:szCs w:val="30"/>
        </w:rPr>
      </w:pPr>
    </w:p>
    <w:p w14:paraId="7C0827BF" w14:textId="0714A749" w:rsidR="00C4191F" w:rsidRPr="00C4191F" w:rsidRDefault="0042700D" w:rsidP="00C4191F">
      <w:pPr>
        <w:rPr>
          <w:b/>
          <w:bCs/>
          <w:sz w:val="30"/>
          <w:szCs w:val="30"/>
        </w:rPr>
      </w:pPr>
      <w:r>
        <w:rPr>
          <w:rFonts w:hint="eastAsia"/>
          <w:b/>
          <w:bCs/>
          <w:sz w:val="30"/>
          <w:szCs w:val="30"/>
        </w:rPr>
        <w:t>3</w:t>
      </w:r>
      <w:r w:rsidR="00C4191F" w:rsidRPr="00C4191F">
        <w:rPr>
          <w:b/>
          <w:bCs/>
          <w:sz w:val="30"/>
          <w:szCs w:val="30"/>
        </w:rPr>
        <w:t>.2 Research Strategies and Societal Evaluation</w:t>
      </w:r>
    </w:p>
    <w:p w14:paraId="5FE9D35B" w14:textId="365EBF5B" w:rsidR="00C4191F" w:rsidRPr="00C4191F" w:rsidRDefault="00C4191F" w:rsidP="00405D54">
      <w:pPr>
        <w:ind w:firstLineChars="200" w:firstLine="600"/>
        <w:rPr>
          <w:sz w:val="30"/>
          <w:szCs w:val="30"/>
        </w:rPr>
      </w:pPr>
      <w:r w:rsidRPr="00C4191F">
        <w:rPr>
          <w:sz w:val="30"/>
          <w:szCs w:val="30"/>
        </w:rPr>
        <w:t>The current domestic market's understanding and practice of UX research still fall short of international standards</w:t>
      </w:r>
      <w:r w:rsidR="00A36FAC">
        <w:rPr>
          <w:rStyle w:val="a9"/>
          <w:sz w:val="30"/>
          <w:szCs w:val="30"/>
        </w:rPr>
        <w:endnoteReference w:id="55"/>
      </w:r>
      <w:r w:rsidRPr="00C4191F">
        <w:rPr>
          <w:sz w:val="30"/>
          <w:szCs w:val="30"/>
        </w:rPr>
        <w:t>. Many enterprises and institutions fail to recognize the commercial importance of quality UX design</w:t>
      </w:r>
      <w:r w:rsidR="00A36FAC">
        <w:rPr>
          <w:rFonts w:hint="eastAsia"/>
          <w:sz w:val="30"/>
          <w:szCs w:val="30"/>
        </w:rPr>
        <w:t xml:space="preserve"> (</w:t>
      </w:r>
      <w:r w:rsidR="00A36FAC" w:rsidRPr="00A36FAC">
        <w:rPr>
          <w:sz w:val="30"/>
          <w:szCs w:val="30"/>
        </w:rPr>
        <w:t>Sauro, J. and Lewis, J.R, 2016</w:t>
      </w:r>
      <w:r w:rsidR="00A36FAC">
        <w:rPr>
          <w:rFonts w:hint="eastAsia"/>
          <w:sz w:val="30"/>
          <w:szCs w:val="30"/>
        </w:rPr>
        <w:t>)</w:t>
      </w:r>
      <w:r w:rsidRPr="00C4191F">
        <w:rPr>
          <w:sz w:val="30"/>
          <w:szCs w:val="30"/>
        </w:rPr>
        <w:t>. Additionally, misconceptions about "user experience" persist; many see it narrowly, focusing on isolated stages rather than comprehensively integrating it throughout product development</w:t>
      </w:r>
      <w:r w:rsidR="00A36FAC">
        <w:rPr>
          <w:rStyle w:val="a9"/>
          <w:sz w:val="30"/>
          <w:szCs w:val="30"/>
        </w:rPr>
        <w:endnoteReference w:id="56"/>
      </w:r>
      <w:r w:rsidRPr="00C4191F">
        <w:rPr>
          <w:sz w:val="30"/>
          <w:szCs w:val="30"/>
        </w:rPr>
        <w:t>.</w:t>
      </w:r>
    </w:p>
    <w:p w14:paraId="285E2566" w14:textId="761CB265" w:rsidR="00C4191F" w:rsidRPr="00C4191F" w:rsidRDefault="00C4191F" w:rsidP="00C4191F">
      <w:pPr>
        <w:ind w:firstLineChars="100" w:firstLine="300"/>
        <w:rPr>
          <w:sz w:val="30"/>
          <w:szCs w:val="30"/>
        </w:rPr>
      </w:pPr>
      <w:r w:rsidRPr="00C4191F">
        <w:rPr>
          <w:sz w:val="30"/>
          <w:szCs w:val="30"/>
        </w:rPr>
        <w:t>A broad interpretation of "user experience" involves incorporating user input from the concept evaluation phase, creating prototypes, and testing interface structures, interactions, and visual designs</w:t>
      </w:r>
      <w:r w:rsidR="00A36FAC">
        <w:rPr>
          <w:rFonts w:hint="eastAsia"/>
          <w:sz w:val="30"/>
          <w:szCs w:val="30"/>
        </w:rPr>
        <w:t>(</w:t>
      </w:r>
      <w:r w:rsidR="00A36FAC" w:rsidRPr="00A36FAC">
        <w:rPr>
          <w:sz w:val="30"/>
          <w:szCs w:val="30"/>
        </w:rPr>
        <w:t>Rosenzweig, E., 2015</w:t>
      </w:r>
      <w:r w:rsidR="00A36FAC">
        <w:rPr>
          <w:rFonts w:hint="eastAsia"/>
          <w:sz w:val="30"/>
          <w:szCs w:val="30"/>
        </w:rPr>
        <w:t>)</w:t>
      </w:r>
      <w:r w:rsidRPr="00C4191F">
        <w:rPr>
          <w:sz w:val="30"/>
          <w:szCs w:val="30"/>
        </w:rPr>
        <w:t xml:space="preserve">. This approach aligns UX </w:t>
      </w:r>
      <w:r w:rsidRPr="00C4191F">
        <w:rPr>
          <w:sz w:val="30"/>
          <w:szCs w:val="30"/>
        </w:rPr>
        <w:lastRenderedPageBreak/>
        <w:t>with project objectives rather than leaving it as a vague slogan. For example</w:t>
      </w:r>
      <w:r w:rsidR="00A36FAC">
        <w:rPr>
          <w:rFonts w:hint="eastAsia"/>
          <w:sz w:val="30"/>
          <w:szCs w:val="30"/>
        </w:rPr>
        <w:t>,</w:t>
      </w:r>
    </w:p>
    <w:p w14:paraId="3ECD7DA4" w14:textId="645D4444" w:rsidR="00C4191F" w:rsidRPr="00C4191F" w:rsidRDefault="00A36FAC" w:rsidP="00A36FAC">
      <w:pPr>
        <w:ind w:firstLineChars="100" w:firstLine="300"/>
        <w:rPr>
          <w:sz w:val="30"/>
          <w:szCs w:val="30"/>
        </w:rPr>
      </w:pPr>
      <w:r>
        <w:rPr>
          <w:rFonts w:hint="eastAsia"/>
          <w:sz w:val="30"/>
          <w:szCs w:val="30"/>
        </w:rPr>
        <w:t>From the b</w:t>
      </w:r>
      <w:r w:rsidR="00C4191F" w:rsidRPr="00C4191F">
        <w:rPr>
          <w:sz w:val="30"/>
          <w:szCs w:val="30"/>
        </w:rPr>
        <w:t>anking Industry</w:t>
      </w:r>
      <w:r>
        <w:rPr>
          <w:rFonts w:hint="eastAsia"/>
          <w:sz w:val="30"/>
          <w:szCs w:val="30"/>
        </w:rPr>
        <w:t>,</w:t>
      </w:r>
      <w:r w:rsidR="00C4191F" w:rsidRPr="00C4191F">
        <w:rPr>
          <w:sz w:val="30"/>
          <w:szCs w:val="30"/>
        </w:rPr>
        <w:t xml:space="preserve"> The shift from physical banks to digital platforms presents challenges in UX design. </w:t>
      </w:r>
      <w:r>
        <w:rPr>
          <w:rStyle w:val="a9"/>
          <w:sz w:val="30"/>
          <w:szCs w:val="30"/>
        </w:rPr>
        <w:endnoteReference w:id="57"/>
      </w:r>
      <w:r w:rsidR="00C4191F" w:rsidRPr="00C4191F">
        <w:rPr>
          <w:sz w:val="30"/>
          <w:szCs w:val="30"/>
        </w:rPr>
        <w:t>Physical banks involve human interaction, while digital banking requires intuitive human-machine interaction. Poor interface design could result in incomplete transactions and force users back to physical banks, increasing operational costs.</w:t>
      </w:r>
    </w:p>
    <w:p w14:paraId="6C59D045" w14:textId="6C15577B" w:rsidR="00C4191F" w:rsidRPr="00C4191F" w:rsidRDefault="00A36FAC" w:rsidP="00C4191F">
      <w:pPr>
        <w:ind w:firstLineChars="100" w:firstLine="300"/>
        <w:rPr>
          <w:sz w:val="30"/>
          <w:szCs w:val="30"/>
        </w:rPr>
      </w:pPr>
      <w:r>
        <w:rPr>
          <w:rFonts w:hint="eastAsia"/>
          <w:sz w:val="30"/>
          <w:szCs w:val="30"/>
        </w:rPr>
        <w:t>Another example is the r</w:t>
      </w:r>
      <w:r w:rsidR="00C4191F" w:rsidRPr="00C4191F">
        <w:rPr>
          <w:sz w:val="30"/>
          <w:szCs w:val="30"/>
        </w:rPr>
        <w:t xml:space="preserve">ailway </w:t>
      </w:r>
      <w:r>
        <w:rPr>
          <w:rFonts w:hint="eastAsia"/>
          <w:sz w:val="30"/>
          <w:szCs w:val="30"/>
        </w:rPr>
        <w:t>t</w:t>
      </w:r>
      <w:r w:rsidR="00C4191F" w:rsidRPr="00C4191F">
        <w:rPr>
          <w:sz w:val="30"/>
          <w:szCs w:val="30"/>
        </w:rPr>
        <w:t>icketing System</w:t>
      </w:r>
      <w:r>
        <w:rPr>
          <w:rFonts w:hint="eastAsia"/>
          <w:sz w:val="30"/>
          <w:szCs w:val="30"/>
        </w:rPr>
        <w:t xml:space="preserve"> ,</w:t>
      </w:r>
      <w:r w:rsidR="00C4191F" w:rsidRPr="00C4191F">
        <w:rPr>
          <w:sz w:val="30"/>
          <w:szCs w:val="30"/>
        </w:rPr>
        <w:t>A prominent example of UX failure is the railway ticketing system, where technical dominance in design ignored user needs. The process—from conceptualization to interface design—was technology-driven without adequate user research. This lack of user-centered design resulted in a cumbersome ticketing process, hindering user adoption and requiring significant systemic overhaul.</w:t>
      </w:r>
    </w:p>
    <w:p w14:paraId="6C837EA5" w14:textId="77777777" w:rsidR="00C4191F" w:rsidRPr="00C4191F" w:rsidRDefault="00C4191F" w:rsidP="00C4191F">
      <w:pPr>
        <w:ind w:firstLineChars="100" w:firstLine="300"/>
        <w:rPr>
          <w:b/>
          <w:bCs/>
          <w:sz w:val="30"/>
          <w:szCs w:val="30"/>
        </w:rPr>
      </w:pPr>
    </w:p>
    <w:p w14:paraId="4C97E326" w14:textId="5DDC0E88" w:rsidR="00C4191F" w:rsidRPr="00C4191F" w:rsidRDefault="0042700D" w:rsidP="00C4191F">
      <w:pPr>
        <w:rPr>
          <w:b/>
          <w:bCs/>
          <w:sz w:val="30"/>
          <w:szCs w:val="30"/>
        </w:rPr>
      </w:pPr>
      <w:r>
        <w:rPr>
          <w:rFonts w:hint="eastAsia"/>
          <w:b/>
          <w:bCs/>
          <w:sz w:val="30"/>
          <w:szCs w:val="30"/>
        </w:rPr>
        <w:t>3</w:t>
      </w:r>
      <w:r w:rsidR="00C4191F" w:rsidRPr="00C4191F">
        <w:rPr>
          <w:b/>
          <w:bCs/>
          <w:sz w:val="30"/>
          <w:szCs w:val="30"/>
        </w:rPr>
        <w:t>.3 Ethical Reflection and Moral Safeguards</w:t>
      </w:r>
    </w:p>
    <w:p w14:paraId="79F1FAD9" w14:textId="0EF07D31" w:rsidR="00C4191F" w:rsidRPr="00C4191F" w:rsidRDefault="00C4191F" w:rsidP="00C4191F">
      <w:pPr>
        <w:ind w:firstLineChars="100" w:firstLine="300"/>
        <w:rPr>
          <w:sz w:val="30"/>
          <w:szCs w:val="30"/>
        </w:rPr>
      </w:pPr>
      <w:r w:rsidRPr="00C4191F">
        <w:rPr>
          <w:sz w:val="30"/>
          <w:szCs w:val="30"/>
        </w:rPr>
        <w:t>Ethical considerations are critical in any research involving human subjects, including UX studies. Researchers must prioritize participants' well-being, honestly consider their interests, and ensure the security of their personal information</w:t>
      </w:r>
      <w:r w:rsidR="00A36FAC">
        <w:rPr>
          <w:rStyle w:val="a9"/>
          <w:sz w:val="30"/>
          <w:szCs w:val="30"/>
        </w:rPr>
        <w:endnoteReference w:id="58"/>
      </w:r>
      <w:r w:rsidRPr="00C4191F">
        <w:rPr>
          <w:sz w:val="30"/>
          <w:szCs w:val="30"/>
        </w:rPr>
        <w:t xml:space="preserve">. To uphold ethical standards in user research, researchers must adhere to </w:t>
      </w:r>
      <w:r w:rsidRPr="00C4191F">
        <w:rPr>
          <w:sz w:val="30"/>
          <w:szCs w:val="30"/>
        </w:rPr>
        <w:lastRenderedPageBreak/>
        <w:t>several principles</w:t>
      </w:r>
      <w:r w:rsidR="00A36FAC">
        <w:rPr>
          <w:rFonts w:hint="eastAsia"/>
          <w:sz w:val="30"/>
          <w:szCs w:val="30"/>
        </w:rPr>
        <w:t>.</w:t>
      </w:r>
    </w:p>
    <w:p w14:paraId="264C6CF3" w14:textId="56A11658" w:rsidR="00C4191F" w:rsidRPr="00C4191F" w:rsidRDefault="00A36FAC" w:rsidP="00A36FAC">
      <w:pPr>
        <w:ind w:firstLineChars="100" w:firstLine="300"/>
        <w:rPr>
          <w:sz w:val="30"/>
          <w:szCs w:val="30"/>
        </w:rPr>
      </w:pPr>
      <w:r>
        <w:rPr>
          <w:rFonts w:hint="eastAsia"/>
          <w:sz w:val="30"/>
          <w:szCs w:val="30"/>
        </w:rPr>
        <w:t>The first one is to o</w:t>
      </w:r>
      <w:r w:rsidR="00C4191F" w:rsidRPr="00C4191F">
        <w:rPr>
          <w:sz w:val="30"/>
          <w:szCs w:val="30"/>
        </w:rPr>
        <w:t>btain</w:t>
      </w:r>
      <w:r>
        <w:rPr>
          <w:rFonts w:hint="eastAsia"/>
          <w:sz w:val="30"/>
          <w:szCs w:val="30"/>
        </w:rPr>
        <w:t xml:space="preserve"> the</w:t>
      </w:r>
      <w:r w:rsidR="00C4191F" w:rsidRPr="00C4191F">
        <w:rPr>
          <w:sz w:val="30"/>
          <w:szCs w:val="30"/>
        </w:rPr>
        <w:t xml:space="preserve"> Proper Consent</w:t>
      </w:r>
      <w:r>
        <w:rPr>
          <w:rFonts w:hint="eastAsia"/>
          <w:sz w:val="30"/>
          <w:szCs w:val="30"/>
        </w:rPr>
        <w:t>, in today</w:t>
      </w:r>
      <w:r>
        <w:rPr>
          <w:sz w:val="30"/>
          <w:szCs w:val="30"/>
        </w:rPr>
        <w:t>’</w:t>
      </w:r>
      <w:r>
        <w:rPr>
          <w:rFonts w:hint="eastAsia"/>
          <w:sz w:val="30"/>
          <w:szCs w:val="30"/>
        </w:rPr>
        <w:t>s environment w</w:t>
      </w:r>
      <w:r w:rsidR="00C4191F" w:rsidRPr="00C4191F">
        <w:rPr>
          <w:sz w:val="30"/>
          <w:szCs w:val="30"/>
        </w:rPr>
        <w:t>hether in academic settings requiring ethical board approval or private companies with less stringent regulations, researchers must ensure informed consent when collecting personal data</w:t>
      </w:r>
      <w:r>
        <w:rPr>
          <w:rStyle w:val="a9"/>
          <w:sz w:val="30"/>
          <w:szCs w:val="30"/>
        </w:rPr>
        <w:endnoteReference w:id="59"/>
      </w:r>
      <w:r w:rsidR="00C4191F" w:rsidRPr="00C4191F">
        <w:rPr>
          <w:sz w:val="30"/>
          <w:szCs w:val="30"/>
        </w:rPr>
        <w:t>. In countries with strict data protection laws, compliance with these legal frameworks is mandatory.</w:t>
      </w:r>
      <w:r>
        <w:rPr>
          <w:rFonts w:hint="eastAsia"/>
          <w:sz w:val="30"/>
          <w:szCs w:val="30"/>
        </w:rPr>
        <w:t xml:space="preserve"> </w:t>
      </w:r>
      <w:r w:rsidR="00C4191F" w:rsidRPr="00C4191F">
        <w:rPr>
          <w:sz w:val="30"/>
          <w:szCs w:val="30"/>
        </w:rPr>
        <w:t>Maintain Transparency and Respect</w:t>
      </w:r>
      <w:r>
        <w:rPr>
          <w:rFonts w:hint="eastAsia"/>
          <w:sz w:val="30"/>
          <w:szCs w:val="30"/>
        </w:rPr>
        <w:t>(</w:t>
      </w:r>
      <w:r w:rsidRPr="00A36FAC">
        <w:rPr>
          <w:sz w:val="30"/>
          <w:szCs w:val="30"/>
        </w:rPr>
        <w:t>Chromik, M</w:t>
      </w:r>
      <w:r>
        <w:rPr>
          <w:rFonts w:hint="eastAsia"/>
          <w:sz w:val="30"/>
          <w:szCs w:val="30"/>
        </w:rPr>
        <w:t xml:space="preserve"> 2020), </w:t>
      </w:r>
      <w:r w:rsidR="00C4191F" w:rsidRPr="00C4191F">
        <w:rPr>
          <w:sz w:val="30"/>
          <w:szCs w:val="30"/>
        </w:rPr>
        <w:t>Ethical research demands honesty and respect for participants, protecting their dignity and confidentiality.</w:t>
      </w:r>
    </w:p>
    <w:p w14:paraId="584E2FCF" w14:textId="4AEB672B" w:rsidR="00C4191F" w:rsidRPr="00C4191F" w:rsidRDefault="00A36FAC" w:rsidP="00A36FAC">
      <w:pPr>
        <w:ind w:firstLineChars="100" w:firstLine="300"/>
        <w:rPr>
          <w:sz w:val="30"/>
          <w:szCs w:val="30"/>
        </w:rPr>
      </w:pPr>
      <w:r>
        <w:rPr>
          <w:rFonts w:hint="eastAsia"/>
          <w:sz w:val="30"/>
          <w:szCs w:val="30"/>
        </w:rPr>
        <w:t>From this procession the most things need to beer is to a</w:t>
      </w:r>
      <w:r w:rsidR="00C4191F" w:rsidRPr="00C4191F">
        <w:rPr>
          <w:sz w:val="30"/>
          <w:szCs w:val="30"/>
        </w:rPr>
        <w:t>void Harmful Manipulation</w:t>
      </w:r>
      <w:r>
        <w:rPr>
          <w:rFonts w:hint="eastAsia"/>
          <w:sz w:val="30"/>
          <w:szCs w:val="30"/>
        </w:rPr>
        <w:t xml:space="preserve">, in </w:t>
      </w:r>
      <w:r w:rsidR="00C4191F" w:rsidRPr="00C4191F">
        <w:rPr>
          <w:sz w:val="30"/>
          <w:szCs w:val="30"/>
        </w:rPr>
        <w:t>2014 Facebook experiment, which manipulated the emotional content of users’ newsfeeds, demonstrates the ethical pitfalls of user research without informed consent</w:t>
      </w:r>
      <w:r>
        <w:rPr>
          <w:rStyle w:val="a9"/>
          <w:sz w:val="30"/>
          <w:szCs w:val="30"/>
        </w:rPr>
        <w:endnoteReference w:id="60"/>
      </w:r>
      <w:r w:rsidR="00C4191F" w:rsidRPr="00C4191F">
        <w:rPr>
          <w:sz w:val="30"/>
          <w:szCs w:val="30"/>
        </w:rPr>
        <w:t>. The backlash highlighted the importance of considering the potential negative impact on participants and the reputational risks of unethical practices.</w:t>
      </w:r>
      <w:r>
        <w:rPr>
          <w:rFonts w:hint="eastAsia"/>
          <w:sz w:val="30"/>
          <w:szCs w:val="30"/>
        </w:rPr>
        <w:t xml:space="preserve"> </w:t>
      </w:r>
      <w:r w:rsidR="00C4191F" w:rsidRPr="00C4191F">
        <w:rPr>
          <w:sz w:val="30"/>
          <w:szCs w:val="30"/>
        </w:rPr>
        <w:t>Companies like Facebook learned from their missteps, instituting new ethical guidelines to prevent similar controversies</w:t>
      </w:r>
      <w:r w:rsidR="00656EC3">
        <w:rPr>
          <w:rFonts w:hint="eastAsia"/>
          <w:sz w:val="30"/>
          <w:szCs w:val="30"/>
        </w:rPr>
        <w:t xml:space="preserve"> (</w:t>
      </w:r>
      <w:r w:rsidR="00656EC3" w:rsidRPr="00656EC3">
        <w:rPr>
          <w:sz w:val="30"/>
          <w:szCs w:val="30"/>
        </w:rPr>
        <w:t>Kleinsman, J. and Buckley, S., 2015</w:t>
      </w:r>
      <w:r w:rsidR="00656EC3">
        <w:rPr>
          <w:rFonts w:hint="eastAsia"/>
          <w:sz w:val="30"/>
          <w:szCs w:val="30"/>
        </w:rPr>
        <w:t>)</w:t>
      </w:r>
      <w:r w:rsidR="00C4191F" w:rsidRPr="00C4191F">
        <w:rPr>
          <w:sz w:val="30"/>
          <w:szCs w:val="30"/>
        </w:rPr>
        <w:t>. Smaller-scale research should also prioritize such safeguards to avoid ethical breaches.</w:t>
      </w:r>
    </w:p>
    <w:p w14:paraId="4A8D05E5" w14:textId="4A25D2AF" w:rsidR="00C4191F" w:rsidRPr="00C4191F" w:rsidRDefault="00656EC3" w:rsidP="00C4191F">
      <w:pPr>
        <w:ind w:firstLineChars="100" w:firstLine="300"/>
        <w:rPr>
          <w:sz w:val="30"/>
          <w:szCs w:val="30"/>
        </w:rPr>
      </w:pPr>
      <w:r>
        <w:rPr>
          <w:rFonts w:hint="eastAsia"/>
          <w:sz w:val="30"/>
          <w:szCs w:val="30"/>
        </w:rPr>
        <w:t>It can be seen b</w:t>
      </w:r>
      <w:r w:rsidR="00C4191F" w:rsidRPr="00C4191F">
        <w:rPr>
          <w:sz w:val="30"/>
          <w:szCs w:val="30"/>
        </w:rPr>
        <w:t xml:space="preserve">y following these principles, researchers ensure </w:t>
      </w:r>
      <w:r w:rsidR="00C4191F" w:rsidRPr="00C4191F">
        <w:rPr>
          <w:sz w:val="30"/>
          <w:szCs w:val="30"/>
        </w:rPr>
        <w:lastRenderedPageBreak/>
        <w:t>that their work not only meets ethical standards but also protects their reputation and the trust of participants. This is particularly crucial in the digital era, where information spreads rapidly, and public scrutiny is heightened.</w:t>
      </w:r>
    </w:p>
    <w:p w14:paraId="7D541787" w14:textId="77777777" w:rsidR="00146297" w:rsidRPr="00C4191F" w:rsidRDefault="00146297"/>
    <w:p w14:paraId="092E092C" w14:textId="77777777" w:rsidR="00146297" w:rsidRDefault="00146297">
      <w:pPr>
        <w:rPr>
          <w:lang w:val="en-GB"/>
        </w:rPr>
      </w:pPr>
    </w:p>
    <w:p w14:paraId="388B1F57" w14:textId="77777777" w:rsidR="00146297" w:rsidRDefault="00146297">
      <w:pPr>
        <w:rPr>
          <w:b/>
          <w:bCs/>
          <w:sz w:val="30"/>
          <w:szCs w:val="30"/>
        </w:rPr>
      </w:pPr>
    </w:p>
    <w:p w14:paraId="4E0E3206" w14:textId="77777777" w:rsidR="00C4191F" w:rsidRDefault="00C4191F">
      <w:pPr>
        <w:rPr>
          <w:b/>
          <w:bCs/>
          <w:sz w:val="30"/>
          <w:szCs w:val="30"/>
        </w:rPr>
      </w:pPr>
    </w:p>
    <w:p w14:paraId="3E66E866" w14:textId="77777777" w:rsidR="00A36FAC" w:rsidRDefault="00A36FAC">
      <w:pPr>
        <w:rPr>
          <w:b/>
          <w:bCs/>
          <w:sz w:val="30"/>
          <w:szCs w:val="30"/>
        </w:rPr>
      </w:pPr>
    </w:p>
    <w:p w14:paraId="0B616E89" w14:textId="7E5B3751" w:rsidR="00C4191F" w:rsidRPr="00C4191F" w:rsidRDefault="0042700D" w:rsidP="00C4191F">
      <w:pPr>
        <w:rPr>
          <w:b/>
          <w:bCs/>
          <w:sz w:val="30"/>
          <w:szCs w:val="30"/>
        </w:rPr>
      </w:pPr>
      <w:r>
        <w:rPr>
          <w:rFonts w:hint="eastAsia"/>
          <w:b/>
          <w:bCs/>
          <w:sz w:val="30"/>
          <w:szCs w:val="30"/>
        </w:rPr>
        <w:t>4</w:t>
      </w:r>
      <w:r w:rsidR="00C4191F" w:rsidRPr="00C4191F">
        <w:rPr>
          <w:b/>
          <w:bCs/>
          <w:sz w:val="30"/>
          <w:szCs w:val="30"/>
        </w:rPr>
        <w:t xml:space="preserve"> Limitations of the Research and Considerations</w:t>
      </w:r>
    </w:p>
    <w:p w14:paraId="36A9A28A" w14:textId="77777777" w:rsidR="005D6969" w:rsidRPr="005D6969" w:rsidRDefault="005D6969" w:rsidP="00A36FAC">
      <w:pPr>
        <w:ind w:firstLineChars="150" w:firstLine="450"/>
        <w:rPr>
          <w:sz w:val="30"/>
          <w:szCs w:val="30"/>
        </w:rPr>
      </w:pPr>
      <w:r w:rsidRPr="005D6969">
        <w:rPr>
          <w:sz w:val="30"/>
          <w:szCs w:val="30"/>
        </w:rPr>
        <w:t>As a unique cyberspace, the virtual museum (VM) breaks geographical limitations, allowing users from all over the world to access and experience it. This has immense value for those who are unable to visit physical museums in person. However, current virtual museums (VMs) have not attracted a significant number of visitors.</w:t>
      </w:r>
    </w:p>
    <w:p w14:paraId="24CD5D54" w14:textId="77777777" w:rsidR="005D6969" w:rsidRPr="005D6969" w:rsidRDefault="005D6969" w:rsidP="005D6969">
      <w:pPr>
        <w:ind w:firstLineChars="100" w:firstLine="300"/>
        <w:rPr>
          <w:sz w:val="30"/>
          <w:szCs w:val="30"/>
        </w:rPr>
      </w:pPr>
      <w:r w:rsidRPr="005D6969">
        <w:rPr>
          <w:sz w:val="30"/>
          <w:szCs w:val="30"/>
        </w:rPr>
        <w:t xml:space="preserve">Compared to traditional museums, which focus on exhibits and where visitors passively receive knowledge, virtual museums can offer a distinctive interactive experience by using gamification and engaging elements to encourage users to actively explore and learn (Richard A. Bartle, 2004; Sarini, M. &amp; Strapparava, 1998; N.K. Katherine Hayles, 1996). However, most existing virtual museums do not showcase this difference (Li YiFei, Mohd Kamal </w:t>
      </w:r>
      <w:r w:rsidRPr="005D6969">
        <w:rPr>
          <w:sz w:val="30"/>
          <w:szCs w:val="30"/>
        </w:rPr>
        <w:lastRenderedPageBreak/>
        <w:t>Othman).</w:t>
      </w:r>
    </w:p>
    <w:p w14:paraId="75822725" w14:textId="77777777" w:rsidR="005D6969" w:rsidRPr="005D6969" w:rsidRDefault="005D6969" w:rsidP="005D6969">
      <w:pPr>
        <w:ind w:firstLineChars="100" w:firstLine="300"/>
        <w:rPr>
          <w:sz w:val="30"/>
          <w:szCs w:val="30"/>
        </w:rPr>
      </w:pPr>
      <w:r w:rsidRPr="005D6969">
        <w:rPr>
          <w:sz w:val="30"/>
          <w:szCs w:val="30"/>
        </w:rPr>
        <w:t>Currently, traditional museums have weak interactivity, while virtual museums can significantly enhance user participation through VR and gamification strategies. By incorporating gamified elements such as story progression and allowing users to interact with objects or NPCs (Non-Playable Characters) through tasks, competition, and other mechanisms, the depth of user interaction and the time spent can be increased, thereby enhancing the appeal of virtual museums. This paper aims to explore innovative display methods that can encourage more people, especially young people and tech enthusiasts, to engage with and learn about culture and history.</w:t>
      </w:r>
    </w:p>
    <w:p w14:paraId="07B658C2" w14:textId="0DD1DC87" w:rsidR="00D50652" w:rsidRPr="00D50652" w:rsidRDefault="00D50652" w:rsidP="00D50652">
      <w:pPr>
        <w:ind w:firstLineChars="100" w:firstLine="300"/>
        <w:rPr>
          <w:sz w:val="30"/>
          <w:szCs w:val="30"/>
        </w:rPr>
      </w:pPr>
      <w:r w:rsidRPr="00D50652">
        <w:rPr>
          <w:sz w:val="30"/>
          <w:szCs w:val="30"/>
        </w:rPr>
        <w:t>Therefore, the</w:t>
      </w:r>
      <w:r w:rsidR="006A7B63">
        <w:rPr>
          <w:rFonts w:hint="eastAsia"/>
          <w:sz w:val="30"/>
          <w:szCs w:val="30"/>
        </w:rPr>
        <w:t xml:space="preserve"> research should</w:t>
      </w:r>
      <w:r w:rsidRPr="00D50652">
        <w:rPr>
          <w:sz w:val="30"/>
          <w:szCs w:val="30"/>
        </w:rPr>
        <w:t xml:space="preserve"> focus will be on discussing the limitations of this research, the areas that need attention, and the challenges I will encounter during the research process. It is evident that this research requires extensive preparation and experimental design, with significant work to be done from the early to the later stages, which will involve a considerable amount of effort in terms of improvement and summarization. Clearly, this is not an easy task. However, as analyzed earlier, the research for this project remains highly important. An outstanding prototype not only enables a comprehensive test filled with interactivity but </w:t>
      </w:r>
      <w:r w:rsidRPr="00D50652">
        <w:rPr>
          <w:sz w:val="30"/>
          <w:szCs w:val="30"/>
        </w:rPr>
        <w:lastRenderedPageBreak/>
        <w:t>also lays the crucial foundation for future user surveys and studies.</w:t>
      </w:r>
    </w:p>
    <w:p w14:paraId="7977CFB5" w14:textId="77777777" w:rsidR="00D50652" w:rsidRDefault="00D50652" w:rsidP="00D50652">
      <w:pPr>
        <w:ind w:firstLineChars="100" w:firstLine="300"/>
        <w:rPr>
          <w:sz w:val="30"/>
          <w:szCs w:val="30"/>
        </w:rPr>
      </w:pPr>
      <w:r w:rsidRPr="00D50652">
        <w:rPr>
          <w:sz w:val="30"/>
          <w:szCs w:val="30"/>
        </w:rPr>
        <w:t>Thus, in this chapter, the main focus is to discuss the challenges faced in user experience and the factors to be considered, such as the situations and risks that may arise when different users participate in testing. These factors all need to be incorporated into the overall research.</w:t>
      </w:r>
    </w:p>
    <w:p w14:paraId="5F436CE3" w14:textId="77777777" w:rsidR="00D50652" w:rsidRPr="00D50652" w:rsidRDefault="00D50652" w:rsidP="00D50652">
      <w:pPr>
        <w:ind w:firstLineChars="100" w:firstLine="300"/>
        <w:rPr>
          <w:sz w:val="30"/>
          <w:szCs w:val="30"/>
        </w:rPr>
      </w:pPr>
    </w:p>
    <w:p w14:paraId="33DA3D29" w14:textId="41703DBD" w:rsidR="00C4191F" w:rsidRDefault="0042700D" w:rsidP="00C4191F">
      <w:pPr>
        <w:rPr>
          <w:b/>
          <w:bCs/>
          <w:sz w:val="30"/>
          <w:szCs w:val="30"/>
        </w:rPr>
      </w:pPr>
      <w:r>
        <w:rPr>
          <w:rFonts w:hint="eastAsia"/>
          <w:b/>
          <w:bCs/>
          <w:sz w:val="30"/>
          <w:szCs w:val="30"/>
        </w:rPr>
        <w:t>4</w:t>
      </w:r>
      <w:r w:rsidR="00C4191F" w:rsidRPr="00C4191F">
        <w:rPr>
          <w:b/>
          <w:bCs/>
          <w:sz w:val="30"/>
          <w:szCs w:val="30"/>
        </w:rPr>
        <w:t>.1 Challenges in Understanding User Needs</w:t>
      </w:r>
    </w:p>
    <w:p w14:paraId="53013B3B" w14:textId="6BD87AA7" w:rsidR="00656EC3" w:rsidRPr="00C4191F" w:rsidRDefault="00656EC3" w:rsidP="00656EC3">
      <w:pPr>
        <w:ind w:firstLineChars="100" w:firstLine="300"/>
        <w:rPr>
          <w:sz w:val="30"/>
          <w:szCs w:val="30"/>
        </w:rPr>
      </w:pPr>
      <w:r w:rsidRPr="00656EC3">
        <w:rPr>
          <w:sz w:val="30"/>
          <w:szCs w:val="30"/>
        </w:rPr>
        <w:t>For this research project, there will still be significant challenges and a considerable number of tasks to address. These challenges not only involve user experience research but also relate closely to the integration with the associated virtual space project.</w:t>
      </w:r>
    </w:p>
    <w:p w14:paraId="56691AFF" w14:textId="08F132D5" w:rsidR="00C4191F" w:rsidRPr="00C4191F" w:rsidRDefault="00C4191F" w:rsidP="00C4191F">
      <w:pPr>
        <w:ind w:firstLineChars="100" w:firstLine="300"/>
        <w:rPr>
          <w:sz w:val="30"/>
          <w:szCs w:val="30"/>
        </w:rPr>
      </w:pPr>
      <w:r w:rsidRPr="00C4191F">
        <w:rPr>
          <w:sz w:val="30"/>
          <w:szCs w:val="30"/>
        </w:rPr>
        <w:t>As unique individuals, users' needs are influenced by a multitude of factors</w:t>
      </w:r>
      <w:r w:rsidR="00656EC3">
        <w:rPr>
          <w:rStyle w:val="a9"/>
          <w:sz w:val="30"/>
          <w:szCs w:val="30"/>
        </w:rPr>
        <w:endnoteReference w:id="61"/>
      </w:r>
      <w:r w:rsidRPr="00C4191F">
        <w:rPr>
          <w:sz w:val="30"/>
          <w:szCs w:val="30"/>
        </w:rPr>
        <w:t>, including cultural background, social environment, personal experiences, and personality traits</w:t>
      </w:r>
      <w:r w:rsidR="00215CD3">
        <w:rPr>
          <w:rStyle w:val="a9"/>
          <w:sz w:val="30"/>
          <w:szCs w:val="30"/>
        </w:rPr>
        <w:endnoteReference w:id="62"/>
      </w:r>
      <w:r w:rsidRPr="00C4191F">
        <w:rPr>
          <w:sz w:val="30"/>
          <w:szCs w:val="30"/>
        </w:rPr>
        <w:t>. This complexity requires designers to act as keen explorers, delving into the inner world of users to accurately grasp their expectations and requirements.</w:t>
      </w:r>
    </w:p>
    <w:p w14:paraId="193D7EF5" w14:textId="77777777" w:rsidR="00C4191F" w:rsidRDefault="00C4191F" w:rsidP="00215CD3">
      <w:pPr>
        <w:ind w:firstLineChars="100" w:firstLine="300"/>
        <w:rPr>
          <w:sz w:val="30"/>
          <w:szCs w:val="30"/>
        </w:rPr>
      </w:pPr>
      <w:r w:rsidRPr="00C4191F">
        <w:rPr>
          <w:sz w:val="30"/>
          <w:szCs w:val="30"/>
        </w:rPr>
        <w:t xml:space="preserve">However, this journey is fraught with challenges. The complexity and subtlety of user needs often leave designers disoriented, resulting in designs that fail to align with users’ actual desires. When user needs are misunderstood or overlooked, </w:t>
      </w:r>
      <w:r w:rsidRPr="00C4191F">
        <w:rPr>
          <w:sz w:val="30"/>
          <w:szCs w:val="30"/>
        </w:rPr>
        <w:lastRenderedPageBreak/>
        <w:t>users may feel overwhelmed when encountering complex functionalities or unclear navigation instructions for the first time. This can lead to frustration, disengagement, and rejection of the product.</w:t>
      </w:r>
    </w:p>
    <w:p w14:paraId="4F3FB5D1" w14:textId="77777777" w:rsidR="00C4191F" w:rsidRDefault="00C4191F" w:rsidP="00C4191F">
      <w:pPr>
        <w:rPr>
          <w:sz w:val="30"/>
          <w:szCs w:val="30"/>
        </w:rPr>
      </w:pPr>
    </w:p>
    <w:p w14:paraId="159D6B8A" w14:textId="77777777" w:rsidR="00656EC3" w:rsidRPr="00C4191F" w:rsidRDefault="00656EC3" w:rsidP="00C4191F">
      <w:pPr>
        <w:rPr>
          <w:sz w:val="30"/>
          <w:szCs w:val="30"/>
        </w:rPr>
      </w:pPr>
    </w:p>
    <w:p w14:paraId="673C3A12" w14:textId="58A02BD5" w:rsidR="00C4191F" w:rsidRPr="00C4191F" w:rsidRDefault="0042700D" w:rsidP="00C4191F">
      <w:pPr>
        <w:rPr>
          <w:b/>
          <w:bCs/>
          <w:sz w:val="30"/>
          <w:szCs w:val="30"/>
        </w:rPr>
      </w:pPr>
      <w:r>
        <w:rPr>
          <w:rFonts w:hint="eastAsia"/>
          <w:b/>
          <w:bCs/>
          <w:sz w:val="30"/>
          <w:szCs w:val="30"/>
        </w:rPr>
        <w:t>4</w:t>
      </w:r>
      <w:r w:rsidR="00C4191F" w:rsidRPr="00C4191F">
        <w:rPr>
          <w:b/>
          <w:bCs/>
          <w:sz w:val="30"/>
          <w:szCs w:val="30"/>
        </w:rPr>
        <w:t>.2 Cognitive Overload in User-Product Interaction</w:t>
      </w:r>
    </w:p>
    <w:p w14:paraId="0C8C9FCE" w14:textId="1843607F" w:rsidR="00C4191F" w:rsidRPr="00C4191F" w:rsidRDefault="00C4191F" w:rsidP="00C4191F">
      <w:pPr>
        <w:ind w:firstLineChars="100" w:firstLine="300"/>
        <w:rPr>
          <w:sz w:val="30"/>
          <w:szCs w:val="30"/>
        </w:rPr>
      </w:pPr>
      <w:r w:rsidRPr="00C4191F">
        <w:rPr>
          <w:sz w:val="30"/>
          <w:szCs w:val="30"/>
        </w:rPr>
        <w:t>In the process of user-product interaction, core cognitive activities include receiving, processing, retaining, and interpreting information. When the information presented by a product exceeds the user’s cognitive capacity, cognitive overload</w:t>
      </w:r>
      <w:r w:rsidR="00215CD3">
        <w:rPr>
          <w:rStyle w:val="a9"/>
          <w:sz w:val="30"/>
          <w:szCs w:val="30"/>
        </w:rPr>
        <w:endnoteReference w:id="63"/>
      </w:r>
      <w:r w:rsidRPr="00C4191F">
        <w:rPr>
          <w:sz w:val="30"/>
          <w:szCs w:val="30"/>
        </w:rPr>
        <w:t xml:space="preserve"> becomes a pressing issue. This scenario can be likened to a whirlpool in an information flood, where excessive data disperses the user’s attention, diminishes comprehension, and increases operational errors, severely undermining the fluidity and efficiency of the user experience.</w:t>
      </w:r>
    </w:p>
    <w:p w14:paraId="09DB5E75" w14:textId="160E68A4" w:rsidR="00C4191F" w:rsidRDefault="00C4191F" w:rsidP="00C4191F">
      <w:pPr>
        <w:ind w:firstLineChars="100" w:firstLine="300"/>
        <w:rPr>
          <w:sz w:val="30"/>
          <w:szCs w:val="30"/>
        </w:rPr>
      </w:pPr>
      <w:r w:rsidRPr="00C4191F">
        <w:rPr>
          <w:sz w:val="30"/>
          <w:szCs w:val="30"/>
        </w:rPr>
        <w:t>To address this, designers must carefully streamline the flow of information, crafting a clear and concise pathway for users to process and absorb content. By minimizing unnecessary complexities, users can better navigate and engage with the product without feeling burdened</w:t>
      </w:r>
      <w:r w:rsidR="00215CD3">
        <w:rPr>
          <w:rFonts w:hint="eastAsia"/>
          <w:sz w:val="30"/>
          <w:szCs w:val="30"/>
        </w:rPr>
        <w:t>(</w:t>
      </w:r>
      <w:r w:rsidR="00215CD3" w:rsidRPr="00215CD3">
        <w:rPr>
          <w:sz w:val="30"/>
          <w:szCs w:val="30"/>
        </w:rPr>
        <w:t>Tran, T.N.D</w:t>
      </w:r>
      <w:r w:rsidR="00215CD3">
        <w:rPr>
          <w:rFonts w:hint="eastAsia"/>
          <w:sz w:val="30"/>
          <w:szCs w:val="30"/>
        </w:rPr>
        <w:t>.2022)</w:t>
      </w:r>
      <w:r w:rsidRPr="00C4191F">
        <w:rPr>
          <w:sz w:val="30"/>
          <w:szCs w:val="30"/>
        </w:rPr>
        <w:t>.</w:t>
      </w:r>
    </w:p>
    <w:p w14:paraId="2F08B47A" w14:textId="77777777" w:rsidR="00A500F8" w:rsidRPr="00C4191F" w:rsidRDefault="00A500F8" w:rsidP="00C4191F">
      <w:pPr>
        <w:ind w:firstLineChars="100" w:firstLine="300"/>
        <w:rPr>
          <w:sz w:val="30"/>
          <w:szCs w:val="30"/>
        </w:rPr>
      </w:pPr>
    </w:p>
    <w:p w14:paraId="3FC35FF5" w14:textId="0B9B988F" w:rsidR="00C4191F" w:rsidRPr="00C4191F" w:rsidRDefault="0042700D" w:rsidP="00C4191F">
      <w:pPr>
        <w:rPr>
          <w:b/>
          <w:bCs/>
          <w:sz w:val="30"/>
          <w:szCs w:val="30"/>
        </w:rPr>
      </w:pPr>
      <w:r>
        <w:rPr>
          <w:rFonts w:hint="eastAsia"/>
          <w:b/>
          <w:bCs/>
          <w:sz w:val="30"/>
          <w:szCs w:val="30"/>
        </w:rPr>
        <w:lastRenderedPageBreak/>
        <w:t>4</w:t>
      </w:r>
      <w:r w:rsidR="00C4191F" w:rsidRPr="00C4191F">
        <w:rPr>
          <w:b/>
          <w:bCs/>
          <w:sz w:val="30"/>
          <w:szCs w:val="30"/>
        </w:rPr>
        <w:t>.3 Risks of Designer-Centric Assumptions</w:t>
      </w:r>
    </w:p>
    <w:p w14:paraId="45450F59" w14:textId="3287E09E" w:rsidR="00C4191F" w:rsidRPr="00C4191F" w:rsidRDefault="00C4191F" w:rsidP="00C4191F">
      <w:pPr>
        <w:ind w:firstLineChars="100" w:firstLine="300"/>
        <w:rPr>
          <w:sz w:val="30"/>
          <w:szCs w:val="30"/>
        </w:rPr>
      </w:pPr>
      <w:r w:rsidRPr="00C4191F">
        <w:rPr>
          <w:sz w:val="30"/>
          <w:szCs w:val="30"/>
        </w:rPr>
        <w:t>UX designers often invest significant time and resources in mastering cutting-edge applications, employing advanced tools to build visually stunning interfaces, and staying ahead of emerging UX trends</w:t>
      </w:r>
      <w:r w:rsidR="00215CD3">
        <w:rPr>
          <w:rStyle w:val="a9"/>
          <w:sz w:val="30"/>
          <w:szCs w:val="30"/>
        </w:rPr>
        <w:endnoteReference w:id="64"/>
      </w:r>
      <w:r w:rsidRPr="00C4191F">
        <w:rPr>
          <w:sz w:val="30"/>
          <w:szCs w:val="30"/>
        </w:rPr>
        <w:t>. They are dedicated to creating for users, which is commendable. However, herein lies a potential pitfall: relying solely on their assumptions during the design process can lead to neglect of users' authentic needs</w:t>
      </w:r>
      <w:r w:rsidR="00215CD3">
        <w:rPr>
          <w:rFonts w:hint="eastAsia"/>
          <w:sz w:val="30"/>
          <w:szCs w:val="30"/>
        </w:rPr>
        <w:t>（</w:t>
      </w:r>
      <w:r w:rsidR="00215CD3" w:rsidRPr="00215CD3">
        <w:rPr>
          <w:sz w:val="30"/>
          <w:szCs w:val="30"/>
        </w:rPr>
        <w:t>Craveirinha, R</w:t>
      </w:r>
      <w:r w:rsidR="00215CD3">
        <w:rPr>
          <w:rFonts w:hint="eastAsia"/>
          <w:sz w:val="30"/>
          <w:szCs w:val="30"/>
        </w:rPr>
        <w:t>，2023）</w:t>
      </w:r>
      <w:r w:rsidRPr="00C4191F">
        <w:rPr>
          <w:sz w:val="30"/>
          <w:szCs w:val="30"/>
        </w:rPr>
        <w:t>.</w:t>
      </w:r>
    </w:p>
    <w:p w14:paraId="056A9EE7" w14:textId="35CED0FE" w:rsidR="00C4191F" w:rsidRDefault="00C4191F" w:rsidP="00C4191F">
      <w:pPr>
        <w:ind w:firstLineChars="100" w:firstLine="300"/>
        <w:rPr>
          <w:sz w:val="30"/>
          <w:szCs w:val="30"/>
        </w:rPr>
      </w:pPr>
      <w:r w:rsidRPr="00C4191F">
        <w:rPr>
          <w:sz w:val="30"/>
          <w:szCs w:val="30"/>
        </w:rPr>
        <w:t>Designing without adequate user research may result in a misalignment between the designer’s vision and the user's reality</w:t>
      </w:r>
      <w:r w:rsidR="00215CD3">
        <w:rPr>
          <w:rStyle w:val="a9"/>
          <w:sz w:val="30"/>
          <w:szCs w:val="30"/>
        </w:rPr>
        <w:endnoteReference w:id="65"/>
      </w:r>
      <w:r w:rsidRPr="00C4191F">
        <w:rPr>
          <w:sz w:val="30"/>
          <w:szCs w:val="30"/>
        </w:rPr>
        <w:t>. User research is essential to predict and facilitate user intent, as well as to design experiences that genuinely resonate with users. Consideration of diverse user profiles and an in-depth understanding of the target audience are imperative to creating inclusive and effective designs</w:t>
      </w:r>
      <w:r w:rsidR="00215CD3">
        <w:rPr>
          <w:rFonts w:hint="eastAsia"/>
          <w:sz w:val="30"/>
          <w:szCs w:val="30"/>
        </w:rPr>
        <w:t>（</w:t>
      </w:r>
      <w:r w:rsidR="00215CD3" w:rsidRPr="00215CD3">
        <w:rPr>
          <w:sz w:val="30"/>
          <w:szCs w:val="30"/>
        </w:rPr>
        <w:t>Waern, A. and Back, J., 2017</w:t>
      </w:r>
      <w:r w:rsidR="00215CD3">
        <w:rPr>
          <w:rFonts w:hint="eastAsia"/>
          <w:sz w:val="30"/>
          <w:szCs w:val="30"/>
        </w:rPr>
        <w:t>）</w:t>
      </w:r>
      <w:r w:rsidRPr="00C4191F">
        <w:rPr>
          <w:sz w:val="30"/>
          <w:szCs w:val="30"/>
        </w:rPr>
        <w:t>.</w:t>
      </w:r>
    </w:p>
    <w:p w14:paraId="38ABB93B" w14:textId="00B96C3C" w:rsidR="006A7B63" w:rsidRPr="00C4191F" w:rsidRDefault="006A7B63" w:rsidP="00C4191F">
      <w:pPr>
        <w:ind w:firstLineChars="100" w:firstLine="300"/>
        <w:rPr>
          <w:sz w:val="30"/>
          <w:szCs w:val="30"/>
          <w:lang w:val="en-GB"/>
        </w:rPr>
      </w:pPr>
      <w:r w:rsidRPr="006A7B63">
        <w:rPr>
          <w:sz w:val="30"/>
          <w:szCs w:val="30"/>
        </w:rPr>
        <w:t xml:space="preserve">For example, a designer might assume that adding a complex puzzle to a virtual exhibit will increase user engagement and learning. However, this assumption could be problematic if users have different levels of interest or proficiency with puzzles. Some users, such as younger audiences or individuals with limited experience in gaming, might find the puzzles frustrating and discouraging rather than enjoyable. This could lead to reduced </w:t>
      </w:r>
      <w:r w:rsidRPr="006A7B63">
        <w:rPr>
          <w:sz w:val="30"/>
          <w:szCs w:val="30"/>
        </w:rPr>
        <w:lastRenderedPageBreak/>
        <w:t>engagement and a negative user experience, despite the designer's assumption that the game-like interaction would enhance the museum's appeal.</w:t>
      </w:r>
    </w:p>
    <w:p w14:paraId="665EC807" w14:textId="77777777" w:rsidR="00C4191F" w:rsidRPr="00C4191F" w:rsidRDefault="00C4191F" w:rsidP="00C4191F">
      <w:pPr>
        <w:ind w:firstLineChars="100" w:firstLine="300"/>
        <w:rPr>
          <w:sz w:val="30"/>
          <w:szCs w:val="30"/>
        </w:rPr>
      </w:pPr>
      <w:r w:rsidRPr="00C4191F">
        <w:rPr>
          <w:sz w:val="30"/>
          <w:szCs w:val="30"/>
        </w:rPr>
        <w:t>By embracing these considerations, designers can mitigate common pitfalls and enhance the overall impact of their UX design efforts.</w:t>
      </w:r>
    </w:p>
    <w:p w14:paraId="09E0E768" w14:textId="77777777" w:rsidR="00C4191F" w:rsidRPr="00C4191F" w:rsidRDefault="00C4191F">
      <w:pPr>
        <w:rPr>
          <w:b/>
          <w:bCs/>
          <w:sz w:val="30"/>
          <w:szCs w:val="30"/>
        </w:rPr>
      </w:pPr>
    </w:p>
    <w:p w14:paraId="4F617679" w14:textId="77777777" w:rsidR="00C4191F" w:rsidRDefault="00C4191F">
      <w:pPr>
        <w:rPr>
          <w:b/>
          <w:bCs/>
          <w:sz w:val="30"/>
          <w:szCs w:val="30"/>
        </w:rPr>
      </w:pPr>
    </w:p>
    <w:p w14:paraId="09E44FB9" w14:textId="3934B4EE" w:rsidR="00C4191F" w:rsidRDefault="0042700D" w:rsidP="00CD300B">
      <w:pPr>
        <w:ind w:firstLineChars="1100" w:firstLine="3300"/>
        <w:rPr>
          <w:b/>
          <w:bCs/>
          <w:sz w:val="30"/>
          <w:szCs w:val="30"/>
        </w:rPr>
      </w:pPr>
      <w:r>
        <w:rPr>
          <w:rFonts w:hint="eastAsia"/>
          <w:b/>
          <w:bCs/>
          <w:sz w:val="30"/>
          <w:szCs w:val="30"/>
        </w:rPr>
        <w:t>CONCLUSION</w:t>
      </w:r>
    </w:p>
    <w:p w14:paraId="6C49948F" w14:textId="77777777" w:rsidR="0062789A" w:rsidRPr="0062789A" w:rsidRDefault="0062789A" w:rsidP="0062789A">
      <w:pPr>
        <w:ind w:firstLineChars="100" w:firstLine="300"/>
        <w:rPr>
          <w:sz w:val="30"/>
          <w:szCs w:val="30"/>
        </w:rPr>
      </w:pPr>
      <w:r w:rsidRPr="0062789A">
        <w:rPr>
          <w:sz w:val="30"/>
          <w:szCs w:val="30"/>
        </w:rPr>
        <w:t>This article, from the perspective of User Experience Research (UXR), delves into how to effectively integrate data-driven analysis with intelligent interaction design in the field of Virtual Reality (VR). It proposes a comprehensive framework grounded in theory and methodology. The study highlights that the rapid development of VR technology not only expands the application scenarios of virtual environments but also brings about complex user behaviors and interaction demands. By deeply analyzing user needs, behavioral patterns, and emotional experiences, the research demonstrates how to integrate qualitative and quantitative methods to accurately interpret user behavior data in virtual environments, thereby optimizing user experience design.</w:t>
      </w:r>
    </w:p>
    <w:p w14:paraId="3EB23462" w14:textId="77777777" w:rsidR="00C4191F" w:rsidRPr="0062789A" w:rsidRDefault="00C4191F">
      <w:pPr>
        <w:rPr>
          <w:b/>
          <w:bCs/>
          <w:sz w:val="30"/>
          <w:szCs w:val="30"/>
        </w:rPr>
      </w:pPr>
    </w:p>
    <w:p w14:paraId="1DE93A93" w14:textId="77777777" w:rsidR="00C4191F" w:rsidRDefault="00C4191F">
      <w:pPr>
        <w:rPr>
          <w:b/>
          <w:bCs/>
          <w:sz w:val="30"/>
          <w:szCs w:val="30"/>
        </w:rPr>
      </w:pPr>
    </w:p>
    <w:p w14:paraId="43C68D18" w14:textId="327585A2" w:rsidR="00146297" w:rsidRPr="003B0E77" w:rsidRDefault="003B0E77">
      <w:pPr>
        <w:rPr>
          <w:b/>
          <w:bCs/>
          <w:sz w:val="24"/>
          <w:szCs w:val="24"/>
          <w:lang w:val="en-GB"/>
        </w:rPr>
      </w:pPr>
      <w:r w:rsidRPr="003B0E77">
        <w:rPr>
          <w:rFonts w:hint="eastAsia"/>
          <w:b/>
          <w:bCs/>
          <w:sz w:val="24"/>
          <w:szCs w:val="24"/>
          <w:lang w:val="en-GB"/>
        </w:rPr>
        <w:t>Conference:</w:t>
      </w:r>
    </w:p>
    <w:sectPr w:rsidR="00146297" w:rsidRPr="003B0E77" w:rsidSect="0014158A">
      <w:endnotePr>
        <w:numFmt w:val="decimal"/>
      </w:endnotePr>
      <w:type w:val="continuous"/>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61BA5" w14:textId="77777777" w:rsidR="000A2263" w:rsidRDefault="000A2263" w:rsidP="00146297">
      <w:r>
        <w:separator/>
      </w:r>
    </w:p>
  </w:endnote>
  <w:endnote w:type="continuationSeparator" w:id="0">
    <w:p w14:paraId="73FBDA62" w14:textId="77777777" w:rsidR="000A2263" w:rsidRDefault="000A2263" w:rsidP="00146297">
      <w:r>
        <w:continuationSeparator/>
      </w:r>
    </w:p>
  </w:endnote>
  <w:endnote w:id="1">
    <w:p w14:paraId="5254DE3E" w14:textId="37EEC732" w:rsidR="0014158A" w:rsidRDefault="0014158A">
      <w:pPr>
        <w:pStyle w:val="a7"/>
      </w:pPr>
      <w:r>
        <w:rPr>
          <w:rStyle w:val="a9"/>
        </w:rPr>
        <w:endnoteRef/>
      </w:r>
      <w:r>
        <w:t xml:space="preserve"> </w:t>
      </w:r>
      <w:r w:rsidRPr="0014158A">
        <w:t>Griffin, P.M. and Scherrer, C.R., 2004. Next generation ERP systems: scalable and decentralized paradigms. </w:t>
      </w:r>
      <w:r w:rsidRPr="0014158A">
        <w:rPr>
          <w:i/>
          <w:iCs/>
        </w:rPr>
        <w:t>Handbook of Quantitative Supply Chain Analysis: Modeling in the E-Business Era</w:t>
      </w:r>
      <w:r w:rsidRPr="0014158A">
        <w:t>, pp.747-782.</w:t>
      </w:r>
    </w:p>
  </w:endnote>
  <w:endnote w:id="2">
    <w:p w14:paraId="39C4FCEB" w14:textId="1565A399" w:rsidR="0014158A" w:rsidRPr="0014158A" w:rsidRDefault="0014158A">
      <w:pPr>
        <w:pStyle w:val="a7"/>
      </w:pPr>
      <w:r>
        <w:rPr>
          <w:rStyle w:val="a9"/>
        </w:rPr>
        <w:endnoteRef/>
      </w:r>
      <w:r>
        <w:t xml:space="preserve"> </w:t>
      </w:r>
      <w:r w:rsidRPr="0014158A">
        <w:t>Shen, Y. ed., 2013. </w:t>
      </w:r>
      <w:r w:rsidRPr="0014158A">
        <w:rPr>
          <w:i/>
          <w:iCs/>
        </w:rPr>
        <w:t>Enabling the New Era of Cloud Computing: Data Security, Transfer, and Management: Data Security, Transfer, and Management</w:t>
      </w:r>
      <w:r w:rsidRPr="0014158A">
        <w:t>. IGI Global.</w:t>
      </w:r>
    </w:p>
  </w:endnote>
  <w:endnote w:id="3">
    <w:p w14:paraId="0B2B6AC4" w14:textId="25C0C923" w:rsidR="00146297" w:rsidRDefault="00146297" w:rsidP="00146297">
      <w:pPr>
        <w:pStyle w:val="a7"/>
      </w:pPr>
      <w:r>
        <w:rPr>
          <w:rStyle w:val="a9"/>
        </w:rPr>
        <w:endnoteRef/>
      </w:r>
      <w:r>
        <w:t xml:space="preserve"> </w:t>
      </w:r>
      <w:r w:rsidRPr="00752BB8">
        <w:t>Zidianakis, E., Partarakis, N., Ntoa, S., Dimopoulos, A., Kopidaki, S., Ntagianta, A., Ntafotis, E., Xhako, A., Pervolarakis, Z., Kontaki, E. and Zidianaki, I., 2021. The invisible museum: A user-centric platform for creating virtual 3D exhibitions with VR support. </w:t>
      </w:r>
      <w:r w:rsidRPr="00752BB8">
        <w:rPr>
          <w:i/>
          <w:iCs/>
        </w:rPr>
        <w:t>Electronics</w:t>
      </w:r>
      <w:r w:rsidRPr="00752BB8">
        <w:t>, </w:t>
      </w:r>
      <w:r w:rsidRPr="00752BB8">
        <w:rPr>
          <w:i/>
          <w:iCs/>
        </w:rPr>
        <w:t>10</w:t>
      </w:r>
      <w:r w:rsidRPr="00752BB8">
        <w:t>(3), p.363.</w:t>
      </w:r>
    </w:p>
  </w:endnote>
  <w:endnote w:id="4">
    <w:p w14:paraId="68E78087" w14:textId="16554A19" w:rsidR="0014158A" w:rsidRPr="0014158A" w:rsidRDefault="0014158A">
      <w:pPr>
        <w:pStyle w:val="a7"/>
        <w:rPr>
          <w:rFonts w:eastAsiaTheme="minorHAnsi"/>
          <w:szCs w:val="21"/>
        </w:rPr>
      </w:pPr>
      <w:r>
        <w:rPr>
          <w:rStyle w:val="a9"/>
        </w:rPr>
        <w:endnoteRef/>
      </w:r>
      <w:r>
        <w:t xml:space="preserve"> </w:t>
      </w:r>
      <w:r w:rsidRPr="0014158A">
        <w:rPr>
          <w:rFonts w:eastAsiaTheme="minorHAnsi" w:cs="Arial"/>
          <w:color w:val="222222"/>
          <w:szCs w:val="21"/>
          <w:shd w:val="clear" w:color="auto" w:fill="FFFFFF"/>
        </w:rPr>
        <w:t>Walczak, K., Cellary, W. and White, M., 2006. Virtual museum exbibitions. </w:t>
      </w:r>
      <w:r w:rsidRPr="0014158A">
        <w:rPr>
          <w:rFonts w:eastAsiaTheme="minorHAnsi" w:cs="Arial"/>
          <w:i/>
          <w:iCs/>
          <w:color w:val="222222"/>
          <w:szCs w:val="21"/>
          <w:shd w:val="clear" w:color="auto" w:fill="FFFFFF"/>
        </w:rPr>
        <w:t>Computer</w:t>
      </w:r>
      <w:r w:rsidRPr="0014158A">
        <w:rPr>
          <w:rFonts w:eastAsiaTheme="minorHAnsi" w:cs="Arial"/>
          <w:color w:val="222222"/>
          <w:szCs w:val="21"/>
          <w:shd w:val="clear" w:color="auto" w:fill="FFFFFF"/>
        </w:rPr>
        <w:t>, </w:t>
      </w:r>
      <w:r w:rsidRPr="0014158A">
        <w:rPr>
          <w:rFonts w:eastAsiaTheme="minorHAnsi" w:cs="Arial"/>
          <w:i/>
          <w:iCs/>
          <w:color w:val="222222"/>
          <w:szCs w:val="21"/>
          <w:shd w:val="clear" w:color="auto" w:fill="FFFFFF"/>
        </w:rPr>
        <w:t>39</w:t>
      </w:r>
      <w:r w:rsidRPr="0014158A">
        <w:rPr>
          <w:rFonts w:eastAsiaTheme="minorHAnsi" w:cs="Arial"/>
          <w:color w:val="222222"/>
          <w:szCs w:val="21"/>
          <w:shd w:val="clear" w:color="auto" w:fill="FFFFFF"/>
        </w:rPr>
        <w:t>(3), pp.93-95.</w:t>
      </w:r>
    </w:p>
  </w:endnote>
  <w:endnote w:id="5">
    <w:p w14:paraId="1BAB98A7" w14:textId="490B30FD" w:rsidR="00146297" w:rsidRDefault="00146297" w:rsidP="00146297">
      <w:pPr>
        <w:pStyle w:val="a7"/>
      </w:pPr>
      <w:r>
        <w:rPr>
          <w:rStyle w:val="a9"/>
        </w:rPr>
        <w:endnoteRef/>
      </w:r>
      <w:r>
        <w:t xml:space="preserve"> </w:t>
      </w:r>
      <w:r w:rsidR="0014158A">
        <w:rPr>
          <w:rFonts w:ascii="Arial" w:hAnsi="Arial" w:cs="Arial"/>
          <w:color w:val="222222"/>
          <w:sz w:val="20"/>
          <w:szCs w:val="20"/>
          <w:shd w:val="clear" w:color="auto" w:fill="FFFFFF"/>
        </w:rPr>
        <w:t>Battro, A.M., 2013. From Malraux's imaginary museum to the virtual museum. In </w:t>
      </w:r>
      <w:r w:rsidR="0014158A">
        <w:rPr>
          <w:rFonts w:ascii="Arial" w:hAnsi="Arial" w:cs="Arial"/>
          <w:i/>
          <w:iCs/>
          <w:color w:val="222222"/>
          <w:sz w:val="20"/>
          <w:szCs w:val="20"/>
          <w:shd w:val="clear" w:color="auto" w:fill="FFFFFF"/>
        </w:rPr>
        <w:t>Museums in a digital age</w:t>
      </w:r>
      <w:r w:rsidR="0014158A">
        <w:rPr>
          <w:rFonts w:ascii="Arial" w:hAnsi="Arial" w:cs="Arial"/>
          <w:color w:val="222222"/>
          <w:sz w:val="20"/>
          <w:szCs w:val="20"/>
          <w:shd w:val="clear" w:color="auto" w:fill="FFFFFF"/>
        </w:rPr>
        <w:t> (pp. 136-147). Routledge.</w:t>
      </w:r>
    </w:p>
  </w:endnote>
  <w:endnote w:id="6">
    <w:p w14:paraId="5D92A89C" w14:textId="4E53356E" w:rsidR="0014158A" w:rsidRDefault="0014158A">
      <w:pPr>
        <w:pStyle w:val="a7"/>
      </w:pPr>
      <w:r>
        <w:rPr>
          <w:rStyle w:val="a9"/>
        </w:rPr>
        <w:endnoteRef/>
      </w:r>
      <w:r>
        <w:t xml:space="preserve"> </w:t>
      </w:r>
      <w:r w:rsidRPr="0014158A">
        <w:t>Lepouras, G., Katifori, A., Vassilakis, C. and Charitos, D., 2004. Real exhibitions in a virtual museum. </w:t>
      </w:r>
      <w:r w:rsidRPr="0014158A">
        <w:rPr>
          <w:i/>
          <w:iCs/>
        </w:rPr>
        <w:t>Virtual Reality</w:t>
      </w:r>
      <w:r w:rsidRPr="0014158A">
        <w:t>, </w:t>
      </w:r>
      <w:r w:rsidRPr="0014158A">
        <w:rPr>
          <w:i/>
          <w:iCs/>
        </w:rPr>
        <w:t>7</w:t>
      </w:r>
      <w:r w:rsidRPr="0014158A">
        <w:t>, pp.120-128.</w:t>
      </w:r>
    </w:p>
  </w:endnote>
  <w:endnote w:id="7">
    <w:p w14:paraId="07DC46FE" w14:textId="5D021B49" w:rsidR="003B0E77" w:rsidRDefault="003B0E77">
      <w:pPr>
        <w:pStyle w:val="a7"/>
      </w:pPr>
      <w:r>
        <w:rPr>
          <w:rStyle w:val="a9"/>
        </w:rPr>
        <w:endnoteRef/>
      </w:r>
      <w:r>
        <w:t xml:space="preserve"> </w:t>
      </w:r>
      <w:r w:rsidRPr="003B0E77">
        <w:t>Besoain, F., Jego, L. and Gallardo, I., 2021. Developing a virtual museum: Experience from the design and creation process. </w:t>
      </w:r>
      <w:r w:rsidRPr="003B0E77">
        <w:rPr>
          <w:i/>
          <w:iCs/>
        </w:rPr>
        <w:t>Information</w:t>
      </w:r>
      <w:r w:rsidRPr="003B0E77">
        <w:t>, </w:t>
      </w:r>
      <w:r w:rsidRPr="003B0E77">
        <w:rPr>
          <w:i/>
          <w:iCs/>
        </w:rPr>
        <w:t>12</w:t>
      </w:r>
      <w:r w:rsidRPr="003B0E77">
        <w:t>(6), p.244.</w:t>
      </w:r>
    </w:p>
  </w:endnote>
  <w:endnote w:id="8">
    <w:p w14:paraId="210C0208" w14:textId="77777777" w:rsidR="00146297" w:rsidRDefault="00146297" w:rsidP="00146297">
      <w:pPr>
        <w:pStyle w:val="a7"/>
      </w:pPr>
      <w:r>
        <w:rPr>
          <w:rStyle w:val="a9"/>
        </w:rPr>
        <w:endnoteRef/>
      </w:r>
      <w:r>
        <w:t xml:space="preserve"> </w:t>
      </w:r>
      <w:r w:rsidRPr="00F90D79">
        <w:t>Sandell, R., 2016. </w:t>
      </w:r>
      <w:r w:rsidRPr="00F90D79">
        <w:rPr>
          <w:i/>
          <w:iCs/>
        </w:rPr>
        <w:t>Museums, moralities and human rights</w:t>
      </w:r>
      <w:r w:rsidRPr="00F90D79">
        <w:t>. Routledge.</w:t>
      </w:r>
    </w:p>
  </w:endnote>
  <w:endnote w:id="9">
    <w:p w14:paraId="0BF4AD9D" w14:textId="610E5655" w:rsidR="003B0E77" w:rsidRDefault="003B0E77">
      <w:pPr>
        <w:pStyle w:val="a7"/>
      </w:pPr>
      <w:r>
        <w:rPr>
          <w:rStyle w:val="a9"/>
        </w:rPr>
        <w:endnoteRef/>
      </w:r>
      <w:r>
        <w:t xml:space="preserve"> </w:t>
      </w:r>
      <w:r w:rsidRPr="003B0E77">
        <w:t>Carrozzino, M. and Bergamasco, M., 2010. Beyond virtual museums: Experiencing immersive virtual reality in real museums. </w:t>
      </w:r>
      <w:r w:rsidRPr="003B0E77">
        <w:rPr>
          <w:i/>
          <w:iCs/>
        </w:rPr>
        <w:t>Journal of cultural heritage</w:t>
      </w:r>
      <w:r w:rsidRPr="003B0E77">
        <w:t>, </w:t>
      </w:r>
      <w:r w:rsidRPr="003B0E77">
        <w:rPr>
          <w:i/>
          <w:iCs/>
        </w:rPr>
        <w:t>11</w:t>
      </w:r>
      <w:r w:rsidRPr="003B0E77">
        <w:t>(4), pp.452-458.</w:t>
      </w:r>
    </w:p>
  </w:endnote>
  <w:endnote w:id="10">
    <w:p w14:paraId="7E6B5677" w14:textId="5651323E" w:rsidR="003B0E77" w:rsidRDefault="003B0E77">
      <w:pPr>
        <w:pStyle w:val="a7"/>
      </w:pPr>
      <w:r>
        <w:rPr>
          <w:rStyle w:val="a9"/>
        </w:rPr>
        <w:endnoteRef/>
      </w:r>
      <w:r>
        <w:t xml:space="preserve"> </w:t>
      </w:r>
      <w:r w:rsidRPr="003B0E77">
        <w:t>Miller, G., Hoffert, E., Chen, S.E., Patterson, E., Blackketter, D., Rubin, S., Applin, S.A., Yim, D. and Hanan, J., 1992. The virtual museum: Interactive 3d navigation of a multimedia database. </w:t>
      </w:r>
      <w:r w:rsidRPr="003B0E77">
        <w:rPr>
          <w:i/>
          <w:iCs/>
        </w:rPr>
        <w:t>The Journal of visualization and computer animation</w:t>
      </w:r>
      <w:r w:rsidRPr="003B0E77">
        <w:t>, </w:t>
      </w:r>
      <w:r w:rsidRPr="003B0E77">
        <w:rPr>
          <w:i/>
          <w:iCs/>
        </w:rPr>
        <w:t>3</w:t>
      </w:r>
      <w:r w:rsidRPr="003B0E77">
        <w:t>(3), pp.183-197.</w:t>
      </w:r>
    </w:p>
  </w:endnote>
  <w:endnote w:id="11">
    <w:p w14:paraId="27794B93" w14:textId="0BFFAE6E" w:rsidR="003B0E77" w:rsidRDefault="003B0E77">
      <w:pPr>
        <w:pStyle w:val="a7"/>
      </w:pPr>
      <w:r>
        <w:rPr>
          <w:rStyle w:val="a9"/>
        </w:rPr>
        <w:endnoteRef/>
      </w:r>
      <w:r>
        <w:t xml:space="preserve"> </w:t>
      </w:r>
      <w:r w:rsidRPr="003B0E77">
        <w:t>Guarino, N., Oberle, D. and Staab, S., 2009. What is an ontology?. </w:t>
      </w:r>
      <w:r w:rsidRPr="003B0E77">
        <w:rPr>
          <w:i/>
          <w:iCs/>
        </w:rPr>
        <w:t>Handbook on ontologies</w:t>
      </w:r>
      <w:r w:rsidRPr="003B0E77">
        <w:t>, pp.1-17.</w:t>
      </w:r>
    </w:p>
  </w:endnote>
  <w:endnote w:id="12">
    <w:p w14:paraId="2FFFD4C9" w14:textId="6CACFD32" w:rsidR="003B0E77" w:rsidRDefault="003B0E77">
      <w:pPr>
        <w:pStyle w:val="a7"/>
      </w:pPr>
      <w:r>
        <w:rPr>
          <w:rStyle w:val="a9"/>
        </w:rPr>
        <w:endnoteRef/>
      </w:r>
      <w:r>
        <w:t xml:space="preserve"> </w:t>
      </w:r>
      <w:r w:rsidRPr="003B0E77">
        <w:t>Heidegger, M., 2008. Ontology—The hermeneutics of facticity.</w:t>
      </w:r>
    </w:p>
  </w:endnote>
  <w:endnote w:id="13">
    <w:p w14:paraId="51FD21FE" w14:textId="6C5F9E74" w:rsidR="003B0E77" w:rsidRDefault="003B0E77">
      <w:pPr>
        <w:pStyle w:val="a7"/>
      </w:pPr>
      <w:r>
        <w:rPr>
          <w:rStyle w:val="a9"/>
        </w:rPr>
        <w:endnoteRef/>
      </w:r>
      <w:r>
        <w:t xml:space="preserve"> </w:t>
      </w:r>
      <w:r w:rsidRPr="003B0E77">
        <w:t>Jepsen, T.C., 2009. Just what is an ontology, anyway?. </w:t>
      </w:r>
      <w:r w:rsidRPr="003B0E77">
        <w:rPr>
          <w:i/>
          <w:iCs/>
        </w:rPr>
        <w:t>IT Prof.</w:t>
      </w:r>
      <w:r w:rsidRPr="003B0E77">
        <w:t>, </w:t>
      </w:r>
      <w:r w:rsidRPr="003B0E77">
        <w:rPr>
          <w:i/>
          <w:iCs/>
        </w:rPr>
        <w:t>11</w:t>
      </w:r>
      <w:r w:rsidRPr="003B0E77">
        <w:t>(5), pp.22-27.</w:t>
      </w:r>
    </w:p>
  </w:endnote>
  <w:endnote w:id="14">
    <w:p w14:paraId="552FF5A3" w14:textId="47C6677E" w:rsidR="003B0E77" w:rsidRDefault="003B0E77">
      <w:pPr>
        <w:pStyle w:val="a7"/>
      </w:pPr>
      <w:r>
        <w:rPr>
          <w:rStyle w:val="a9"/>
        </w:rPr>
        <w:endnoteRef/>
      </w:r>
      <w:r>
        <w:t xml:space="preserve"> </w:t>
      </w:r>
      <w:r w:rsidRPr="003B0E77">
        <w:t>Pryor, J., 2001. Highlights of recent epistemology. </w:t>
      </w:r>
      <w:r w:rsidRPr="003B0E77">
        <w:rPr>
          <w:i/>
          <w:iCs/>
        </w:rPr>
        <w:t>The British Journal for the Philosophy of Science</w:t>
      </w:r>
      <w:r w:rsidRPr="003B0E77">
        <w:t>, </w:t>
      </w:r>
      <w:r w:rsidRPr="003B0E77">
        <w:rPr>
          <w:i/>
          <w:iCs/>
        </w:rPr>
        <w:t>52</w:t>
      </w:r>
      <w:r w:rsidRPr="003B0E77">
        <w:t>(1), pp.95-124.</w:t>
      </w:r>
    </w:p>
  </w:endnote>
  <w:endnote w:id="15">
    <w:p w14:paraId="7ECCF6C2" w14:textId="6F6E9982" w:rsidR="0014667C" w:rsidRDefault="0014667C">
      <w:pPr>
        <w:pStyle w:val="a7"/>
      </w:pPr>
      <w:r>
        <w:rPr>
          <w:rStyle w:val="a9"/>
        </w:rPr>
        <w:endnoteRef/>
      </w:r>
      <w:r>
        <w:t xml:space="preserve"> </w:t>
      </w:r>
      <w:r w:rsidRPr="0014667C">
        <w:t>Audi, R., 2010. </w:t>
      </w:r>
      <w:r w:rsidRPr="0014667C">
        <w:rPr>
          <w:i/>
          <w:iCs/>
        </w:rPr>
        <w:t>Epistemology: A contemporary introduction to the theory of knowledge</w:t>
      </w:r>
      <w:r w:rsidRPr="0014667C">
        <w:t>. Routledge.</w:t>
      </w:r>
    </w:p>
  </w:endnote>
  <w:endnote w:id="16">
    <w:p w14:paraId="4A2AD0A6" w14:textId="7FC4E598" w:rsidR="0014667C" w:rsidRDefault="0014667C">
      <w:pPr>
        <w:pStyle w:val="a7"/>
      </w:pPr>
      <w:r>
        <w:rPr>
          <w:rStyle w:val="a9"/>
        </w:rPr>
        <w:endnoteRef/>
      </w:r>
      <w:r>
        <w:t xml:space="preserve"> </w:t>
      </w:r>
      <w:r w:rsidRPr="0014667C">
        <w:t>Comte, A., 1868. </w:t>
      </w:r>
      <w:r w:rsidRPr="0014667C">
        <w:rPr>
          <w:i/>
          <w:iCs/>
        </w:rPr>
        <w:t>The positive philosophy of Auguste Comte</w:t>
      </w:r>
      <w:r w:rsidRPr="0014667C">
        <w:t>. W. Gowans.</w:t>
      </w:r>
    </w:p>
  </w:endnote>
  <w:endnote w:id="17">
    <w:p w14:paraId="57048723" w14:textId="234D8EE7" w:rsidR="0014667C" w:rsidRDefault="0014667C">
      <w:pPr>
        <w:pStyle w:val="a7"/>
      </w:pPr>
      <w:r>
        <w:rPr>
          <w:rStyle w:val="a9"/>
        </w:rPr>
        <w:endnoteRef/>
      </w:r>
      <w:r>
        <w:t xml:space="preserve"> </w:t>
      </w:r>
      <w:r w:rsidRPr="0014667C">
        <w:t>Bourdeau, M., 2008. Auguste comte.</w:t>
      </w:r>
    </w:p>
  </w:endnote>
  <w:endnote w:id="18">
    <w:p w14:paraId="18B5B917" w14:textId="2D619CB0" w:rsidR="0014667C" w:rsidRDefault="0014667C">
      <w:pPr>
        <w:pStyle w:val="a7"/>
      </w:pPr>
      <w:r>
        <w:rPr>
          <w:rStyle w:val="a9"/>
        </w:rPr>
        <w:endnoteRef/>
      </w:r>
      <w:r>
        <w:t xml:space="preserve"> </w:t>
      </w:r>
      <w:r w:rsidRPr="0014667C">
        <w:t>Noy, N.F. and McGuinness, D.L., 2001. Ontology development 101: A guide to creating your first ontology.</w:t>
      </w:r>
    </w:p>
  </w:endnote>
  <w:endnote w:id="19">
    <w:p w14:paraId="00844D1A" w14:textId="5D64840F" w:rsidR="0014667C" w:rsidRDefault="0014667C">
      <w:pPr>
        <w:pStyle w:val="a7"/>
      </w:pPr>
      <w:r>
        <w:rPr>
          <w:rStyle w:val="a9"/>
        </w:rPr>
        <w:endnoteRef/>
      </w:r>
      <w:r>
        <w:t xml:space="preserve"> </w:t>
      </w:r>
      <w:r w:rsidRPr="0014667C">
        <w:t>Stonebraker, M. and Rowe, L.A., 1986. The design of Postgres. </w:t>
      </w:r>
      <w:r w:rsidRPr="0014667C">
        <w:rPr>
          <w:i/>
          <w:iCs/>
        </w:rPr>
        <w:t>ACM Sigmod Record</w:t>
      </w:r>
      <w:r w:rsidRPr="0014667C">
        <w:t>, </w:t>
      </w:r>
      <w:r w:rsidRPr="0014667C">
        <w:rPr>
          <w:i/>
          <w:iCs/>
        </w:rPr>
        <w:t>15</w:t>
      </w:r>
      <w:r w:rsidRPr="0014667C">
        <w:t>(2), pp.340-355.</w:t>
      </w:r>
    </w:p>
  </w:endnote>
  <w:endnote w:id="20">
    <w:p w14:paraId="1831E76A" w14:textId="65EC017A" w:rsidR="0014667C" w:rsidRDefault="0014667C">
      <w:pPr>
        <w:pStyle w:val="a7"/>
      </w:pPr>
      <w:r>
        <w:rPr>
          <w:rStyle w:val="a9"/>
        </w:rPr>
        <w:endnoteRef/>
      </w:r>
      <w:r>
        <w:t xml:space="preserve"> </w:t>
      </w:r>
      <w:r w:rsidRPr="0014667C">
        <w:t>Santos, B.M.C.D., 2022. </w:t>
      </w:r>
      <w:r w:rsidRPr="0014667C">
        <w:rPr>
          <w:i/>
          <w:iCs/>
        </w:rPr>
        <w:t>The power of sight: the impact of AR Smart Glasses on the smartphone industry</w:t>
      </w:r>
      <w:r w:rsidRPr="0014667C">
        <w:t> (Doctoral dissertation).</w:t>
      </w:r>
    </w:p>
  </w:endnote>
  <w:endnote w:id="21">
    <w:p w14:paraId="77456A4C" w14:textId="0DD3EFD8" w:rsidR="0014667C" w:rsidRDefault="0014667C">
      <w:pPr>
        <w:pStyle w:val="a7"/>
      </w:pPr>
      <w:r>
        <w:rPr>
          <w:rStyle w:val="a9"/>
        </w:rPr>
        <w:endnoteRef/>
      </w:r>
      <w:r>
        <w:t xml:space="preserve"> </w:t>
      </w:r>
      <w:r w:rsidRPr="0014667C">
        <w:t>Lareyre, F., Chaudhuri, A., Adam, C., Carrier, M., Mialhe, C. and Raffort, J., 2021. Applications of head-mounted displays and smart glasses in vascular surgery. </w:t>
      </w:r>
      <w:r w:rsidRPr="0014667C">
        <w:rPr>
          <w:i/>
          <w:iCs/>
        </w:rPr>
        <w:t>Annals of Vascular Surgery</w:t>
      </w:r>
      <w:r w:rsidRPr="0014667C">
        <w:t>, </w:t>
      </w:r>
      <w:r w:rsidRPr="0014667C">
        <w:rPr>
          <w:i/>
          <w:iCs/>
        </w:rPr>
        <w:t>75</w:t>
      </w:r>
      <w:r w:rsidRPr="0014667C">
        <w:t>, pp.497-512.</w:t>
      </w:r>
    </w:p>
  </w:endnote>
  <w:endnote w:id="22">
    <w:p w14:paraId="3AE29B25" w14:textId="509BDCA8" w:rsidR="009048EA" w:rsidRDefault="009048EA">
      <w:pPr>
        <w:pStyle w:val="a7"/>
      </w:pPr>
      <w:r>
        <w:rPr>
          <w:rStyle w:val="a9"/>
        </w:rPr>
        <w:endnoteRef/>
      </w:r>
      <w:r>
        <w:t xml:space="preserve"> </w:t>
      </w:r>
      <w:r w:rsidRPr="009048EA">
        <w:t>Bowen, J., 2000. The virtual museum. </w:t>
      </w:r>
      <w:r w:rsidRPr="009048EA">
        <w:rPr>
          <w:i/>
          <w:iCs/>
        </w:rPr>
        <w:t>Museum International</w:t>
      </w:r>
      <w:r w:rsidRPr="009048EA">
        <w:t>, </w:t>
      </w:r>
      <w:r w:rsidRPr="009048EA">
        <w:rPr>
          <w:i/>
          <w:iCs/>
        </w:rPr>
        <w:t>52</w:t>
      </w:r>
      <w:r w:rsidRPr="009048EA">
        <w:t>(1), pp.4-7.</w:t>
      </w:r>
    </w:p>
  </w:endnote>
  <w:endnote w:id="23">
    <w:p w14:paraId="19338DB6" w14:textId="40842ECE" w:rsidR="009048EA" w:rsidRDefault="009048EA">
      <w:pPr>
        <w:pStyle w:val="a7"/>
      </w:pPr>
      <w:r>
        <w:rPr>
          <w:rStyle w:val="a9"/>
        </w:rPr>
        <w:endnoteRef/>
      </w:r>
      <w:r>
        <w:t xml:space="preserve"> </w:t>
      </w:r>
      <w:r w:rsidRPr="009048EA">
        <w:t>Sylaiou, S., Mania, K., Karoulis, A. and White, M., 2010. Exploring the relationship between presence and enjoyment in a virtual museum. </w:t>
      </w:r>
      <w:r w:rsidRPr="009048EA">
        <w:rPr>
          <w:i/>
          <w:iCs/>
        </w:rPr>
        <w:t>International journal of human-computer studies</w:t>
      </w:r>
      <w:r w:rsidRPr="009048EA">
        <w:t>, </w:t>
      </w:r>
      <w:r w:rsidRPr="009048EA">
        <w:rPr>
          <w:i/>
          <w:iCs/>
        </w:rPr>
        <w:t>68</w:t>
      </w:r>
      <w:r w:rsidRPr="009048EA">
        <w:t>(5), pp.243-253.</w:t>
      </w:r>
    </w:p>
  </w:endnote>
  <w:endnote w:id="24">
    <w:p w14:paraId="52684E6B" w14:textId="4E247960" w:rsidR="009048EA" w:rsidRDefault="009048EA">
      <w:pPr>
        <w:pStyle w:val="a7"/>
      </w:pPr>
      <w:r>
        <w:rPr>
          <w:rStyle w:val="a9"/>
        </w:rPr>
        <w:endnoteRef/>
      </w:r>
      <w:r>
        <w:t xml:space="preserve"> </w:t>
      </w:r>
      <w:r w:rsidRPr="009048EA">
        <w:t>Besoain, F., Jego, L. and Gallardo, I., 2021. Developing a virtual museum: Experience from the design and creation process. </w:t>
      </w:r>
      <w:r w:rsidRPr="009048EA">
        <w:rPr>
          <w:i/>
          <w:iCs/>
        </w:rPr>
        <w:t>Information</w:t>
      </w:r>
      <w:r w:rsidRPr="009048EA">
        <w:t>, </w:t>
      </w:r>
      <w:r w:rsidRPr="009048EA">
        <w:rPr>
          <w:i/>
          <w:iCs/>
        </w:rPr>
        <w:t>12</w:t>
      </w:r>
      <w:r w:rsidRPr="009048EA">
        <w:t>(6), p.244.</w:t>
      </w:r>
    </w:p>
  </w:endnote>
  <w:endnote w:id="25">
    <w:p w14:paraId="67CCB5FC" w14:textId="7ABC264F" w:rsidR="009048EA" w:rsidRDefault="009048EA">
      <w:pPr>
        <w:pStyle w:val="a7"/>
      </w:pPr>
      <w:r>
        <w:rPr>
          <w:rStyle w:val="a9"/>
        </w:rPr>
        <w:endnoteRef/>
      </w:r>
      <w:r>
        <w:t xml:space="preserve"> </w:t>
      </w:r>
      <w:r w:rsidRPr="009048EA">
        <w:t>Park, Y.S., Konge, L. and Artino Jr, A.R., 2020. The positivism paradigm of research. </w:t>
      </w:r>
      <w:r w:rsidRPr="009048EA">
        <w:rPr>
          <w:i/>
          <w:iCs/>
        </w:rPr>
        <w:t>Academic medicine</w:t>
      </w:r>
      <w:r w:rsidRPr="009048EA">
        <w:t>, </w:t>
      </w:r>
      <w:r w:rsidRPr="009048EA">
        <w:rPr>
          <w:i/>
          <w:iCs/>
        </w:rPr>
        <w:t>95</w:t>
      </w:r>
      <w:r w:rsidRPr="009048EA">
        <w:t>(5), pp.690-694.</w:t>
      </w:r>
    </w:p>
  </w:endnote>
  <w:endnote w:id="26">
    <w:p w14:paraId="2B59EC3B" w14:textId="392D00A0" w:rsidR="009048EA" w:rsidRDefault="009048EA">
      <w:pPr>
        <w:pStyle w:val="a7"/>
      </w:pPr>
      <w:r>
        <w:rPr>
          <w:rStyle w:val="a9"/>
        </w:rPr>
        <w:endnoteRef/>
      </w:r>
      <w:r>
        <w:t xml:space="preserve"> </w:t>
      </w:r>
      <w:r w:rsidRPr="009048EA">
        <w:t>Fox, N.J., 2008. Post-positivism. </w:t>
      </w:r>
      <w:r w:rsidRPr="009048EA">
        <w:rPr>
          <w:i/>
          <w:iCs/>
        </w:rPr>
        <w:t>The SAGE encyclopedia of qualitative research methods</w:t>
      </w:r>
      <w:r w:rsidRPr="009048EA">
        <w:t>, </w:t>
      </w:r>
      <w:r w:rsidRPr="009048EA">
        <w:rPr>
          <w:i/>
          <w:iCs/>
        </w:rPr>
        <w:t>2</w:t>
      </w:r>
      <w:r w:rsidRPr="009048EA">
        <w:t>(1), pp.659-664.</w:t>
      </w:r>
    </w:p>
  </w:endnote>
  <w:endnote w:id="27">
    <w:p w14:paraId="0BB3449A" w14:textId="2CC9346B" w:rsidR="009048EA" w:rsidRDefault="009048EA">
      <w:pPr>
        <w:pStyle w:val="a7"/>
      </w:pPr>
      <w:r>
        <w:rPr>
          <w:rStyle w:val="a9"/>
        </w:rPr>
        <w:endnoteRef/>
      </w:r>
      <w:r>
        <w:t xml:space="preserve"> </w:t>
      </w:r>
      <w:r w:rsidRPr="009048EA">
        <w:t>Abbott, A., 1992. From causes to events: Notes on narrative positivism. </w:t>
      </w:r>
      <w:r w:rsidRPr="009048EA">
        <w:rPr>
          <w:i/>
          <w:iCs/>
        </w:rPr>
        <w:t>Sociological methods &amp; research</w:t>
      </w:r>
      <w:r w:rsidRPr="009048EA">
        <w:t>, </w:t>
      </w:r>
      <w:r w:rsidRPr="009048EA">
        <w:rPr>
          <w:i/>
          <w:iCs/>
        </w:rPr>
        <w:t>20</w:t>
      </w:r>
      <w:r w:rsidRPr="009048EA">
        <w:t>(4), pp.428-455.</w:t>
      </w:r>
    </w:p>
  </w:endnote>
  <w:endnote w:id="28">
    <w:p w14:paraId="2723EFC3" w14:textId="4C487F69" w:rsidR="009048EA" w:rsidRDefault="009048EA">
      <w:pPr>
        <w:pStyle w:val="a7"/>
      </w:pPr>
      <w:r>
        <w:rPr>
          <w:rStyle w:val="a9"/>
        </w:rPr>
        <w:endnoteRef/>
      </w:r>
      <w:r>
        <w:t xml:space="preserve"> </w:t>
      </w:r>
      <w:r w:rsidRPr="009048EA">
        <w:t>Biella, D., Luther, W. and Baloian, N., 2010, November. Virtual museum exhibition designer using enhanced ARCO standard. In </w:t>
      </w:r>
      <w:r w:rsidRPr="009048EA">
        <w:rPr>
          <w:i/>
          <w:iCs/>
        </w:rPr>
        <w:t>2010 XXIX International Conference of the Chilean Computer Science Society</w:t>
      </w:r>
      <w:r w:rsidRPr="009048EA">
        <w:t> (pp. 226-235). IEEE.</w:t>
      </w:r>
    </w:p>
  </w:endnote>
  <w:endnote w:id="29">
    <w:p w14:paraId="45AECBCE" w14:textId="7E4CF18B" w:rsidR="009048EA" w:rsidRDefault="009048EA">
      <w:pPr>
        <w:pStyle w:val="a7"/>
      </w:pPr>
      <w:r>
        <w:rPr>
          <w:rStyle w:val="a9"/>
        </w:rPr>
        <w:endnoteRef/>
      </w:r>
      <w:r>
        <w:t xml:space="preserve"> </w:t>
      </w:r>
      <w:r w:rsidRPr="009048EA">
        <w:t>Chittaro, L., Ieronutti, L. and Ranon, R., 2004. Navigating 3D Virtual Environments by Following Embodied Agents: a Proposal and its Informal Evaluation on a Virtual Museum Application. </w:t>
      </w:r>
      <w:r w:rsidRPr="009048EA">
        <w:rPr>
          <w:i/>
          <w:iCs/>
        </w:rPr>
        <w:t>PsychNology J.</w:t>
      </w:r>
      <w:r w:rsidRPr="009048EA">
        <w:t>, </w:t>
      </w:r>
      <w:r w:rsidRPr="009048EA">
        <w:rPr>
          <w:i/>
          <w:iCs/>
        </w:rPr>
        <w:t>2</w:t>
      </w:r>
      <w:r w:rsidRPr="009048EA">
        <w:t>(1), pp.24-42.</w:t>
      </w:r>
    </w:p>
  </w:endnote>
  <w:endnote w:id="30">
    <w:p w14:paraId="7F656FE7" w14:textId="5A0DAF72" w:rsidR="00CC6D36" w:rsidRDefault="00CC6D36">
      <w:pPr>
        <w:pStyle w:val="a7"/>
      </w:pPr>
      <w:r>
        <w:rPr>
          <w:rStyle w:val="a9"/>
        </w:rPr>
        <w:endnoteRef/>
      </w:r>
      <w:r>
        <w:t xml:space="preserve"> </w:t>
      </w:r>
      <w:r w:rsidRPr="00CC6D36">
        <w:t>Klopfer, E., Perry, J., Squire, K., Jan, M.F. and Steinkuehler, C., 2017. Mystery at the museum–A collaborative game for museum education. In </w:t>
      </w:r>
      <w:r w:rsidRPr="00CC6D36">
        <w:rPr>
          <w:i/>
          <w:iCs/>
        </w:rPr>
        <w:t>Computer Supported Collaborative Learning 2005</w:t>
      </w:r>
      <w:r w:rsidRPr="00CC6D36">
        <w:t> (pp. 316-320). Routledge.</w:t>
      </w:r>
    </w:p>
  </w:endnote>
  <w:endnote w:id="31">
    <w:p w14:paraId="4EB54027" w14:textId="2555786D" w:rsidR="00CC6D36" w:rsidRDefault="00CC6D36">
      <w:pPr>
        <w:pStyle w:val="a7"/>
      </w:pPr>
      <w:r>
        <w:rPr>
          <w:rStyle w:val="a9"/>
        </w:rPr>
        <w:endnoteRef/>
      </w:r>
      <w:r>
        <w:t xml:space="preserve"> </w:t>
      </w:r>
      <w:r w:rsidRPr="00CC6D36">
        <w:t>Sanchez, E. and Pierroux, P., 2015, October. Gamifying the museum: A case for teaching for games based learning. In </w:t>
      </w:r>
      <w:r w:rsidRPr="00CC6D36">
        <w:rPr>
          <w:i/>
          <w:iCs/>
        </w:rPr>
        <w:t>Proceedings of the 9th European Conference on Games Based Learning</w:t>
      </w:r>
      <w:r w:rsidRPr="00CC6D36">
        <w:t>.</w:t>
      </w:r>
    </w:p>
  </w:endnote>
  <w:endnote w:id="32">
    <w:p w14:paraId="24298A75" w14:textId="487EC126" w:rsidR="00CC6D36" w:rsidRDefault="00CC6D36">
      <w:pPr>
        <w:pStyle w:val="a7"/>
      </w:pPr>
      <w:r>
        <w:rPr>
          <w:rStyle w:val="a9"/>
        </w:rPr>
        <w:endnoteRef/>
      </w:r>
      <w:r>
        <w:t xml:space="preserve"> </w:t>
      </w:r>
      <w:r w:rsidRPr="00CC6D36">
        <w:t>Raelin, J.A., 2007. Toward an epistemology of practice. </w:t>
      </w:r>
      <w:r w:rsidRPr="00CC6D36">
        <w:rPr>
          <w:i/>
          <w:iCs/>
        </w:rPr>
        <w:t>Academy of management learning &amp; education</w:t>
      </w:r>
      <w:r w:rsidRPr="00CC6D36">
        <w:t>, </w:t>
      </w:r>
      <w:r w:rsidRPr="00CC6D36">
        <w:rPr>
          <w:i/>
          <w:iCs/>
        </w:rPr>
        <w:t>6</w:t>
      </w:r>
      <w:r w:rsidRPr="00CC6D36">
        <w:t>(4), pp.495-519.</w:t>
      </w:r>
    </w:p>
  </w:endnote>
  <w:endnote w:id="33">
    <w:p w14:paraId="18A67464" w14:textId="7FB69763" w:rsidR="00CC6D36" w:rsidRDefault="00CC6D36">
      <w:pPr>
        <w:pStyle w:val="a7"/>
      </w:pPr>
      <w:r>
        <w:rPr>
          <w:rStyle w:val="a9"/>
        </w:rPr>
        <w:endnoteRef/>
      </w:r>
      <w:r>
        <w:t xml:space="preserve"> </w:t>
      </w:r>
      <w:r w:rsidRPr="00CC6D36">
        <w:t>Carvalho, L. and Goodyear, P., 2018. Design, learning networks and service innovation. </w:t>
      </w:r>
      <w:r w:rsidRPr="00CC6D36">
        <w:rPr>
          <w:i/>
          <w:iCs/>
        </w:rPr>
        <w:t>Design Studies</w:t>
      </w:r>
      <w:r w:rsidRPr="00CC6D36">
        <w:t>, </w:t>
      </w:r>
      <w:r w:rsidRPr="00CC6D36">
        <w:rPr>
          <w:i/>
          <w:iCs/>
        </w:rPr>
        <w:t>55</w:t>
      </w:r>
      <w:r w:rsidRPr="00CC6D36">
        <w:t>, pp.27-53.</w:t>
      </w:r>
    </w:p>
  </w:endnote>
  <w:endnote w:id="34">
    <w:p w14:paraId="05E4525D" w14:textId="1C7B3A2C" w:rsidR="004F3685" w:rsidRDefault="004F3685">
      <w:pPr>
        <w:pStyle w:val="a7"/>
      </w:pPr>
      <w:r>
        <w:rPr>
          <w:rStyle w:val="a9"/>
        </w:rPr>
        <w:endnoteRef/>
      </w:r>
      <w:r>
        <w:t xml:space="preserve"> </w:t>
      </w:r>
      <w:r w:rsidRPr="004F3685">
        <w:t>Solomatine, D., See, L.M. and Abrahart, R.J., 2008. Data-driven modelling: concepts, approaches and experiences. </w:t>
      </w:r>
      <w:r w:rsidRPr="004F3685">
        <w:rPr>
          <w:i/>
          <w:iCs/>
        </w:rPr>
        <w:t>Practical hydroinformatics: Computational intelligence and technological developments in water applications</w:t>
      </w:r>
      <w:r w:rsidRPr="004F3685">
        <w:t>, pp.17-30.</w:t>
      </w:r>
    </w:p>
  </w:endnote>
  <w:endnote w:id="35">
    <w:p w14:paraId="26A2A5D6" w14:textId="5E435D9F" w:rsidR="004F3685" w:rsidRDefault="004F3685">
      <w:pPr>
        <w:pStyle w:val="a7"/>
      </w:pPr>
      <w:r>
        <w:rPr>
          <w:rStyle w:val="a9"/>
        </w:rPr>
        <w:endnoteRef/>
      </w:r>
      <w:r>
        <w:t xml:space="preserve"> </w:t>
      </w:r>
      <w:r w:rsidRPr="004F3685">
        <w:t>Agrawala, M., Li, W. and Berthouzoz, F., 2011. Design principles for visual communication. </w:t>
      </w:r>
      <w:r w:rsidRPr="004F3685">
        <w:rPr>
          <w:i/>
          <w:iCs/>
        </w:rPr>
        <w:t>Communications of the ACM</w:t>
      </w:r>
      <w:r w:rsidRPr="004F3685">
        <w:t>, </w:t>
      </w:r>
      <w:r w:rsidRPr="004F3685">
        <w:rPr>
          <w:i/>
          <w:iCs/>
        </w:rPr>
        <w:t>54</w:t>
      </w:r>
      <w:r w:rsidRPr="004F3685">
        <w:t>(4), pp.60-69.</w:t>
      </w:r>
    </w:p>
  </w:endnote>
  <w:endnote w:id="36">
    <w:p w14:paraId="21FB8B74" w14:textId="472000A5" w:rsidR="004F3685" w:rsidRDefault="004F3685">
      <w:pPr>
        <w:pStyle w:val="a7"/>
      </w:pPr>
      <w:r>
        <w:rPr>
          <w:rStyle w:val="a9"/>
        </w:rPr>
        <w:endnoteRef/>
      </w:r>
      <w:r>
        <w:t xml:space="preserve"> </w:t>
      </w:r>
      <w:r w:rsidRPr="004F3685">
        <w:t>Sellars, W., 1956. Empiricism and the Philosophy of Mind.</w:t>
      </w:r>
    </w:p>
  </w:endnote>
  <w:endnote w:id="37">
    <w:p w14:paraId="796945E5" w14:textId="0ECDC3B5" w:rsidR="004F3685" w:rsidRDefault="004F3685">
      <w:pPr>
        <w:pStyle w:val="a7"/>
      </w:pPr>
      <w:r>
        <w:rPr>
          <w:rStyle w:val="a9"/>
        </w:rPr>
        <w:endnoteRef/>
      </w:r>
      <w:r>
        <w:t xml:space="preserve"> </w:t>
      </w:r>
      <w:r w:rsidRPr="004F3685">
        <w:t>King, A., 2021. Treasure hunting as an American subculture: The Thrill of the Chase. </w:t>
      </w:r>
      <w:r w:rsidRPr="004F3685">
        <w:rPr>
          <w:i/>
          <w:iCs/>
        </w:rPr>
        <w:t>Human Arenas</w:t>
      </w:r>
      <w:r w:rsidRPr="004F3685">
        <w:t>, </w:t>
      </w:r>
      <w:r w:rsidRPr="004F3685">
        <w:rPr>
          <w:i/>
          <w:iCs/>
        </w:rPr>
        <w:t>4</w:t>
      </w:r>
      <w:r w:rsidRPr="004F3685">
        <w:t>(1), pp.74-98.</w:t>
      </w:r>
    </w:p>
  </w:endnote>
  <w:endnote w:id="38">
    <w:p w14:paraId="10FC6549" w14:textId="69650465" w:rsidR="004F3685" w:rsidRDefault="004F3685">
      <w:pPr>
        <w:pStyle w:val="a7"/>
      </w:pPr>
      <w:r>
        <w:rPr>
          <w:rStyle w:val="a9"/>
        </w:rPr>
        <w:endnoteRef/>
      </w:r>
      <w:r>
        <w:t xml:space="preserve"> </w:t>
      </w:r>
      <w:r w:rsidRPr="004F3685">
        <w:t>Nunnally, B. and Farkas, D., 2016. </w:t>
      </w:r>
      <w:r w:rsidRPr="004F3685">
        <w:rPr>
          <w:i/>
          <w:iCs/>
        </w:rPr>
        <w:t>UX research: practical techniques for designing better products</w:t>
      </w:r>
      <w:r w:rsidRPr="004F3685">
        <w:t>. " O'Reilly Media, Inc.".</w:t>
      </w:r>
    </w:p>
  </w:endnote>
  <w:endnote w:id="39">
    <w:p w14:paraId="5ED81784" w14:textId="235428BD" w:rsidR="004F3685" w:rsidRDefault="004F3685">
      <w:pPr>
        <w:pStyle w:val="a7"/>
      </w:pPr>
      <w:r>
        <w:rPr>
          <w:rStyle w:val="a9"/>
        </w:rPr>
        <w:endnoteRef/>
      </w:r>
      <w:r>
        <w:t xml:space="preserve"> </w:t>
      </w:r>
      <w:r w:rsidRPr="004F3685">
        <w:t>Blundell, S., 2016. </w:t>
      </w:r>
      <w:r w:rsidRPr="004F3685">
        <w:rPr>
          <w:i/>
          <w:iCs/>
        </w:rPr>
        <w:t>The Origins of Civilization in Greek and Roman Thought (Routledge Revivals)</w:t>
      </w:r>
      <w:r w:rsidRPr="004F3685">
        <w:t>. Routledge.</w:t>
      </w:r>
    </w:p>
  </w:endnote>
  <w:endnote w:id="40">
    <w:p w14:paraId="47718360" w14:textId="2AA42CC4" w:rsidR="004F3685" w:rsidRDefault="004F3685">
      <w:pPr>
        <w:pStyle w:val="a7"/>
      </w:pPr>
      <w:r>
        <w:rPr>
          <w:rStyle w:val="a9"/>
        </w:rPr>
        <w:endnoteRef/>
      </w:r>
      <w:r>
        <w:t xml:space="preserve"> </w:t>
      </w:r>
      <w:r w:rsidRPr="004F3685">
        <w:t>Jones, R., 2012. Leonardo da Vinci: anatomist. </w:t>
      </w:r>
      <w:r w:rsidRPr="004F3685">
        <w:rPr>
          <w:i/>
          <w:iCs/>
        </w:rPr>
        <w:t>British Journal of General Practice</w:t>
      </w:r>
      <w:r w:rsidRPr="004F3685">
        <w:t>, </w:t>
      </w:r>
      <w:r w:rsidRPr="004F3685">
        <w:rPr>
          <w:i/>
          <w:iCs/>
        </w:rPr>
        <w:t>62</w:t>
      </w:r>
      <w:r w:rsidRPr="004F3685">
        <w:t>(599), pp.319-319.</w:t>
      </w:r>
    </w:p>
  </w:endnote>
  <w:endnote w:id="41">
    <w:p w14:paraId="264DE805" w14:textId="408DCBAC" w:rsidR="004F3685" w:rsidRDefault="004F3685">
      <w:pPr>
        <w:pStyle w:val="a7"/>
      </w:pPr>
      <w:r>
        <w:rPr>
          <w:rStyle w:val="a9"/>
        </w:rPr>
        <w:endnoteRef/>
      </w:r>
      <w:r>
        <w:t xml:space="preserve"> </w:t>
      </w:r>
      <w:r w:rsidRPr="004F3685">
        <w:t>Moon, F.C., 2007. </w:t>
      </w:r>
      <w:r w:rsidRPr="004F3685">
        <w:rPr>
          <w:i/>
          <w:iCs/>
        </w:rPr>
        <w:t>The Machines of Leonardo Da Vinci and Franz Reuleaux: kinematics of machines from the Renaissance to the 20th Century</w:t>
      </w:r>
      <w:r w:rsidRPr="004F3685">
        <w:t> (Vol. 2). Dordrecht: Springer.</w:t>
      </w:r>
    </w:p>
  </w:endnote>
  <w:endnote w:id="42">
    <w:p w14:paraId="43C43BA0" w14:textId="53CFFFEB" w:rsidR="007453DD" w:rsidRDefault="007453DD">
      <w:pPr>
        <w:pStyle w:val="a7"/>
      </w:pPr>
      <w:r>
        <w:rPr>
          <w:rStyle w:val="a9"/>
        </w:rPr>
        <w:endnoteRef/>
      </w:r>
      <w:r>
        <w:t xml:space="preserve"> </w:t>
      </w:r>
      <w:r w:rsidRPr="007453DD">
        <w:t>Roth, G., Livingston, J., Blair, M. and Kolonay, R., 2010, January. CREATE-AV DaVinci: computationally-based engineering for conceptual design. In </w:t>
      </w:r>
      <w:r w:rsidRPr="007453DD">
        <w:rPr>
          <w:i/>
          <w:iCs/>
        </w:rPr>
        <w:t>48th aiaa aerospace sciences meeting including the new horizons forum and aerospace exposition</w:t>
      </w:r>
      <w:r w:rsidRPr="007453DD">
        <w:t> (p. 1232).</w:t>
      </w:r>
    </w:p>
  </w:endnote>
  <w:endnote w:id="43">
    <w:p w14:paraId="2CBCA46D" w14:textId="08350C86" w:rsidR="007453DD" w:rsidRDefault="007453DD">
      <w:pPr>
        <w:pStyle w:val="a7"/>
      </w:pPr>
      <w:r>
        <w:rPr>
          <w:rStyle w:val="a9"/>
        </w:rPr>
        <w:endnoteRef/>
      </w:r>
      <w:r>
        <w:t xml:space="preserve"> </w:t>
      </w:r>
      <w:r w:rsidRPr="007453DD">
        <w:t>Taylor, F.W., 1856. Frederick Winslow Taylor.</w:t>
      </w:r>
    </w:p>
  </w:endnote>
  <w:endnote w:id="44">
    <w:p w14:paraId="58E35B93" w14:textId="1F5530A9" w:rsidR="007453DD" w:rsidRDefault="007453DD">
      <w:pPr>
        <w:pStyle w:val="a7"/>
      </w:pPr>
      <w:r>
        <w:rPr>
          <w:rStyle w:val="a9"/>
        </w:rPr>
        <w:endnoteRef/>
      </w:r>
      <w:r>
        <w:t xml:space="preserve"> </w:t>
      </w:r>
      <w:r w:rsidRPr="007453DD">
        <w:t>Huang, K.P., Tung, J., Lo, S.C. and Chou, M.J., 2013. A review and critical analysis of the principles of scientific management. </w:t>
      </w:r>
      <w:r w:rsidRPr="007453DD">
        <w:rPr>
          <w:i/>
          <w:iCs/>
        </w:rPr>
        <w:t>International Journal of Organizational Innovation (Online)</w:t>
      </w:r>
      <w:r w:rsidRPr="007453DD">
        <w:t>, </w:t>
      </w:r>
      <w:r w:rsidRPr="007453DD">
        <w:rPr>
          <w:i/>
          <w:iCs/>
        </w:rPr>
        <w:t>5</w:t>
      </w:r>
      <w:r w:rsidRPr="007453DD">
        <w:t>(4), p.78.</w:t>
      </w:r>
    </w:p>
  </w:endnote>
  <w:endnote w:id="45">
    <w:p w14:paraId="4A3E151A" w14:textId="171308C1" w:rsidR="007453DD" w:rsidRDefault="007453DD">
      <w:pPr>
        <w:pStyle w:val="a7"/>
      </w:pPr>
      <w:r>
        <w:rPr>
          <w:rStyle w:val="a9"/>
        </w:rPr>
        <w:endnoteRef/>
      </w:r>
      <w:r>
        <w:t xml:space="preserve"> </w:t>
      </w:r>
      <w:r w:rsidRPr="007453DD">
        <w:t>Pheng, L.S. and Shang, G., 2011. Bridging Western management theories and Japanese management practices: Case of the Toyota Way model. </w:t>
      </w:r>
      <w:r w:rsidRPr="007453DD">
        <w:rPr>
          <w:i/>
          <w:iCs/>
        </w:rPr>
        <w:t>Emerald Emerging Markets Case Studies</w:t>
      </w:r>
      <w:r w:rsidRPr="007453DD">
        <w:t>, </w:t>
      </w:r>
      <w:r w:rsidRPr="007453DD">
        <w:rPr>
          <w:i/>
          <w:iCs/>
        </w:rPr>
        <w:t>1</w:t>
      </w:r>
      <w:r w:rsidRPr="007453DD">
        <w:t>(1), pp.1-20.</w:t>
      </w:r>
    </w:p>
  </w:endnote>
  <w:endnote w:id="46">
    <w:p w14:paraId="33EDB699" w14:textId="002466E4" w:rsidR="007453DD" w:rsidRDefault="007453DD">
      <w:pPr>
        <w:pStyle w:val="a7"/>
      </w:pPr>
      <w:r>
        <w:rPr>
          <w:rStyle w:val="a9"/>
        </w:rPr>
        <w:endnoteRef/>
      </w:r>
      <w:r>
        <w:t xml:space="preserve"> </w:t>
      </w:r>
      <w:r w:rsidRPr="007453DD">
        <w:t>Pucillo, F. and Cascini, G., 2014. A framework for user experience, needs and affordances. </w:t>
      </w:r>
      <w:r w:rsidRPr="007453DD">
        <w:rPr>
          <w:i/>
          <w:iCs/>
        </w:rPr>
        <w:t>Design studies</w:t>
      </w:r>
      <w:r w:rsidRPr="007453DD">
        <w:t>, </w:t>
      </w:r>
      <w:r w:rsidRPr="007453DD">
        <w:rPr>
          <w:i/>
          <w:iCs/>
        </w:rPr>
        <w:t>35</w:t>
      </w:r>
      <w:r w:rsidRPr="007453DD">
        <w:t>(2), pp.160-179.</w:t>
      </w:r>
    </w:p>
  </w:endnote>
  <w:endnote w:id="47">
    <w:p w14:paraId="13DEBF40" w14:textId="4EB69DFD" w:rsidR="007453DD" w:rsidRDefault="007453DD">
      <w:pPr>
        <w:pStyle w:val="a7"/>
      </w:pPr>
      <w:r>
        <w:rPr>
          <w:rStyle w:val="a9"/>
        </w:rPr>
        <w:endnoteRef/>
      </w:r>
      <w:r>
        <w:t xml:space="preserve"> </w:t>
      </w:r>
      <w:r w:rsidRPr="007453DD">
        <w:t>Levitt, T., 2012. Production-line approach to service. In </w:t>
      </w:r>
      <w:r w:rsidRPr="007453DD">
        <w:rPr>
          <w:i/>
          <w:iCs/>
        </w:rPr>
        <w:t>The Roots of Logistics</w:t>
      </w:r>
      <w:r w:rsidRPr="007453DD">
        <w:t> (pp. 269-286). Springer, Berlin, Heidelberg.</w:t>
      </w:r>
    </w:p>
  </w:endnote>
  <w:endnote w:id="48">
    <w:p w14:paraId="0C8E632F" w14:textId="20E4C228" w:rsidR="007453DD" w:rsidRDefault="007453DD">
      <w:pPr>
        <w:pStyle w:val="a7"/>
      </w:pPr>
      <w:r>
        <w:rPr>
          <w:rStyle w:val="a9"/>
        </w:rPr>
        <w:endnoteRef/>
      </w:r>
      <w:r>
        <w:t xml:space="preserve"> </w:t>
      </w:r>
      <w:r w:rsidRPr="007453DD">
        <w:t>Kimbell, L., 2011. Designing for service as one way of designing services. </w:t>
      </w:r>
      <w:r w:rsidRPr="007453DD">
        <w:rPr>
          <w:i/>
          <w:iCs/>
        </w:rPr>
        <w:t>International journal of design</w:t>
      </w:r>
      <w:r w:rsidRPr="007453DD">
        <w:t>, </w:t>
      </w:r>
      <w:r w:rsidRPr="007453DD">
        <w:rPr>
          <w:i/>
          <w:iCs/>
        </w:rPr>
        <w:t>5</w:t>
      </w:r>
      <w:r w:rsidRPr="007453DD">
        <w:t>(2).</w:t>
      </w:r>
    </w:p>
  </w:endnote>
  <w:endnote w:id="49">
    <w:p w14:paraId="3BEB003E" w14:textId="4D1F9824" w:rsidR="007453DD" w:rsidRDefault="007453DD">
      <w:pPr>
        <w:pStyle w:val="a7"/>
      </w:pPr>
      <w:r>
        <w:rPr>
          <w:rStyle w:val="a9"/>
        </w:rPr>
        <w:endnoteRef/>
      </w:r>
      <w:r>
        <w:t xml:space="preserve"> </w:t>
      </w:r>
      <w:r w:rsidRPr="007453DD">
        <w:t>Lynn Shostack, G., 1982. How to design a service. </w:t>
      </w:r>
      <w:r w:rsidRPr="007453DD">
        <w:rPr>
          <w:i/>
          <w:iCs/>
        </w:rPr>
        <w:t>European journal of Marketing</w:t>
      </w:r>
      <w:r w:rsidRPr="007453DD">
        <w:t>, </w:t>
      </w:r>
      <w:r w:rsidRPr="007453DD">
        <w:rPr>
          <w:i/>
          <w:iCs/>
        </w:rPr>
        <w:t>16</w:t>
      </w:r>
      <w:r w:rsidRPr="007453DD">
        <w:t>(1), pp.49-63.</w:t>
      </w:r>
    </w:p>
  </w:endnote>
  <w:endnote w:id="50">
    <w:p w14:paraId="4D511F8A" w14:textId="28B8EBDF" w:rsidR="007453DD" w:rsidRDefault="007453DD">
      <w:pPr>
        <w:pStyle w:val="a7"/>
      </w:pPr>
      <w:r>
        <w:rPr>
          <w:rStyle w:val="a9"/>
        </w:rPr>
        <w:endnoteRef/>
      </w:r>
      <w:r>
        <w:t xml:space="preserve"> </w:t>
      </w:r>
      <w:r w:rsidRPr="007453DD">
        <w:t>Barrier, M., 2007. </w:t>
      </w:r>
      <w:r w:rsidRPr="007453DD">
        <w:rPr>
          <w:i/>
          <w:iCs/>
        </w:rPr>
        <w:t>The animated man: A life of Walt Disney</w:t>
      </w:r>
      <w:r w:rsidRPr="007453DD">
        <w:t>. Univ of California Press.</w:t>
      </w:r>
    </w:p>
  </w:endnote>
  <w:endnote w:id="51">
    <w:p w14:paraId="4E7239D0" w14:textId="697D9A26" w:rsidR="007453DD" w:rsidRDefault="007453DD">
      <w:pPr>
        <w:pStyle w:val="a7"/>
      </w:pPr>
      <w:r>
        <w:rPr>
          <w:rStyle w:val="a9"/>
        </w:rPr>
        <w:endnoteRef/>
      </w:r>
      <w:r>
        <w:t xml:space="preserve"> </w:t>
      </w:r>
      <w:r w:rsidRPr="007453DD">
        <w:t>Stone, K., 1975. Things Walt Disney never told us. </w:t>
      </w:r>
      <w:r w:rsidRPr="007453DD">
        <w:rPr>
          <w:i/>
          <w:iCs/>
        </w:rPr>
        <w:t>The Journal of American Folklore</w:t>
      </w:r>
      <w:r w:rsidRPr="007453DD">
        <w:t>, </w:t>
      </w:r>
      <w:r w:rsidRPr="007453DD">
        <w:rPr>
          <w:i/>
          <w:iCs/>
        </w:rPr>
        <w:t>88</w:t>
      </w:r>
      <w:r w:rsidRPr="007453DD">
        <w:t>(347), pp.42-50.</w:t>
      </w:r>
    </w:p>
  </w:endnote>
  <w:endnote w:id="52">
    <w:p w14:paraId="1D21DA73" w14:textId="034EF475" w:rsidR="007453DD" w:rsidRDefault="007453DD">
      <w:pPr>
        <w:pStyle w:val="a7"/>
      </w:pPr>
      <w:r>
        <w:rPr>
          <w:rStyle w:val="a9"/>
        </w:rPr>
        <w:endnoteRef/>
      </w:r>
      <w:r>
        <w:t xml:space="preserve"> </w:t>
      </w:r>
      <w:r w:rsidRPr="007453DD">
        <w:t>Watts, S., 1995. Walt Disney: Art and politics in the American century. </w:t>
      </w:r>
      <w:r w:rsidRPr="007453DD">
        <w:rPr>
          <w:i/>
          <w:iCs/>
        </w:rPr>
        <w:t>The Journal of American History</w:t>
      </w:r>
      <w:r w:rsidRPr="007453DD">
        <w:t>, </w:t>
      </w:r>
      <w:r w:rsidRPr="007453DD">
        <w:rPr>
          <w:i/>
          <w:iCs/>
        </w:rPr>
        <w:t>82</w:t>
      </w:r>
      <w:r w:rsidRPr="007453DD">
        <w:t>(1), pp.84-110.</w:t>
      </w:r>
    </w:p>
  </w:endnote>
  <w:endnote w:id="53">
    <w:p w14:paraId="0585B6F3" w14:textId="129F16E5" w:rsidR="001F6B84" w:rsidRDefault="001F6B84">
      <w:pPr>
        <w:pStyle w:val="a7"/>
      </w:pPr>
      <w:r>
        <w:rPr>
          <w:rStyle w:val="a9"/>
        </w:rPr>
        <w:endnoteRef/>
      </w:r>
      <w:r>
        <w:t xml:space="preserve"> </w:t>
      </w:r>
      <w:r w:rsidRPr="001F6B84">
        <w:t>Gregor, S., Chandra Kruse, L. and Seidel, S., 2020. Research perspectives: the anatomy of a design principle. </w:t>
      </w:r>
      <w:r w:rsidRPr="001F6B84">
        <w:rPr>
          <w:i/>
          <w:iCs/>
        </w:rPr>
        <w:t>Journal of the Association for Information Systems</w:t>
      </w:r>
      <w:r w:rsidRPr="001F6B84">
        <w:t>, </w:t>
      </w:r>
      <w:r w:rsidRPr="001F6B84">
        <w:rPr>
          <w:i/>
          <w:iCs/>
        </w:rPr>
        <w:t>21</w:t>
      </w:r>
      <w:r w:rsidRPr="001F6B84">
        <w:t>(6), p.2.</w:t>
      </w:r>
    </w:p>
  </w:endnote>
  <w:endnote w:id="54">
    <w:p w14:paraId="6736C01E" w14:textId="246FD339" w:rsidR="001F6B84" w:rsidRDefault="001F6B84">
      <w:pPr>
        <w:pStyle w:val="a7"/>
      </w:pPr>
      <w:r>
        <w:rPr>
          <w:rStyle w:val="a9"/>
        </w:rPr>
        <w:endnoteRef/>
      </w:r>
      <w:r>
        <w:t xml:space="preserve"> </w:t>
      </w:r>
      <w:r w:rsidRPr="001F6B84">
        <w:t>La, J. and Heiets, I., 2021. The impact of digitalization and intelligentization on air transportation system. </w:t>
      </w:r>
      <w:r w:rsidRPr="001F6B84">
        <w:rPr>
          <w:i/>
          <w:iCs/>
        </w:rPr>
        <w:t>Aviation</w:t>
      </w:r>
      <w:r w:rsidRPr="001F6B84">
        <w:t>, </w:t>
      </w:r>
      <w:r w:rsidRPr="001F6B84">
        <w:rPr>
          <w:i/>
          <w:iCs/>
        </w:rPr>
        <w:t>25</w:t>
      </w:r>
      <w:r w:rsidRPr="001F6B84">
        <w:t>(3), pp.159-170.</w:t>
      </w:r>
    </w:p>
  </w:endnote>
  <w:endnote w:id="55">
    <w:p w14:paraId="34148B89" w14:textId="2ADA6559" w:rsidR="00A36FAC" w:rsidRDefault="00A36FAC">
      <w:pPr>
        <w:pStyle w:val="a7"/>
      </w:pPr>
      <w:r>
        <w:rPr>
          <w:rStyle w:val="a9"/>
        </w:rPr>
        <w:endnoteRef/>
      </w:r>
      <w:r>
        <w:t xml:space="preserve"> </w:t>
      </w:r>
      <w:r w:rsidRPr="00A36FAC">
        <w:t>Quesenbery, W. and Szuc, D., 2011. </w:t>
      </w:r>
      <w:r w:rsidRPr="00A36FAC">
        <w:rPr>
          <w:i/>
          <w:iCs/>
        </w:rPr>
        <w:t>Global UX: design and research in a connected world</w:t>
      </w:r>
      <w:r w:rsidRPr="00A36FAC">
        <w:t>. Elsevier.</w:t>
      </w:r>
    </w:p>
  </w:endnote>
  <w:endnote w:id="56">
    <w:p w14:paraId="6BDFC525" w14:textId="00C39A52" w:rsidR="00A36FAC" w:rsidRDefault="00A36FAC">
      <w:pPr>
        <w:pStyle w:val="a7"/>
      </w:pPr>
      <w:r>
        <w:rPr>
          <w:rStyle w:val="a9"/>
        </w:rPr>
        <w:endnoteRef/>
      </w:r>
      <w:r>
        <w:t xml:space="preserve"> </w:t>
      </w:r>
      <w:r w:rsidRPr="00A36FAC">
        <w:t>Klein, L., 2018. </w:t>
      </w:r>
      <w:r w:rsidRPr="00A36FAC">
        <w:rPr>
          <w:i/>
          <w:iCs/>
        </w:rPr>
        <w:t>UX for lean startups: Faster, smarter user experience research and design</w:t>
      </w:r>
      <w:r w:rsidRPr="00A36FAC">
        <w:t>. " O'Reilly Media, Inc.".</w:t>
      </w:r>
    </w:p>
  </w:endnote>
  <w:endnote w:id="57">
    <w:p w14:paraId="6910CF53" w14:textId="68FD8037" w:rsidR="00A36FAC" w:rsidRDefault="00A36FAC">
      <w:pPr>
        <w:pStyle w:val="a7"/>
      </w:pPr>
      <w:r>
        <w:rPr>
          <w:rStyle w:val="a9"/>
        </w:rPr>
        <w:endnoteRef/>
      </w:r>
      <w:r>
        <w:t xml:space="preserve"> </w:t>
      </w:r>
      <w:r w:rsidRPr="00A36FAC">
        <w:t>Ballard, B., 2007. </w:t>
      </w:r>
      <w:r w:rsidRPr="00A36FAC">
        <w:rPr>
          <w:i/>
          <w:iCs/>
        </w:rPr>
        <w:t>Designing the mobile user experience</w:t>
      </w:r>
      <w:r w:rsidRPr="00A36FAC">
        <w:t>. John Wiley &amp; Sons.</w:t>
      </w:r>
    </w:p>
  </w:endnote>
  <w:endnote w:id="58">
    <w:p w14:paraId="336A0F04" w14:textId="73837427" w:rsidR="00A36FAC" w:rsidRDefault="00A36FAC">
      <w:pPr>
        <w:pStyle w:val="a7"/>
      </w:pPr>
      <w:r>
        <w:rPr>
          <w:rStyle w:val="a9"/>
        </w:rPr>
        <w:endnoteRef/>
      </w:r>
      <w:r>
        <w:t xml:space="preserve"> </w:t>
      </w:r>
      <w:r w:rsidRPr="00A36FAC">
        <w:t>Al-Hassan, M.A., 2023, October. Revolutionizing Methods and Methodologies: Advancing Indigenous-Centered Research Methodologies in User Experience Research (UXR), Technical and Professional Communication Practice. In </w:t>
      </w:r>
      <w:r w:rsidRPr="00A36FAC">
        <w:rPr>
          <w:i/>
          <w:iCs/>
        </w:rPr>
        <w:t>Proceedings of the 41st ACM International Conference on Design of Communication</w:t>
      </w:r>
      <w:r w:rsidRPr="00A36FAC">
        <w:t> (pp. 103-109).</w:t>
      </w:r>
    </w:p>
  </w:endnote>
  <w:endnote w:id="59">
    <w:p w14:paraId="66726C96" w14:textId="1DA09A39" w:rsidR="00A36FAC" w:rsidRDefault="00A36FAC">
      <w:pPr>
        <w:pStyle w:val="a7"/>
      </w:pPr>
      <w:r>
        <w:rPr>
          <w:rStyle w:val="a9"/>
        </w:rPr>
        <w:endnoteRef/>
      </w:r>
      <w:r>
        <w:t xml:space="preserve"> </w:t>
      </w:r>
      <w:r w:rsidRPr="00A36FAC">
        <w:t>Meskanen-Kundu, L., 2021. </w:t>
      </w:r>
      <w:r w:rsidRPr="00A36FAC">
        <w:rPr>
          <w:i/>
          <w:iCs/>
        </w:rPr>
        <w:t>Remote user study: a reflection on remote user research methods during the COVID-19 pandemic</w:t>
      </w:r>
      <w:r w:rsidRPr="00A36FAC">
        <w:t> (Master's thesis).</w:t>
      </w:r>
    </w:p>
  </w:endnote>
  <w:endnote w:id="60">
    <w:p w14:paraId="048A1813" w14:textId="0B4694AF" w:rsidR="00A36FAC" w:rsidRDefault="00A36FAC">
      <w:pPr>
        <w:pStyle w:val="a7"/>
      </w:pPr>
      <w:r>
        <w:rPr>
          <w:rStyle w:val="a9"/>
        </w:rPr>
        <w:endnoteRef/>
      </w:r>
      <w:r>
        <w:t xml:space="preserve"> </w:t>
      </w:r>
      <w:r w:rsidRPr="00A36FAC">
        <w:t>Panger, G., 2016. Reassessing the Facebook experiment: critical thinking about the validity of Big Data research. </w:t>
      </w:r>
      <w:r w:rsidRPr="00A36FAC">
        <w:rPr>
          <w:i/>
          <w:iCs/>
        </w:rPr>
        <w:t>Information, Communication &amp; Society</w:t>
      </w:r>
      <w:r w:rsidRPr="00A36FAC">
        <w:t>, </w:t>
      </w:r>
      <w:r w:rsidRPr="00A36FAC">
        <w:rPr>
          <w:i/>
          <w:iCs/>
        </w:rPr>
        <w:t>19</w:t>
      </w:r>
      <w:r w:rsidRPr="00A36FAC">
        <w:t>(8), pp.1108-1126.</w:t>
      </w:r>
    </w:p>
  </w:endnote>
  <w:endnote w:id="61">
    <w:p w14:paraId="32B0D15D" w14:textId="4FE88E18" w:rsidR="00656EC3" w:rsidRDefault="00656EC3">
      <w:pPr>
        <w:pStyle w:val="a7"/>
      </w:pPr>
      <w:r>
        <w:rPr>
          <w:rStyle w:val="a9"/>
        </w:rPr>
        <w:endnoteRef/>
      </w:r>
      <w:r>
        <w:t xml:space="preserve"> </w:t>
      </w:r>
      <w:r w:rsidRPr="00656EC3">
        <w:t>Hassenzahl, M., Diefenbach, S. and Göritz, A., 2010. Needs, affect, and interactive products–Facets of user experience. </w:t>
      </w:r>
      <w:r w:rsidRPr="00656EC3">
        <w:rPr>
          <w:i/>
          <w:iCs/>
        </w:rPr>
        <w:t>Interacting with computers</w:t>
      </w:r>
      <w:r w:rsidRPr="00656EC3">
        <w:t>, </w:t>
      </w:r>
      <w:r w:rsidRPr="00656EC3">
        <w:rPr>
          <w:i/>
          <w:iCs/>
        </w:rPr>
        <w:t>22</w:t>
      </w:r>
      <w:r w:rsidRPr="00656EC3">
        <w:t>(5), pp.353-362.</w:t>
      </w:r>
    </w:p>
  </w:endnote>
  <w:endnote w:id="62">
    <w:p w14:paraId="2837D6A5" w14:textId="63CEC542" w:rsidR="00215CD3" w:rsidRDefault="00215CD3">
      <w:pPr>
        <w:pStyle w:val="a7"/>
      </w:pPr>
      <w:r>
        <w:rPr>
          <w:rStyle w:val="a9"/>
        </w:rPr>
        <w:endnoteRef/>
      </w:r>
      <w:r>
        <w:t xml:space="preserve"> </w:t>
      </w:r>
      <w:r w:rsidRPr="00215CD3">
        <w:t>Kozlova, A., Nych, T., Drobot, O., Liashenko, R. and Cheban, O., 2024. The influence of society and social groups on the development of personality. </w:t>
      </w:r>
      <w:r w:rsidRPr="00215CD3">
        <w:rPr>
          <w:i/>
          <w:iCs/>
        </w:rPr>
        <w:t>Multidisciplinary Reviews</w:t>
      </w:r>
      <w:r w:rsidRPr="00215CD3">
        <w:t>, </w:t>
      </w:r>
      <w:r w:rsidRPr="00215CD3">
        <w:rPr>
          <w:i/>
          <w:iCs/>
        </w:rPr>
        <w:t>7</w:t>
      </w:r>
      <w:r w:rsidRPr="00215CD3">
        <w:t>.</w:t>
      </w:r>
    </w:p>
  </w:endnote>
  <w:endnote w:id="63">
    <w:p w14:paraId="6BD99F82" w14:textId="36393D08" w:rsidR="00215CD3" w:rsidRDefault="00215CD3">
      <w:pPr>
        <w:pStyle w:val="a7"/>
      </w:pPr>
      <w:r>
        <w:rPr>
          <w:rStyle w:val="a9"/>
        </w:rPr>
        <w:endnoteRef/>
      </w:r>
      <w:r>
        <w:t xml:space="preserve"> </w:t>
      </w:r>
      <w:r w:rsidRPr="00215CD3">
        <w:t>Mackay, W., 2000. Responding to cognitive overload: Co-adaptation between users and technology. </w:t>
      </w:r>
      <w:r w:rsidRPr="00215CD3">
        <w:rPr>
          <w:i/>
          <w:iCs/>
        </w:rPr>
        <w:t>Intellectica</w:t>
      </w:r>
      <w:r w:rsidRPr="00215CD3">
        <w:t>, </w:t>
      </w:r>
      <w:r w:rsidRPr="00215CD3">
        <w:rPr>
          <w:i/>
          <w:iCs/>
        </w:rPr>
        <w:t>30</w:t>
      </w:r>
      <w:r w:rsidRPr="00215CD3">
        <w:t>(1), pp.177-193.</w:t>
      </w:r>
    </w:p>
  </w:endnote>
  <w:endnote w:id="64">
    <w:p w14:paraId="1725BAB9" w14:textId="03D9F3EC" w:rsidR="00215CD3" w:rsidRDefault="00215CD3">
      <w:pPr>
        <w:pStyle w:val="a7"/>
      </w:pPr>
      <w:r>
        <w:rPr>
          <w:rStyle w:val="a9"/>
        </w:rPr>
        <w:endnoteRef/>
      </w:r>
      <w:r>
        <w:t xml:space="preserve"> </w:t>
      </w:r>
      <w:r w:rsidRPr="00215CD3">
        <w:t>Strickfaden, M. and Devlieger, P., 2011. Empathy through accumulating techné: Designing an accessible metro. </w:t>
      </w:r>
      <w:r w:rsidRPr="00215CD3">
        <w:rPr>
          <w:i/>
          <w:iCs/>
        </w:rPr>
        <w:t>The Design Journal</w:t>
      </w:r>
      <w:r w:rsidRPr="00215CD3">
        <w:t>, </w:t>
      </w:r>
      <w:r w:rsidRPr="00215CD3">
        <w:rPr>
          <w:i/>
          <w:iCs/>
        </w:rPr>
        <w:t>14</w:t>
      </w:r>
      <w:r w:rsidRPr="00215CD3">
        <w:t>(2), pp.207-229.</w:t>
      </w:r>
    </w:p>
    <w:p w14:paraId="74B633B3" w14:textId="77777777" w:rsidR="00215CD3" w:rsidRDefault="00215CD3">
      <w:pPr>
        <w:pStyle w:val="a7"/>
      </w:pPr>
    </w:p>
    <w:p w14:paraId="703F6B97" w14:textId="77777777" w:rsidR="00215CD3" w:rsidRDefault="00215CD3">
      <w:pPr>
        <w:pStyle w:val="a7"/>
      </w:pPr>
    </w:p>
  </w:endnote>
  <w:endnote w:id="65">
    <w:p w14:paraId="7F3D6ECC" w14:textId="555238F2" w:rsidR="00215CD3" w:rsidRDefault="00215CD3">
      <w:pPr>
        <w:pStyle w:val="a7"/>
      </w:pPr>
      <w:r>
        <w:rPr>
          <w:rStyle w:val="a9"/>
        </w:rPr>
        <w:endnoteRef/>
      </w:r>
      <w:r>
        <w:t xml:space="preserve"> </w:t>
      </w:r>
      <w:r w:rsidRPr="00215CD3">
        <w:t>Holmgård, C., Liapis, A., Togelius, J. and Yannakakis, G.N., 2014, August. Evolving personas for player decision modeling. In </w:t>
      </w:r>
      <w:r w:rsidRPr="00215CD3">
        <w:rPr>
          <w:i/>
          <w:iCs/>
        </w:rPr>
        <w:t>2014 IEEE Conference on Computational Intelligence and Games</w:t>
      </w:r>
      <w:r w:rsidRPr="00215CD3">
        <w:t> (pp. 1-8). IEEE.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0C9DF" w14:textId="77777777" w:rsidR="000A2263" w:rsidRDefault="000A2263" w:rsidP="00146297">
      <w:r>
        <w:separator/>
      </w:r>
    </w:p>
  </w:footnote>
  <w:footnote w:type="continuationSeparator" w:id="0">
    <w:p w14:paraId="0615C2A6" w14:textId="77777777" w:rsidR="000A2263" w:rsidRDefault="000A2263" w:rsidP="001462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927BB"/>
    <w:multiLevelType w:val="multilevel"/>
    <w:tmpl w:val="F4E47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B75E05"/>
    <w:multiLevelType w:val="multilevel"/>
    <w:tmpl w:val="4B1E1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102927"/>
    <w:multiLevelType w:val="multilevel"/>
    <w:tmpl w:val="157A5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E34C23"/>
    <w:multiLevelType w:val="multilevel"/>
    <w:tmpl w:val="2AD6D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AC4152"/>
    <w:multiLevelType w:val="multilevel"/>
    <w:tmpl w:val="4352F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3319862">
    <w:abstractNumId w:val="1"/>
  </w:num>
  <w:num w:numId="2" w16cid:durableId="32311041">
    <w:abstractNumId w:val="2"/>
  </w:num>
  <w:num w:numId="3" w16cid:durableId="1308897185">
    <w:abstractNumId w:val="3"/>
  </w:num>
  <w:num w:numId="4" w16cid:durableId="7412365">
    <w:abstractNumId w:val="4"/>
  </w:num>
  <w:num w:numId="5" w16cid:durableId="18579576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626"/>
    <w:rsid w:val="000A2263"/>
    <w:rsid w:val="00111EBB"/>
    <w:rsid w:val="0014158A"/>
    <w:rsid w:val="00146297"/>
    <w:rsid w:val="0014667C"/>
    <w:rsid w:val="001F6B84"/>
    <w:rsid w:val="00215CD3"/>
    <w:rsid w:val="003B0E77"/>
    <w:rsid w:val="00405D54"/>
    <w:rsid w:val="0042700D"/>
    <w:rsid w:val="004F3685"/>
    <w:rsid w:val="005D6969"/>
    <w:rsid w:val="0062789A"/>
    <w:rsid w:val="00656EC3"/>
    <w:rsid w:val="006A7B63"/>
    <w:rsid w:val="00702548"/>
    <w:rsid w:val="007453DD"/>
    <w:rsid w:val="007F6626"/>
    <w:rsid w:val="00866A66"/>
    <w:rsid w:val="008C1EA6"/>
    <w:rsid w:val="009048EA"/>
    <w:rsid w:val="009D3E91"/>
    <w:rsid w:val="00A36FAC"/>
    <w:rsid w:val="00A500F8"/>
    <w:rsid w:val="00BD3B34"/>
    <w:rsid w:val="00C4191F"/>
    <w:rsid w:val="00CC6A33"/>
    <w:rsid w:val="00CC6D36"/>
    <w:rsid w:val="00CD300B"/>
    <w:rsid w:val="00D50652"/>
    <w:rsid w:val="00E304FE"/>
    <w:rsid w:val="00E522F7"/>
    <w:rsid w:val="00F126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34C7C9"/>
  <w15:chartTrackingRefBased/>
  <w15:docId w15:val="{B804FB10-C046-48B9-8779-FDFADE0F8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6297"/>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46297"/>
    <w:pPr>
      <w:tabs>
        <w:tab w:val="center" w:pos="4153"/>
        <w:tab w:val="right" w:pos="8306"/>
      </w:tabs>
      <w:snapToGrid w:val="0"/>
      <w:jc w:val="center"/>
    </w:pPr>
    <w:rPr>
      <w:sz w:val="18"/>
      <w:szCs w:val="18"/>
    </w:rPr>
  </w:style>
  <w:style w:type="character" w:customStyle="1" w:styleId="a4">
    <w:name w:val="页眉 字符"/>
    <w:basedOn w:val="a0"/>
    <w:link w:val="a3"/>
    <w:uiPriority w:val="99"/>
    <w:rsid w:val="00146297"/>
    <w:rPr>
      <w:sz w:val="18"/>
      <w:szCs w:val="18"/>
    </w:rPr>
  </w:style>
  <w:style w:type="paragraph" w:styleId="a5">
    <w:name w:val="footer"/>
    <w:basedOn w:val="a"/>
    <w:link w:val="a6"/>
    <w:uiPriority w:val="99"/>
    <w:unhideWhenUsed/>
    <w:rsid w:val="00146297"/>
    <w:pPr>
      <w:tabs>
        <w:tab w:val="center" w:pos="4153"/>
        <w:tab w:val="right" w:pos="8306"/>
      </w:tabs>
      <w:snapToGrid w:val="0"/>
      <w:jc w:val="left"/>
    </w:pPr>
    <w:rPr>
      <w:sz w:val="18"/>
      <w:szCs w:val="18"/>
    </w:rPr>
  </w:style>
  <w:style w:type="character" w:customStyle="1" w:styleId="a6">
    <w:name w:val="页脚 字符"/>
    <w:basedOn w:val="a0"/>
    <w:link w:val="a5"/>
    <w:uiPriority w:val="99"/>
    <w:rsid w:val="00146297"/>
    <w:rPr>
      <w:sz w:val="18"/>
      <w:szCs w:val="18"/>
    </w:rPr>
  </w:style>
  <w:style w:type="paragraph" w:styleId="a7">
    <w:name w:val="endnote text"/>
    <w:basedOn w:val="a"/>
    <w:link w:val="a8"/>
    <w:uiPriority w:val="99"/>
    <w:semiHidden/>
    <w:unhideWhenUsed/>
    <w:rsid w:val="00146297"/>
    <w:pPr>
      <w:snapToGrid w:val="0"/>
      <w:jc w:val="left"/>
    </w:pPr>
  </w:style>
  <w:style w:type="character" w:customStyle="1" w:styleId="a8">
    <w:name w:val="尾注文本 字符"/>
    <w:basedOn w:val="a0"/>
    <w:link w:val="a7"/>
    <w:uiPriority w:val="99"/>
    <w:semiHidden/>
    <w:rsid w:val="00146297"/>
  </w:style>
  <w:style w:type="character" w:styleId="a9">
    <w:name w:val="endnote reference"/>
    <w:basedOn w:val="a0"/>
    <w:uiPriority w:val="99"/>
    <w:semiHidden/>
    <w:unhideWhenUsed/>
    <w:rsid w:val="00146297"/>
    <w:rPr>
      <w:vertAlign w:val="superscript"/>
    </w:rPr>
  </w:style>
  <w:style w:type="paragraph" w:styleId="aa">
    <w:name w:val="footnote text"/>
    <w:basedOn w:val="a"/>
    <w:link w:val="ab"/>
    <w:uiPriority w:val="99"/>
    <w:semiHidden/>
    <w:unhideWhenUsed/>
    <w:rsid w:val="007453DD"/>
    <w:pPr>
      <w:snapToGrid w:val="0"/>
      <w:jc w:val="left"/>
    </w:pPr>
    <w:rPr>
      <w:sz w:val="18"/>
      <w:szCs w:val="18"/>
    </w:rPr>
  </w:style>
  <w:style w:type="character" w:customStyle="1" w:styleId="ab">
    <w:name w:val="脚注文本 字符"/>
    <w:basedOn w:val="a0"/>
    <w:link w:val="aa"/>
    <w:uiPriority w:val="99"/>
    <w:semiHidden/>
    <w:rsid w:val="007453DD"/>
    <w:rPr>
      <w:sz w:val="18"/>
      <w:szCs w:val="18"/>
    </w:rPr>
  </w:style>
  <w:style w:type="character" w:styleId="ac">
    <w:name w:val="footnote reference"/>
    <w:basedOn w:val="a0"/>
    <w:uiPriority w:val="99"/>
    <w:semiHidden/>
    <w:unhideWhenUsed/>
    <w:rsid w:val="007453D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5727">
      <w:bodyDiv w:val="1"/>
      <w:marLeft w:val="0"/>
      <w:marRight w:val="0"/>
      <w:marTop w:val="0"/>
      <w:marBottom w:val="0"/>
      <w:divBdr>
        <w:top w:val="none" w:sz="0" w:space="0" w:color="auto"/>
        <w:left w:val="none" w:sz="0" w:space="0" w:color="auto"/>
        <w:bottom w:val="none" w:sz="0" w:space="0" w:color="auto"/>
        <w:right w:val="none" w:sz="0" w:space="0" w:color="auto"/>
      </w:divBdr>
    </w:div>
    <w:div w:id="138112480">
      <w:bodyDiv w:val="1"/>
      <w:marLeft w:val="0"/>
      <w:marRight w:val="0"/>
      <w:marTop w:val="0"/>
      <w:marBottom w:val="0"/>
      <w:divBdr>
        <w:top w:val="none" w:sz="0" w:space="0" w:color="auto"/>
        <w:left w:val="none" w:sz="0" w:space="0" w:color="auto"/>
        <w:bottom w:val="none" w:sz="0" w:space="0" w:color="auto"/>
        <w:right w:val="none" w:sz="0" w:space="0" w:color="auto"/>
      </w:divBdr>
    </w:div>
    <w:div w:id="211886607">
      <w:bodyDiv w:val="1"/>
      <w:marLeft w:val="0"/>
      <w:marRight w:val="0"/>
      <w:marTop w:val="0"/>
      <w:marBottom w:val="0"/>
      <w:divBdr>
        <w:top w:val="none" w:sz="0" w:space="0" w:color="auto"/>
        <w:left w:val="none" w:sz="0" w:space="0" w:color="auto"/>
        <w:bottom w:val="none" w:sz="0" w:space="0" w:color="auto"/>
        <w:right w:val="none" w:sz="0" w:space="0" w:color="auto"/>
      </w:divBdr>
      <w:divsChild>
        <w:div w:id="1235513145">
          <w:marLeft w:val="0"/>
          <w:marRight w:val="0"/>
          <w:marTop w:val="0"/>
          <w:marBottom w:val="0"/>
          <w:divBdr>
            <w:top w:val="none" w:sz="0" w:space="0" w:color="auto"/>
            <w:left w:val="none" w:sz="0" w:space="0" w:color="auto"/>
            <w:bottom w:val="none" w:sz="0" w:space="0" w:color="auto"/>
            <w:right w:val="none" w:sz="0" w:space="0" w:color="auto"/>
          </w:divBdr>
          <w:divsChild>
            <w:div w:id="545063418">
              <w:marLeft w:val="0"/>
              <w:marRight w:val="0"/>
              <w:marTop w:val="0"/>
              <w:marBottom w:val="0"/>
              <w:divBdr>
                <w:top w:val="none" w:sz="0" w:space="0" w:color="auto"/>
                <w:left w:val="none" w:sz="0" w:space="0" w:color="auto"/>
                <w:bottom w:val="none" w:sz="0" w:space="0" w:color="auto"/>
                <w:right w:val="none" w:sz="0" w:space="0" w:color="auto"/>
              </w:divBdr>
              <w:divsChild>
                <w:div w:id="533226507">
                  <w:marLeft w:val="0"/>
                  <w:marRight w:val="0"/>
                  <w:marTop w:val="0"/>
                  <w:marBottom w:val="0"/>
                  <w:divBdr>
                    <w:top w:val="none" w:sz="0" w:space="0" w:color="auto"/>
                    <w:left w:val="none" w:sz="0" w:space="0" w:color="auto"/>
                    <w:bottom w:val="none" w:sz="0" w:space="0" w:color="auto"/>
                    <w:right w:val="none" w:sz="0" w:space="0" w:color="auto"/>
                  </w:divBdr>
                  <w:divsChild>
                    <w:div w:id="489097641">
                      <w:marLeft w:val="0"/>
                      <w:marRight w:val="0"/>
                      <w:marTop w:val="0"/>
                      <w:marBottom w:val="0"/>
                      <w:divBdr>
                        <w:top w:val="none" w:sz="0" w:space="0" w:color="auto"/>
                        <w:left w:val="none" w:sz="0" w:space="0" w:color="auto"/>
                        <w:bottom w:val="none" w:sz="0" w:space="0" w:color="auto"/>
                        <w:right w:val="none" w:sz="0" w:space="0" w:color="auto"/>
                      </w:divBdr>
                      <w:divsChild>
                        <w:div w:id="1453357779">
                          <w:marLeft w:val="0"/>
                          <w:marRight w:val="0"/>
                          <w:marTop w:val="0"/>
                          <w:marBottom w:val="0"/>
                          <w:divBdr>
                            <w:top w:val="none" w:sz="0" w:space="0" w:color="auto"/>
                            <w:left w:val="none" w:sz="0" w:space="0" w:color="auto"/>
                            <w:bottom w:val="none" w:sz="0" w:space="0" w:color="auto"/>
                            <w:right w:val="none" w:sz="0" w:space="0" w:color="auto"/>
                          </w:divBdr>
                          <w:divsChild>
                            <w:div w:id="21347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2826272">
      <w:bodyDiv w:val="1"/>
      <w:marLeft w:val="0"/>
      <w:marRight w:val="0"/>
      <w:marTop w:val="0"/>
      <w:marBottom w:val="0"/>
      <w:divBdr>
        <w:top w:val="none" w:sz="0" w:space="0" w:color="auto"/>
        <w:left w:val="none" w:sz="0" w:space="0" w:color="auto"/>
        <w:bottom w:val="none" w:sz="0" w:space="0" w:color="auto"/>
        <w:right w:val="none" w:sz="0" w:space="0" w:color="auto"/>
      </w:divBdr>
    </w:div>
    <w:div w:id="375734997">
      <w:bodyDiv w:val="1"/>
      <w:marLeft w:val="0"/>
      <w:marRight w:val="0"/>
      <w:marTop w:val="0"/>
      <w:marBottom w:val="0"/>
      <w:divBdr>
        <w:top w:val="none" w:sz="0" w:space="0" w:color="auto"/>
        <w:left w:val="none" w:sz="0" w:space="0" w:color="auto"/>
        <w:bottom w:val="none" w:sz="0" w:space="0" w:color="auto"/>
        <w:right w:val="none" w:sz="0" w:space="0" w:color="auto"/>
      </w:divBdr>
    </w:div>
    <w:div w:id="419760272">
      <w:bodyDiv w:val="1"/>
      <w:marLeft w:val="0"/>
      <w:marRight w:val="0"/>
      <w:marTop w:val="0"/>
      <w:marBottom w:val="0"/>
      <w:divBdr>
        <w:top w:val="none" w:sz="0" w:space="0" w:color="auto"/>
        <w:left w:val="none" w:sz="0" w:space="0" w:color="auto"/>
        <w:bottom w:val="none" w:sz="0" w:space="0" w:color="auto"/>
        <w:right w:val="none" w:sz="0" w:space="0" w:color="auto"/>
      </w:divBdr>
    </w:div>
    <w:div w:id="562519979">
      <w:bodyDiv w:val="1"/>
      <w:marLeft w:val="0"/>
      <w:marRight w:val="0"/>
      <w:marTop w:val="0"/>
      <w:marBottom w:val="0"/>
      <w:divBdr>
        <w:top w:val="none" w:sz="0" w:space="0" w:color="auto"/>
        <w:left w:val="none" w:sz="0" w:space="0" w:color="auto"/>
        <w:bottom w:val="none" w:sz="0" w:space="0" w:color="auto"/>
        <w:right w:val="none" w:sz="0" w:space="0" w:color="auto"/>
      </w:divBdr>
      <w:divsChild>
        <w:div w:id="510875832">
          <w:marLeft w:val="0"/>
          <w:marRight w:val="0"/>
          <w:marTop w:val="0"/>
          <w:marBottom w:val="0"/>
          <w:divBdr>
            <w:top w:val="none" w:sz="0" w:space="0" w:color="auto"/>
            <w:left w:val="none" w:sz="0" w:space="0" w:color="auto"/>
            <w:bottom w:val="none" w:sz="0" w:space="0" w:color="auto"/>
            <w:right w:val="none" w:sz="0" w:space="0" w:color="auto"/>
          </w:divBdr>
          <w:divsChild>
            <w:div w:id="2072264993">
              <w:marLeft w:val="0"/>
              <w:marRight w:val="0"/>
              <w:marTop w:val="0"/>
              <w:marBottom w:val="0"/>
              <w:divBdr>
                <w:top w:val="none" w:sz="0" w:space="0" w:color="auto"/>
                <w:left w:val="none" w:sz="0" w:space="0" w:color="auto"/>
                <w:bottom w:val="none" w:sz="0" w:space="0" w:color="auto"/>
                <w:right w:val="none" w:sz="0" w:space="0" w:color="auto"/>
              </w:divBdr>
              <w:divsChild>
                <w:div w:id="9993578">
                  <w:marLeft w:val="0"/>
                  <w:marRight w:val="0"/>
                  <w:marTop w:val="0"/>
                  <w:marBottom w:val="0"/>
                  <w:divBdr>
                    <w:top w:val="none" w:sz="0" w:space="0" w:color="auto"/>
                    <w:left w:val="none" w:sz="0" w:space="0" w:color="auto"/>
                    <w:bottom w:val="none" w:sz="0" w:space="0" w:color="auto"/>
                    <w:right w:val="none" w:sz="0" w:space="0" w:color="auto"/>
                  </w:divBdr>
                  <w:divsChild>
                    <w:div w:id="963653565">
                      <w:marLeft w:val="0"/>
                      <w:marRight w:val="0"/>
                      <w:marTop w:val="0"/>
                      <w:marBottom w:val="0"/>
                      <w:divBdr>
                        <w:top w:val="none" w:sz="0" w:space="0" w:color="auto"/>
                        <w:left w:val="none" w:sz="0" w:space="0" w:color="auto"/>
                        <w:bottom w:val="none" w:sz="0" w:space="0" w:color="auto"/>
                        <w:right w:val="none" w:sz="0" w:space="0" w:color="auto"/>
                      </w:divBdr>
                      <w:divsChild>
                        <w:div w:id="1073771126">
                          <w:marLeft w:val="0"/>
                          <w:marRight w:val="0"/>
                          <w:marTop w:val="0"/>
                          <w:marBottom w:val="0"/>
                          <w:divBdr>
                            <w:top w:val="none" w:sz="0" w:space="0" w:color="auto"/>
                            <w:left w:val="none" w:sz="0" w:space="0" w:color="auto"/>
                            <w:bottom w:val="none" w:sz="0" w:space="0" w:color="auto"/>
                            <w:right w:val="none" w:sz="0" w:space="0" w:color="auto"/>
                          </w:divBdr>
                          <w:divsChild>
                            <w:div w:id="54815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9826544">
      <w:bodyDiv w:val="1"/>
      <w:marLeft w:val="0"/>
      <w:marRight w:val="0"/>
      <w:marTop w:val="0"/>
      <w:marBottom w:val="0"/>
      <w:divBdr>
        <w:top w:val="none" w:sz="0" w:space="0" w:color="auto"/>
        <w:left w:val="none" w:sz="0" w:space="0" w:color="auto"/>
        <w:bottom w:val="none" w:sz="0" w:space="0" w:color="auto"/>
        <w:right w:val="none" w:sz="0" w:space="0" w:color="auto"/>
      </w:divBdr>
    </w:div>
    <w:div w:id="966664541">
      <w:bodyDiv w:val="1"/>
      <w:marLeft w:val="0"/>
      <w:marRight w:val="0"/>
      <w:marTop w:val="0"/>
      <w:marBottom w:val="0"/>
      <w:divBdr>
        <w:top w:val="none" w:sz="0" w:space="0" w:color="auto"/>
        <w:left w:val="none" w:sz="0" w:space="0" w:color="auto"/>
        <w:bottom w:val="none" w:sz="0" w:space="0" w:color="auto"/>
        <w:right w:val="none" w:sz="0" w:space="0" w:color="auto"/>
      </w:divBdr>
    </w:div>
    <w:div w:id="969480990">
      <w:bodyDiv w:val="1"/>
      <w:marLeft w:val="0"/>
      <w:marRight w:val="0"/>
      <w:marTop w:val="0"/>
      <w:marBottom w:val="0"/>
      <w:divBdr>
        <w:top w:val="none" w:sz="0" w:space="0" w:color="auto"/>
        <w:left w:val="none" w:sz="0" w:space="0" w:color="auto"/>
        <w:bottom w:val="none" w:sz="0" w:space="0" w:color="auto"/>
        <w:right w:val="none" w:sz="0" w:space="0" w:color="auto"/>
      </w:divBdr>
    </w:div>
    <w:div w:id="1083724986">
      <w:bodyDiv w:val="1"/>
      <w:marLeft w:val="0"/>
      <w:marRight w:val="0"/>
      <w:marTop w:val="0"/>
      <w:marBottom w:val="0"/>
      <w:divBdr>
        <w:top w:val="none" w:sz="0" w:space="0" w:color="auto"/>
        <w:left w:val="none" w:sz="0" w:space="0" w:color="auto"/>
        <w:bottom w:val="none" w:sz="0" w:space="0" w:color="auto"/>
        <w:right w:val="none" w:sz="0" w:space="0" w:color="auto"/>
      </w:divBdr>
    </w:div>
    <w:div w:id="1086732831">
      <w:bodyDiv w:val="1"/>
      <w:marLeft w:val="0"/>
      <w:marRight w:val="0"/>
      <w:marTop w:val="0"/>
      <w:marBottom w:val="0"/>
      <w:divBdr>
        <w:top w:val="none" w:sz="0" w:space="0" w:color="auto"/>
        <w:left w:val="none" w:sz="0" w:space="0" w:color="auto"/>
        <w:bottom w:val="none" w:sz="0" w:space="0" w:color="auto"/>
        <w:right w:val="none" w:sz="0" w:space="0" w:color="auto"/>
      </w:divBdr>
    </w:div>
    <w:div w:id="1277372730">
      <w:bodyDiv w:val="1"/>
      <w:marLeft w:val="0"/>
      <w:marRight w:val="0"/>
      <w:marTop w:val="0"/>
      <w:marBottom w:val="0"/>
      <w:divBdr>
        <w:top w:val="none" w:sz="0" w:space="0" w:color="auto"/>
        <w:left w:val="none" w:sz="0" w:space="0" w:color="auto"/>
        <w:bottom w:val="none" w:sz="0" w:space="0" w:color="auto"/>
        <w:right w:val="none" w:sz="0" w:space="0" w:color="auto"/>
      </w:divBdr>
    </w:div>
    <w:div w:id="1301495686">
      <w:bodyDiv w:val="1"/>
      <w:marLeft w:val="0"/>
      <w:marRight w:val="0"/>
      <w:marTop w:val="0"/>
      <w:marBottom w:val="0"/>
      <w:divBdr>
        <w:top w:val="none" w:sz="0" w:space="0" w:color="auto"/>
        <w:left w:val="none" w:sz="0" w:space="0" w:color="auto"/>
        <w:bottom w:val="none" w:sz="0" w:space="0" w:color="auto"/>
        <w:right w:val="none" w:sz="0" w:space="0" w:color="auto"/>
      </w:divBdr>
    </w:div>
    <w:div w:id="1427768776">
      <w:bodyDiv w:val="1"/>
      <w:marLeft w:val="0"/>
      <w:marRight w:val="0"/>
      <w:marTop w:val="0"/>
      <w:marBottom w:val="0"/>
      <w:divBdr>
        <w:top w:val="none" w:sz="0" w:space="0" w:color="auto"/>
        <w:left w:val="none" w:sz="0" w:space="0" w:color="auto"/>
        <w:bottom w:val="none" w:sz="0" w:space="0" w:color="auto"/>
        <w:right w:val="none" w:sz="0" w:space="0" w:color="auto"/>
      </w:divBdr>
    </w:div>
    <w:div w:id="1458643034">
      <w:bodyDiv w:val="1"/>
      <w:marLeft w:val="0"/>
      <w:marRight w:val="0"/>
      <w:marTop w:val="0"/>
      <w:marBottom w:val="0"/>
      <w:divBdr>
        <w:top w:val="none" w:sz="0" w:space="0" w:color="auto"/>
        <w:left w:val="none" w:sz="0" w:space="0" w:color="auto"/>
        <w:bottom w:val="none" w:sz="0" w:space="0" w:color="auto"/>
        <w:right w:val="none" w:sz="0" w:space="0" w:color="auto"/>
      </w:divBdr>
    </w:div>
    <w:div w:id="1523737297">
      <w:bodyDiv w:val="1"/>
      <w:marLeft w:val="0"/>
      <w:marRight w:val="0"/>
      <w:marTop w:val="0"/>
      <w:marBottom w:val="0"/>
      <w:divBdr>
        <w:top w:val="none" w:sz="0" w:space="0" w:color="auto"/>
        <w:left w:val="none" w:sz="0" w:space="0" w:color="auto"/>
        <w:bottom w:val="none" w:sz="0" w:space="0" w:color="auto"/>
        <w:right w:val="none" w:sz="0" w:space="0" w:color="auto"/>
      </w:divBdr>
    </w:div>
    <w:div w:id="1584102465">
      <w:bodyDiv w:val="1"/>
      <w:marLeft w:val="0"/>
      <w:marRight w:val="0"/>
      <w:marTop w:val="0"/>
      <w:marBottom w:val="0"/>
      <w:divBdr>
        <w:top w:val="none" w:sz="0" w:space="0" w:color="auto"/>
        <w:left w:val="none" w:sz="0" w:space="0" w:color="auto"/>
        <w:bottom w:val="none" w:sz="0" w:space="0" w:color="auto"/>
        <w:right w:val="none" w:sz="0" w:space="0" w:color="auto"/>
      </w:divBdr>
    </w:div>
    <w:div w:id="1592658018">
      <w:bodyDiv w:val="1"/>
      <w:marLeft w:val="0"/>
      <w:marRight w:val="0"/>
      <w:marTop w:val="0"/>
      <w:marBottom w:val="0"/>
      <w:divBdr>
        <w:top w:val="none" w:sz="0" w:space="0" w:color="auto"/>
        <w:left w:val="none" w:sz="0" w:space="0" w:color="auto"/>
        <w:bottom w:val="none" w:sz="0" w:space="0" w:color="auto"/>
        <w:right w:val="none" w:sz="0" w:space="0" w:color="auto"/>
      </w:divBdr>
    </w:div>
    <w:div w:id="1619724257">
      <w:bodyDiv w:val="1"/>
      <w:marLeft w:val="0"/>
      <w:marRight w:val="0"/>
      <w:marTop w:val="0"/>
      <w:marBottom w:val="0"/>
      <w:divBdr>
        <w:top w:val="none" w:sz="0" w:space="0" w:color="auto"/>
        <w:left w:val="none" w:sz="0" w:space="0" w:color="auto"/>
        <w:bottom w:val="none" w:sz="0" w:space="0" w:color="auto"/>
        <w:right w:val="none" w:sz="0" w:space="0" w:color="auto"/>
      </w:divBdr>
    </w:div>
    <w:div w:id="1738699140">
      <w:bodyDiv w:val="1"/>
      <w:marLeft w:val="0"/>
      <w:marRight w:val="0"/>
      <w:marTop w:val="0"/>
      <w:marBottom w:val="0"/>
      <w:divBdr>
        <w:top w:val="none" w:sz="0" w:space="0" w:color="auto"/>
        <w:left w:val="none" w:sz="0" w:space="0" w:color="auto"/>
        <w:bottom w:val="none" w:sz="0" w:space="0" w:color="auto"/>
        <w:right w:val="none" w:sz="0" w:space="0" w:color="auto"/>
      </w:divBdr>
    </w:div>
    <w:div w:id="1740975871">
      <w:bodyDiv w:val="1"/>
      <w:marLeft w:val="0"/>
      <w:marRight w:val="0"/>
      <w:marTop w:val="0"/>
      <w:marBottom w:val="0"/>
      <w:divBdr>
        <w:top w:val="none" w:sz="0" w:space="0" w:color="auto"/>
        <w:left w:val="none" w:sz="0" w:space="0" w:color="auto"/>
        <w:bottom w:val="none" w:sz="0" w:space="0" w:color="auto"/>
        <w:right w:val="none" w:sz="0" w:space="0" w:color="auto"/>
      </w:divBdr>
    </w:div>
    <w:div w:id="1911957529">
      <w:bodyDiv w:val="1"/>
      <w:marLeft w:val="0"/>
      <w:marRight w:val="0"/>
      <w:marTop w:val="0"/>
      <w:marBottom w:val="0"/>
      <w:divBdr>
        <w:top w:val="none" w:sz="0" w:space="0" w:color="auto"/>
        <w:left w:val="none" w:sz="0" w:space="0" w:color="auto"/>
        <w:bottom w:val="none" w:sz="0" w:space="0" w:color="auto"/>
        <w:right w:val="none" w:sz="0" w:space="0" w:color="auto"/>
      </w:divBdr>
    </w:div>
    <w:div w:id="1919096327">
      <w:bodyDiv w:val="1"/>
      <w:marLeft w:val="0"/>
      <w:marRight w:val="0"/>
      <w:marTop w:val="0"/>
      <w:marBottom w:val="0"/>
      <w:divBdr>
        <w:top w:val="none" w:sz="0" w:space="0" w:color="auto"/>
        <w:left w:val="none" w:sz="0" w:space="0" w:color="auto"/>
        <w:bottom w:val="none" w:sz="0" w:space="0" w:color="auto"/>
        <w:right w:val="none" w:sz="0" w:space="0" w:color="auto"/>
      </w:divBdr>
    </w:div>
    <w:div w:id="1942565211">
      <w:bodyDiv w:val="1"/>
      <w:marLeft w:val="0"/>
      <w:marRight w:val="0"/>
      <w:marTop w:val="0"/>
      <w:marBottom w:val="0"/>
      <w:divBdr>
        <w:top w:val="none" w:sz="0" w:space="0" w:color="auto"/>
        <w:left w:val="none" w:sz="0" w:space="0" w:color="auto"/>
        <w:bottom w:val="none" w:sz="0" w:space="0" w:color="auto"/>
        <w:right w:val="none" w:sz="0" w:space="0" w:color="auto"/>
      </w:divBdr>
    </w:div>
    <w:div w:id="213609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320</TotalTime>
  <Pages>34</Pages>
  <Words>5688</Words>
  <Characters>32425</Characters>
  <Application>Microsoft Office Word</Application>
  <DocSecurity>0</DocSecurity>
  <Lines>270</Lines>
  <Paragraphs>76</Paragraphs>
  <ScaleCrop>false</ScaleCrop>
  <Company/>
  <LinksUpToDate>false</LinksUpToDate>
  <CharactersWithSpaces>38037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qingyuan du</dc:creator>
  <cp:keywords/>
  <dc:description/>
  <cp:lastModifiedBy>qingyuan du</cp:lastModifiedBy>
  <cp:revision>40</cp:revision>
  <dcterms:created xsi:type="dcterms:W3CDTF">2025-01-03T20:19:00Z</dcterms:created>
  <dcterms:modified xsi:type="dcterms:W3CDTF">2025-01-05T19:03:00Z</dcterms:modified>
</cp:coreProperties>
</file>