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59F8" w:rsidRDefault="001C293C">
      <w:r>
        <w:t xml:space="preserve">Punishment of the </w:t>
      </w:r>
      <w:proofErr w:type="spellStart"/>
      <w:r>
        <w:t>Phocians</w:t>
      </w:r>
      <w:proofErr w:type="spellEnd"/>
    </w:p>
    <w:p w:rsidR="0075138F" w:rsidRDefault="0075138F" w:rsidP="0075138F">
      <w:r>
        <w:t xml:space="preserve">The third sacred war of 356-346 ended as a result of Philip of Macedon's intervention. Due to this, the </w:t>
      </w:r>
      <w:proofErr w:type="spellStart"/>
      <w:r>
        <w:t>Amphictyonic</w:t>
      </w:r>
      <w:proofErr w:type="spellEnd"/>
      <w:r>
        <w:t xml:space="preserve"> council provided him with membership and bestowed the two votes that were previously held by the </w:t>
      </w:r>
      <w:proofErr w:type="spellStart"/>
      <w:r>
        <w:t>Phocians</w:t>
      </w:r>
      <w:proofErr w:type="spellEnd"/>
      <w:r>
        <w:t xml:space="preserve"> before the events of the </w:t>
      </w:r>
      <w:proofErr w:type="gramStart"/>
      <w:r>
        <w:t>Sacred</w:t>
      </w:r>
      <w:proofErr w:type="gramEnd"/>
      <w:r>
        <w:t xml:space="preserve"> war. As a result of Thessalian support, Philip would be the one who would judge the </w:t>
      </w:r>
      <w:proofErr w:type="spellStart"/>
      <w:r>
        <w:t>Phocians</w:t>
      </w:r>
      <w:proofErr w:type="spellEnd"/>
      <w:r>
        <w:t xml:space="preserve"> for their looting of the Delphic treasury. The </w:t>
      </w:r>
      <w:proofErr w:type="spellStart"/>
      <w:r>
        <w:t>Phocians</w:t>
      </w:r>
      <w:proofErr w:type="spellEnd"/>
      <w:r>
        <w:t xml:space="preserve"> were inhabitants of the region </w:t>
      </w:r>
      <w:proofErr w:type="gramStart"/>
      <w:r>
        <w:t>North</w:t>
      </w:r>
      <w:proofErr w:type="gramEnd"/>
      <w:r>
        <w:t xml:space="preserve"> of the Gulf of Corinth around the </w:t>
      </w:r>
      <w:r>
        <w:t>area</w:t>
      </w:r>
      <w:r>
        <w:t xml:space="preserve"> of Delphi this positioning allowed them to easily take and plunder the treasury there, of accumulated gifts and offerings to the gods. Arafat (2009) </w:t>
      </w:r>
      <w:r>
        <w:t>provides</w:t>
      </w:r>
      <w:r>
        <w:t xml:space="preserve"> some insight into evidence obtained from Pausanias</w:t>
      </w:r>
      <w:r>
        <w:rPr>
          <w:rStyle w:val="FootnoteReference"/>
        </w:rPr>
        <w:footnoteReference w:id="1"/>
      </w:r>
      <w:r>
        <w:t>, where a fine is used to fund the constructi</w:t>
      </w:r>
      <w:r>
        <w:t xml:space="preserve">on of two statues to Apollo. </w:t>
      </w:r>
      <w:r>
        <w:t xml:space="preserve">The purpose of these statues is to be a warning to visitors of the actions of the </w:t>
      </w:r>
      <w:proofErr w:type="spellStart"/>
      <w:r>
        <w:t>Phocians</w:t>
      </w:r>
      <w:proofErr w:type="spellEnd"/>
      <w:r>
        <w:t xml:space="preserve"> against the sanctuary. </w:t>
      </w:r>
    </w:p>
    <w:p w:rsidR="0075138F" w:rsidRDefault="0075138F" w:rsidP="0075138F">
      <w:r>
        <w:t xml:space="preserve">The primary punishment the </w:t>
      </w:r>
      <w:proofErr w:type="spellStart"/>
      <w:r>
        <w:t>Phocians</w:t>
      </w:r>
      <w:proofErr w:type="spellEnd"/>
      <w:r>
        <w:t xml:space="preserve"> suffered was rather than their outright destruction as a polis their major </w:t>
      </w:r>
      <w:proofErr w:type="spellStart"/>
      <w:r>
        <w:t>Astys</w:t>
      </w:r>
      <w:proofErr w:type="spellEnd"/>
      <w:r>
        <w:t xml:space="preserve"> were razed. So they were restricted to villages amongst the countryside. The purpose of this is suggested to prevent the </w:t>
      </w:r>
      <w:proofErr w:type="spellStart"/>
      <w:r>
        <w:t>Phocians</w:t>
      </w:r>
      <w:proofErr w:type="spellEnd"/>
      <w:r>
        <w:t xml:space="preserve"> from unifying again. This was done to appease the Thebans while simultaneously targeting </w:t>
      </w:r>
      <w:proofErr w:type="spellStart"/>
      <w:r>
        <w:t>Phocian</w:t>
      </w:r>
      <w:proofErr w:type="spellEnd"/>
      <w:r>
        <w:t xml:space="preserve"> leadership and therefore not alienating Athens.</w:t>
      </w:r>
    </w:p>
    <w:p w:rsidR="0075138F" w:rsidRDefault="0075138F" w:rsidP="0075138F">
      <w:r>
        <w:t>While there is information on the conventional means of which Phocis was punishments materially, it doesn't appear as if any long-standing sanctions other than the stigma that comes with being temple robbers are put in place by Philip. This may have been done so as not to cripple trade in the region or perhaps it served as a transgression left out so as not to anger Athens over perceived mistreatment of the wider population.</w:t>
      </w:r>
    </w:p>
    <w:p w:rsidR="009A20F4" w:rsidRDefault="0075138F" w:rsidP="0075138F">
      <w:r>
        <w:t xml:space="preserve">Nor is there any indication of other than being removed from the </w:t>
      </w:r>
      <w:proofErr w:type="spellStart"/>
      <w:r>
        <w:t>Amphictyonic</w:t>
      </w:r>
      <w:proofErr w:type="spellEnd"/>
      <w:r>
        <w:t xml:space="preserve"> council that there was any real removal from Hellenic games. Although it would be thought that some would think to have removed access to these games as a result of the nature of the transgression the </w:t>
      </w:r>
      <w:proofErr w:type="spellStart"/>
      <w:r>
        <w:t>Phocian</w:t>
      </w:r>
      <w:proofErr w:type="spellEnd"/>
      <w:r>
        <w:t xml:space="preserve"> leadership undertook leading up to the </w:t>
      </w:r>
      <w:proofErr w:type="gramStart"/>
      <w:r>
        <w:t>Sacred</w:t>
      </w:r>
      <w:proofErr w:type="gramEnd"/>
      <w:r>
        <w:t xml:space="preserve"> war. It seems that other than reparations and symbols of remembrance, except for the demolishing of the major settlements there is no long term conditions that affect the </w:t>
      </w:r>
      <w:proofErr w:type="spellStart"/>
      <w:r>
        <w:t>Phocians</w:t>
      </w:r>
      <w:proofErr w:type="spellEnd"/>
      <w:r>
        <w:t xml:space="preserve"> physically.</w:t>
      </w:r>
    </w:p>
    <w:p w:rsidR="0075138F" w:rsidRDefault="0075138F" w:rsidP="0075138F"/>
    <w:p w:rsidR="0075138F" w:rsidRDefault="0075138F" w:rsidP="0075138F">
      <w:r>
        <w:t>Bibliography</w:t>
      </w:r>
    </w:p>
    <w:p w:rsidR="00E275A4" w:rsidRDefault="00E275A4" w:rsidP="00E275A4">
      <w:pPr>
        <w:shd w:val="clear" w:color="auto" w:fill="FFFFFF"/>
      </w:pPr>
      <w:proofErr w:type="spellStart"/>
      <w:r>
        <w:t>K.W.Arafat</w:t>
      </w:r>
      <w:proofErr w:type="spellEnd"/>
      <w:r>
        <w:t xml:space="preserve"> (2009) ‘Treasure, Treasuries and </w:t>
      </w:r>
      <w:r w:rsidRPr="00E275A4">
        <w:rPr>
          <w:rFonts w:cstheme="minorHAnsi"/>
        </w:rPr>
        <w:t>Value</w:t>
      </w:r>
      <w:r>
        <w:rPr>
          <w:rFonts w:cstheme="minorHAnsi"/>
        </w:rPr>
        <w:t>.</w:t>
      </w:r>
      <w:r w:rsidRPr="00E275A4">
        <w:rPr>
          <w:rFonts w:cstheme="minorHAnsi"/>
        </w:rPr>
        <w:t xml:space="preserve"> </w:t>
      </w:r>
      <w:r w:rsidRPr="00E275A4">
        <w:rPr>
          <w:rFonts w:eastAsia="Times New Roman" w:cstheme="minorHAnsi"/>
          <w:i/>
          <w:iCs/>
          <w:color w:val="333333"/>
          <w:lang w:eastAsia="en-GB"/>
        </w:rPr>
        <w:t>The Classical Quarterly</w:t>
      </w:r>
      <w:r w:rsidRPr="00E275A4">
        <w:rPr>
          <w:rFonts w:eastAsia="Times New Roman" w:cstheme="minorHAnsi"/>
          <w:color w:val="333333"/>
          <w:lang w:eastAsia="en-GB"/>
        </w:rPr>
        <w:t xml:space="preserve"> </w:t>
      </w:r>
      <w:proofErr w:type="spellStart"/>
      <w:r>
        <w:t>Volume</w:t>
      </w:r>
      <w:r w:rsidR="00820641">
        <w:t>vol</w:t>
      </w:r>
      <w:proofErr w:type="spellEnd"/>
      <w:r w:rsidR="00820641">
        <w:t xml:space="preserve"> 59</w:t>
      </w:r>
      <w:r>
        <w:t xml:space="preserve"> </w:t>
      </w:r>
      <w:r w:rsidR="00820641">
        <w:t xml:space="preserve">578-592 </w:t>
      </w:r>
      <w:r>
        <w:t xml:space="preserve">Available at: </w:t>
      </w:r>
      <w:hyperlink r:id="rId7" w:history="1">
        <w:r w:rsidR="00820641" w:rsidRPr="00535B70">
          <w:rPr>
            <w:rStyle w:val="Hyperlink"/>
          </w:rPr>
          <w:t>https://www-jstor-org.ezproxy.uwtsd.ac.uk/stable/20616707?seq=10#metadata_info_tab_contents</w:t>
        </w:r>
      </w:hyperlink>
      <w:r w:rsidR="00820641">
        <w:t xml:space="preserve"> </w:t>
      </w:r>
      <w:r>
        <w:t>(</w:t>
      </w:r>
      <w:r w:rsidR="00820641">
        <w:t>Accessed 31/01/2020)</w:t>
      </w:r>
    </w:p>
    <w:p w:rsidR="00820641" w:rsidRPr="00820641" w:rsidRDefault="00820641" w:rsidP="00E275A4">
      <w:pPr>
        <w:shd w:val="clear" w:color="auto" w:fill="FFFFFF"/>
        <w:rPr>
          <w:rFonts w:eastAsia="Times New Roman" w:cstheme="minorHAnsi"/>
          <w:lang w:eastAsia="en-GB"/>
        </w:rPr>
      </w:pPr>
      <w:r w:rsidRPr="00820641">
        <w:rPr>
          <w:rStyle w:val="bibliographicauthorname"/>
          <w:rFonts w:cstheme="minorHAnsi"/>
          <w:shd w:val="clear" w:color="auto" w:fill="FFFFFF"/>
        </w:rPr>
        <w:t>Pausanias</w:t>
      </w:r>
      <w:r w:rsidRPr="00820641">
        <w:rPr>
          <w:rFonts w:cstheme="minorHAnsi"/>
          <w:shd w:val="clear" w:color="auto" w:fill="FFFFFF"/>
        </w:rPr>
        <w:t>. </w:t>
      </w:r>
      <w:r w:rsidRPr="00820641">
        <w:rPr>
          <w:rFonts w:cstheme="minorHAnsi"/>
          <w:i/>
          <w:iCs/>
          <w:shd w:val="clear" w:color="auto" w:fill="FFFFFF"/>
        </w:rPr>
        <w:t xml:space="preserve">Description of Greece, Volume IV: Books 8.22-10 (Arcadia, Boeotia, Phocis and </w:t>
      </w:r>
      <w:proofErr w:type="spellStart"/>
      <w:r w:rsidRPr="00820641">
        <w:rPr>
          <w:rFonts w:cstheme="minorHAnsi"/>
          <w:i/>
          <w:iCs/>
          <w:shd w:val="clear" w:color="auto" w:fill="FFFFFF"/>
        </w:rPr>
        <w:t>Ozolian</w:t>
      </w:r>
      <w:proofErr w:type="spellEnd"/>
      <w:r w:rsidRPr="00820641">
        <w:rPr>
          <w:rFonts w:cstheme="minorHAnsi"/>
          <w:i/>
          <w:iCs/>
          <w:shd w:val="clear" w:color="auto" w:fill="FFFFFF"/>
        </w:rPr>
        <w:t xml:space="preserve"> </w:t>
      </w:r>
      <w:proofErr w:type="spellStart"/>
      <w:r w:rsidRPr="00820641">
        <w:rPr>
          <w:rFonts w:cstheme="minorHAnsi"/>
          <w:i/>
          <w:iCs/>
          <w:shd w:val="clear" w:color="auto" w:fill="FFFFFF"/>
        </w:rPr>
        <w:t>Locri</w:t>
      </w:r>
      <w:proofErr w:type="spellEnd"/>
      <w:r w:rsidRPr="00820641">
        <w:rPr>
          <w:rFonts w:cstheme="minorHAnsi"/>
          <w:i/>
          <w:iCs/>
          <w:shd w:val="clear" w:color="auto" w:fill="FFFFFF"/>
        </w:rPr>
        <w:t>). </w:t>
      </w:r>
      <w:r w:rsidRPr="00820641">
        <w:rPr>
          <w:rStyle w:val="translators"/>
          <w:rFonts w:cstheme="minorHAnsi"/>
          <w:shd w:val="clear" w:color="auto" w:fill="FFFFFF"/>
        </w:rPr>
        <w:t>Translated by </w:t>
      </w:r>
      <w:r w:rsidRPr="00820641">
        <w:rPr>
          <w:rStyle w:val="contributorname"/>
          <w:rFonts w:cstheme="minorHAnsi"/>
          <w:shd w:val="clear" w:color="auto" w:fill="FFFFFF"/>
        </w:rPr>
        <w:t>W. H. S. Jones</w:t>
      </w:r>
      <w:r w:rsidRPr="00820641">
        <w:rPr>
          <w:rStyle w:val="translators"/>
          <w:rFonts w:cstheme="minorHAnsi"/>
          <w:shd w:val="clear" w:color="auto" w:fill="FFFFFF"/>
        </w:rPr>
        <w:t>. </w:t>
      </w:r>
      <w:r w:rsidRPr="00820641">
        <w:rPr>
          <w:rFonts w:cstheme="minorHAnsi"/>
          <w:shd w:val="clear" w:color="auto" w:fill="FFFFFF"/>
        </w:rPr>
        <w:t>Loeb Classical Library 297. Cambridge, MA: Harvard University Press, 1935.</w:t>
      </w:r>
    </w:p>
    <w:sectPr w:rsidR="00820641" w:rsidRPr="008206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6BD5" w:rsidRDefault="00FB6BD5" w:rsidP="0075138F">
      <w:pPr>
        <w:spacing w:after="0" w:line="240" w:lineRule="auto"/>
      </w:pPr>
      <w:r>
        <w:separator/>
      </w:r>
    </w:p>
  </w:endnote>
  <w:endnote w:type="continuationSeparator" w:id="0">
    <w:p w:rsidR="00FB6BD5" w:rsidRDefault="00FB6BD5" w:rsidP="00751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6BD5" w:rsidRDefault="00FB6BD5" w:rsidP="0075138F">
      <w:pPr>
        <w:spacing w:after="0" w:line="240" w:lineRule="auto"/>
      </w:pPr>
      <w:r>
        <w:separator/>
      </w:r>
    </w:p>
  </w:footnote>
  <w:footnote w:type="continuationSeparator" w:id="0">
    <w:p w:rsidR="00FB6BD5" w:rsidRDefault="00FB6BD5" w:rsidP="0075138F">
      <w:pPr>
        <w:spacing w:after="0" w:line="240" w:lineRule="auto"/>
      </w:pPr>
      <w:r>
        <w:continuationSeparator/>
      </w:r>
    </w:p>
  </w:footnote>
  <w:footnote w:id="1">
    <w:p w:rsidR="0075138F" w:rsidRDefault="0075138F">
      <w:pPr>
        <w:pStyle w:val="FootnoteText"/>
      </w:pPr>
      <w:r>
        <w:rPr>
          <w:rStyle w:val="FootnoteReference"/>
        </w:rPr>
        <w:footnoteRef/>
      </w:r>
      <w:r>
        <w:t xml:space="preserve"> Paus.</w:t>
      </w:r>
      <w:r w:rsidR="00820641">
        <w:t xml:space="preserve"> 3.4.4</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93C"/>
    <w:rsid w:val="0015688D"/>
    <w:rsid w:val="001C293C"/>
    <w:rsid w:val="006F7A0E"/>
    <w:rsid w:val="0075138F"/>
    <w:rsid w:val="00820641"/>
    <w:rsid w:val="009A20F4"/>
    <w:rsid w:val="00A92979"/>
    <w:rsid w:val="00BD4A11"/>
    <w:rsid w:val="00C259F8"/>
    <w:rsid w:val="00DF0AA2"/>
    <w:rsid w:val="00E275A4"/>
    <w:rsid w:val="00F90E00"/>
    <w:rsid w:val="00FB6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B30AE0-47D5-443A-85AC-E9E9E1F46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13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138F"/>
    <w:rPr>
      <w:sz w:val="20"/>
      <w:szCs w:val="20"/>
    </w:rPr>
  </w:style>
  <w:style w:type="character" w:styleId="FootnoteReference">
    <w:name w:val="footnote reference"/>
    <w:basedOn w:val="DefaultParagraphFont"/>
    <w:uiPriority w:val="99"/>
    <w:semiHidden/>
    <w:unhideWhenUsed/>
    <w:rsid w:val="0075138F"/>
    <w:rPr>
      <w:vertAlign w:val="superscript"/>
    </w:rPr>
  </w:style>
  <w:style w:type="character" w:styleId="HTMLCite">
    <w:name w:val="HTML Cite"/>
    <w:basedOn w:val="DefaultParagraphFont"/>
    <w:uiPriority w:val="99"/>
    <w:semiHidden/>
    <w:unhideWhenUsed/>
    <w:rsid w:val="00E275A4"/>
    <w:rPr>
      <w:i/>
      <w:iCs/>
    </w:rPr>
  </w:style>
  <w:style w:type="character" w:styleId="Hyperlink">
    <w:name w:val="Hyperlink"/>
    <w:basedOn w:val="DefaultParagraphFont"/>
    <w:uiPriority w:val="99"/>
    <w:unhideWhenUsed/>
    <w:rsid w:val="00820641"/>
    <w:rPr>
      <w:color w:val="0000FF"/>
      <w:u w:val="single"/>
    </w:rPr>
  </w:style>
  <w:style w:type="character" w:customStyle="1" w:styleId="bibliographicauthorname">
    <w:name w:val="bibliographicauthorname"/>
    <w:basedOn w:val="DefaultParagraphFont"/>
    <w:rsid w:val="00820641"/>
  </w:style>
  <w:style w:type="character" w:customStyle="1" w:styleId="translators">
    <w:name w:val="translators"/>
    <w:basedOn w:val="DefaultParagraphFont"/>
    <w:rsid w:val="00820641"/>
  </w:style>
  <w:style w:type="character" w:customStyle="1" w:styleId="contributorname">
    <w:name w:val="contributorname"/>
    <w:basedOn w:val="DefaultParagraphFont"/>
    <w:rsid w:val="00820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0591948">
      <w:bodyDiv w:val="1"/>
      <w:marLeft w:val="0"/>
      <w:marRight w:val="0"/>
      <w:marTop w:val="0"/>
      <w:marBottom w:val="0"/>
      <w:divBdr>
        <w:top w:val="none" w:sz="0" w:space="0" w:color="auto"/>
        <w:left w:val="none" w:sz="0" w:space="0" w:color="auto"/>
        <w:bottom w:val="none" w:sz="0" w:space="0" w:color="auto"/>
        <w:right w:val="none" w:sz="0" w:space="0" w:color="auto"/>
      </w:divBdr>
      <w:divsChild>
        <w:div w:id="1084840783">
          <w:marLeft w:val="0"/>
          <w:marRight w:val="0"/>
          <w:marTop w:val="0"/>
          <w:marBottom w:val="0"/>
          <w:divBdr>
            <w:top w:val="none" w:sz="0" w:space="0" w:color="auto"/>
            <w:left w:val="none" w:sz="0" w:space="0" w:color="auto"/>
            <w:bottom w:val="none" w:sz="0" w:space="0" w:color="auto"/>
            <w:right w:val="none" w:sz="0" w:space="0" w:color="auto"/>
          </w:divBdr>
        </w:div>
        <w:div w:id="607935470">
          <w:marLeft w:val="0"/>
          <w:marRight w:val="0"/>
          <w:marTop w:val="0"/>
          <w:marBottom w:val="0"/>
          <w:divBdr>
            <w:top w:val="none" w:sz="0" w:space="0" w:color="auto"/>
            <w:left w:val="none" w:sz="0" w:space="0" w:color="auto"/>
            <w:bottom w:val="none" w:sz="0" w:space="0" w:color="auto"/>
            <w:right w:val="none" w:sz="0" w:space="0" w:color="auto"/>
          </w:divBdr>
          <w:divsChild>
            <w:div w:id="206498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stor-org.ezproxy.uwtsd.ac.uk/stable/20616707?seq=10#metadata_info_tab_conten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CFAC9-40D1-41FB-BEAF-9A448D293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1</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Fielding</dc:creator>
  <cp:keywords/>
  <dc:description/>
  <cp:lastModifiedBy>Callum Fielding</cp:lastModifiedBy>
  <cp:revision>1</cp:revision>
  <dcterms:created xsi:type="dcterms:W3CDTF">2020-01-30T19:16:00Z</dcterms:created>
  <dcterms:modified xsi:type="dcterms:W3CDTF">2020-02-02T18:44:00Z</dcterms:modified>
</cp:coreProperties>
</file>