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85D0E" w14:textId="06D9ACC9" w:rsidR="0089276B" w:rsidRPr="00C93FCC" w:rsidRDefault="52781E74" w:rsidP="441862B4">
      <w:pPr>
        <w:shd w:val="clear" w:color="auto" w:fill="FFFFFF" w:themeFill="background1"/>
        <w:spacing w:before="195" w:after="195"/>
      </w:pPr>
      <w:r w:rsidRPr="00C93FCC">
        <w:rPr>
          <w:rFonts w:eastAsia="Arial" w:cs="Arial"/>
          <w:color w:val="222222"/>
        </w:rPr>
        <w:t xml:space="preserve">The Historia de </w:t>
      </w:r>
      <w:proofErr w:type="spellStart"/>
      <w:r w:rsidRPr="00C93FCC">
        <w:rPr>
          <w:rFonts w:eastAsia="Arial" w:cs="Arial"/>
          <w:color w:val="222222"/>
        </w:rPr>
        <w:t>Preliis</w:t>
      </w:r>
      <w:proofErr w:type="spellEnd"/>
      <w:r w:rsidRPr="00C93FCC">
        <w:rPr>
          <w:rFonts w:eastAsia="Arial" w:cs="Arial"/>
          <w:color w:val="222222"/>
        </w:rPr>
        <w:t xml:space="preserve"> by Quintin Curtius Rufus is a history of the life of Alexander the Great.</w:t>
      </w:r>
      <w:r w:rsidR="00997354">
        <w:rPr>
          <w:rStyle w:val="FootnoteReference"/>
          <w:rFonts w:eastAsia="Arial" w:cs="Arial"/>
          <w:color w:val="222222"/>
        </w:rPr>
        <w:footnoteReference w:id="1"/>
      </w:r>
      <w:r w:rsidRPr="00C93FCC">
        <w:rPr>
          <w:rFonts w:eastAsia="Arial" w:cs="Arial"/>
          <w:color w:val="222222"/>
        </w:rPr>
        <w:t xml:space="preserve"> Though its date of creation is under much speculation by scholars, it is generally considered to be written at some time in the 1st century C.E. Many scholars believe that it was written during the reigns of Emperors Augustus, Claudius, Vespasian or Caligula. </w:t>
      </w:r>
      <w:r w:rsidR="00A9638A" w:rsidRPr="00C93FCC">
        <w:rPr>
          <w:rFonts w:eastAsia="Arial" w:cs="Arial"/>
          <w:color w:val="222222"/>
        </w:rPr>
        <w:t>J.R. Hamilton</w:t>
      </w:r>
      <w:r w:rsidRPr="00C93FCC">
        <w:rPr>
          <w:rFonts w:eastAsia="Arial" w:cs="Arial"/>
          <w:color w:val="222222"/>
        </w:rPr>
        <w:t xml:space="preserve"> believes that it was most likely written in the reign of Claudius.</w:t>
      </w:r>
      <w:r w:rsidR="00560027">
        <w:rPr>
          <w:rStyle w:val="FootnoteReference"/>
          <w:rFonts w:eastAsia="Arial" w:cs="Arial"/>
          <w:color w:val="222222"/>
        </w:rPr>
        <w:footnoteReference w:id="2"/>
      </w:r>
      <w:r w:rsidRPr="00C93FCC">
        <w:rPr>
          <w:rFonts w:eastAsia="Arial" w:cs="Arial"/>
          <w:color w:val="222222"/>
        </w:rPr>
        <w:t xml:space="preserve"> As a Roman writer, Rufus would be writing with the intention of increasing the Roman image.</w:t>
      </w:r>
      <w:r w:rsidR="002A198A" w:rsidRPr="00C93FCC">
        <w:rPr>
          <w:rFonts w:eastAsia="Arial" w:cs="Arial"/>
          <w:color w:val="222222"/>
        </w:rPr>
        <w:t xml:space="preserve"> Additionally,</w:t>
      </w:r>
      <w:r w:rsidRPr="00C93FCC">
        <w:rPr>
          <w:rFonts w:eastAsia="Arial" w:cs="Arial"/>
          <w:color w:val="222222"/>
        </w:rPr>
        <w:t xml:space="preserve"> as he was writing under imperial rule, the threat of imperial punishment </w:t>
      </w:r>
      <w:r w:rsidR="002A198A" w:rsidRPr="00C93FCC">
        <w:rPr>
          <w:rFonts w:eastAsia="Arial" w:cs="Arial"/>
          <w:color w:val="222222"/>
        </w:rPr>
        <w:t>could also</w:t>
      </w:r>
      <w:r w:rsidRPr="00C93FCC">
        <w:rPr>
          <w:rFonts w:eastAsia="Arial" w:cs="Arial"/>
          <w:color w:val="222222"/>
        </w:rPr>
        <w:t xml:space="preserve"> potentially warp the portrayal of Alexander the Great to fit the </w:t>
      </w:r>
      <w:r w:rsidR="00510FD9" w:rsidRPr="00C93FCC">
        <w:rPr>
          <w:rFonts w:eastAsia="Arial" w:cs="Arial"/>
          <w:color w:val="222222"/>
        </w:rPr>
        <w:t>emperor’s</w:t>
      </w:r>
      <w:r w:rsidRPr="00C93FCC">
        <w:rPr>
          <w:rFonts w:eastAsia="Arial" w:cs="Arial"/>
          <w:color w:val="222222"/>
        </w:rPr>
        <w:t xml:space="preserve"> ideals. </w:t>
      </w:r>
      <w:r w:rsidR="00510FD9" w:rsidRPr="00C93FCC">
        <w:rPr>
          <w:rFonts w:eastAsia="Arial" w:cs="Arial"/>
          <w:color w:val="222222"/>
        </w:rPr>
        <w:t>T</w:t>
      </w:r>
      <w:r w:rsidRPr="00C93FCC">
        <w:rPr>
          <w:rFonts w:eastAsia="Arial" w:cs="Arial"/>
          <w:color w:val="222222"/>
        </w:rPr>
        <w:t xml:space="preserve">he social and political views of the time and the environment that Rufus </w:t>
      </w:r>
      <w:r w:rsidR="086906BB" w:rsidRPr="00C93FCC">
        <w:rPr>
          <w:rFonts w:eastAsia="Arial" w:cs="Arial"/>
          <w:color w:val="222222"/>
        </w:rPr>
        <w:t>was surrounded</w:t>
      </w:r>
      <w:r w:rsidRPr="00C93FCC">
        <w:rPr>
          <w:rFonts w:eastAsia="Arial" w:cs="Arial"/>
          <w:color w:val="222222"/>
        </w:rPr>
        <w:t xml:space="preserve"> by could also have</w:t>
      </w:r>
      <w:r w:rsidR="00510FD9" w:rsidRPr="00C93FCC">
        <w:rPr>
          <w:rFonts w:eastAsia="Arial" w:cs="Arial"/>
          <w:color w:val="222222"/>
        </w:rPr>
        <w:t xml:space="preserve"> had</w:t>
      </w:r>
      <w:r w:rsidRPr="00C93FCC">
        <w:rPr>
          <w:rFonts w:eastAsia="Arial" w:cs="Arial"/>
          <w:color w:val="222222"/>
        </w:rPr>
        <w:t xml:space="preserve"> an impact on the people and events depicted in the Historia de Preliis.</w:t>
      </w:r>
    </w:p>
    <w:p w14:paraId="2748E631" w14:textId="01F88370" w:rsidR="0089276B" w:rsidRPr="00C93FCC" w:rsidRDefault="52781E74" w:rsidP="441862B4">
      <w:pPr>
        <w:shd w:val="clear" w:color="auto" w:fill="FFFFFF" w:themeFill="background1"/>
        <w:spacing w:before="195" w:after="195"/>
      </w:pPr>
      <w:r w:rsidRPr="00C93FCC">
        <w:rPr>
          <w:rFonts w:eastAsia="Arial" w:cs="Arial"/>
          <w:color w:val="222222"/>
        </w:rPr>
        <w:t xml:space="preserve">Rufus portrays the Amazons and their Queen, Thalestris, as being other to the expectations and views of Roman women. </w:t>
      </w:r>
      <w:r w:rsidR="005014E4" w:rsidRPr="00C93FCC">
        <w:rPr>
          <w:rFonts w:eastAsia="Arial" w:cs="Arial"/>
          <w:color w:val="222222"/>
        </w:rPr>
        <w:t>I</w:t>
      </w:r>
      <w:r w:rsidRPr="00C93FCC">
        <w:rPr>
          <w:rFonts w:eastAsia="Arial" w:cs="Arial"/>
          <w:color w:val="222222"/>
        </w:rPr>
        <w:t xml:space="preserve">n his description of their clothing, he states “the clothing of the Amazons does not wholly cover the body; for the left side is nude as far as the breast,”. Kelly Olson writes that during the Roman Empire, women </w:t>
      </w:r>
      <w:r w:rsidR="005014E4" w:rsidRPr="00C93FCC">
        <w:rPr>
          <w:rFonts w:eastAsia="Arial" w:cs="Arial"/>
          <w:color w:val="222222"/>
        </w:rPr>
        <w:t>often wore</w:t>
      </w:r>
      <w:r w:rsidRPr="00C93FCC">
        <w:rPr>
          <w:rFonts w:eastAsia="Arial" w:cs="Arial"/>
          <w:color w:val="222222"/>
        </w:rPr>
        <w:t xml:space="preserve"> dresses, whereas women seen as prostitutes or adulteresses wore a toga to distinguish themselves.</w:t>
      </w:r>
      <w:r w:rsidR="00560027">
        <w:rPr>
          <w:rStyle w:val="FootnoteReference"/>
          <w:rFonts w:eastAsia="Arial" w:cs="Arial"/>
          <w:color w:val="222222"/>
        </w:rPr>
        <w:footnoteReference w:id="3"/>
      </w:r>
      <w:r w:rsidRPr="00C93FCC">
        <w:rPr>
          <w:rFonts w:eastAsia="Arial" w:cs="Arial"/>
          <w:color w:val="222222"/>
        </w:rPr>
        <w:t xml:space="preserve"> </w:t>
      </w:r>
      <w:r w:rsidR="00023340" w:rsidRPr="00C93FCC">
        <w:rPr>
          <w:rFonts w:eastAsia="Arial" w:cs="Arial"/>
          <w:color w:val="222222"/>
        </w:rPr>
        <w:t>Togas</w:t>
      </w:r>
      <w:r w:rsidRPr="00C93FCC">
        <w:rPr>
          <w:rFonts w:eastAsia="Arial" w:cs="Arial"/>
          <w:color w:val="222222"/>
        </w:rPr>
        <w:t xml:space="preserve"> w</w:t>
      </w:r>
      <w:r w:rsidR="00023340" w:rsidRPr="00C93FCC">
        <w:rPr>
          <w:rFonts w:eastAsia="Arial" w:cs="Arial"/>
          <w:color w:val="222222"/>
        </w:rPr>
        <w:t>ere</w:t>
      </w:r>
      <w:r w:rsidRPr="00C93FCC">
        <w:rPr>
          <w:rFonts w:eastAsia="Arial" w:cs="Arial"/>
          <w:color w:val="222222"/>
        </w:rPr>
        <w:t xml:space="preserve"> primarily worn by men. Olson also mention</w:t>
      </w:r>
      <w:r w:rsidR="00023340" w:rsidRPr="00C93FCC">
        <w:rPr>
          <w:rFonts w:eastAsia="Arial" w:cs="Arial"/>
          <w:color w:val="222222"/>
        </w:rPr>
        <w:t>s</w:t>
      </w:r>
      <w:r w:rsidRPr="00C93FCC">
        <w:rPr>
          <w:rFonts w:eastAsia="Arial" w:cs="Arial"/>
          <w:color w:val="222222"/>
        </w:rPr>
        <w:t xml:space="preserve"> that Horace speaks of a togata (a woman wearing a toga in order to display her sexual deviances) wearing a “transparent Coan silk and shows her body off to the viewers”.</w:t>
      </w:r>
      <w:r w:rsidR="00C2099D">
        <w:rPr>
          <w:rStyle w:val="FootnoteReference"/>
          <w:rFonts w:eastAsia="Arial" w:cs="Arial"/>
          <w:color w:val="222222"/>
        </w:rPr>
        <w:footnoteReference w:id="4"/>
      </w:r>
      <w:r w:rsidRPr="00C93FCC">
        <w:rPr>
          <w:rFonts w:eastAsia="Arial" w:cs="Arial"/>
          <w:color w:val="222222"/>
        </w:rPr>
        <w:t xml:space="preserve"> The combination of </w:t>
      </w:r>
      <w:proofErr w:type="spellStart"/>
      <w:r w:rsidRPr="00C93FCC">
        <w:rPr>
          <w:rFonts w:eastAsia="Arial" w:cs="Arial"/>
          <w:color w:val="222222"/>
        </w:rPr>
        <w:t>Thalestris</w:t>
      </w:r>
      <w:proofErr w:type="spellEnd"/>
      <w:r w:rsidRPr="00C93FCC">
        <w:rPr>
          <w:rFonts w:eastAsia="Arial" w:cs="Arial"/>
          <w:color w:val="222222"/>
        </w:rPr>
        <w:t xml:space="preserve">’ revealing clothing, mirroring the transparent Coan silk of Horace’s togata, and </w:t>
      </w:r>
      <w:r w:rsidR="00551F93" w:rsidRPr="00C93FCC">
        <w:rPr>
          <w:rFonts w:eastAsia="Arial" w:cs="Arial"/>
          <w:color w:val="222222"/>
        </w:rPr>
        <w:t xml:space="preserve">the </w:t>
      </w:r>
      <w:r w:rsidRPr="00C93FCC">
        <w:rPr>
          <w:rFonts w:eastAsia="Arial" w:cs="Arial"/>
          <w:color w:val="222222"/>
        </w:rPr>
        <w:t xml:space="preserve">more traditionally male portrayal of her actions and countenance, shows that Rufus believes that </w:t>
      </w:r>
      <w:proofErr w:type="spellStart"/>
      <w:r w:rsidRPr="00C93FCC">
        <w:rPr>
          <w:rFonts w:eastAsia="Arial" w:cs="Arial"/>
          <w:color w:val="222222"/>
        </w:rPr>
        <w:t>Thalestris</w:t>
      </w:r>
      <w:proofErr w:type="spellEnd"/>
      <w:r w:rsidRPr="00C93FCC">
        <w:rPr>
          <w:rFonts w:eastAsia="Arial" w:cs="Arial"/>
          <w:color w:val="222222"/>
        </w:rPr>
        <w:t xml:space="preserve"> is a deviant who goes against his Roman morals.</w:t>
      </w:r>
    </w:p>
    <w:p w14:paraId="5E5787A5" w14:textId="2F391E03" w:rsidR="0089276B" w:rsidRDefault="000F6017">
      <w:r>
        <w:t>Walter of Ch</w:t>
      </w:r>
      <w:r w:rsidR="00D34A6A">
        <w:t>âtillon was a French medieval author writing in the 12</w:t>
      </w:r>
      <w:r w:rsidR="00D34A6A" w:rsidRPr="00D34A6A">
        <w:rPr>
          <w:vertAlign w:val="superscript"/>
        </w:rPr>
        <w:t>th</w:t>
      </w:r>
      <w:r w:rsidR="00D34A6A">
        <w:t xml:space="preserve"> century C.E.</w:t>
      </w:r>
      <w:r w:rsidR="00BE7DB9">
        <w:rPr>
          <w:rStyle w:val="FootnoteReference"/>
        </w:rPr>
        <w:footnoteReference w:id="5"/>
      </w:r>
      <w:r w:rsidR="00EA2A1C">
        <w:t xml:space="preserve"> </w:t>
      </w:r>
      <w:proofErr w:type="spellStart"/>
      <w:r w:rsidR="00EA2A1C">
        <w:t>Châtillon’s</w:t>
      </w:r>
      <w:proofErr w:type="spellEnd"/>
      <w:r w:rsidR="00EA2A1C">
        <w:t xml:space="preserve"> </w:t>
      </w:r>
      <w:proofErr w:type="spellStart"/>
      <w:r w:rsidR="00EA2A1C">
        <w:t>Alexandr</w:t>
      </w:r>
      <w:r w:rsidR="00F163F6">
        <w:t>eis</w:t>
      </w:r>
      <w:proofErr w:type="spellEnd"/>
      <w:r w:rsidR="00EA2A1C">
        <w:t xml:space="preserve"> was written in the late 1170s, </w:t>
      </w:r>
      <w:r w:rsidR="00AA1EA5">
        <w:t xml:space="preserve">probably </w:t>
      </w:r>
      <w:r w:rsidR="00EA2A1C">
        <w:t xml:space="preserve">completed in 1180. </w:t>
      </w:r>
      <w:r w:rsidR="00EA145F">
        <w:t>Châtillon, during his lifetime, came under scrutiny from his mentor, and probable lover</w:t>
      </w:r>
      <w:r w:rsidR="001F3920">
        <w:t xml:space="preserve">, </w:t>
      </w:r>
      <w:r w:rsidR="00173E71">
        <w:t xml:space="preserve">Guillaume des Blanches. </w:t>
      </w:r>
      <w:proofErr w:type="spellStart"/>
      <w:r w:rsidR="00173E71">
        <w:t>Alexandreis</w:t>
      </w:r>
      <w:proofErr w:type="spellEnd"/>
      <w:r w:rsidR="00173E71">
        <w:t xml:space="preserve"> was probably written to regain favour with Guillaume</w:t>
      </w:r>
      <w:r w:rsidR="00D34A6A">
        <w:t xml:space="preserve"> </w:t>
      </w:r>
      <w:r w:rsidR="00616AEA">
        <w:t xml:space="preserve">as the opening letter to each Book spells out </w:t>
      </w:r>
      <w:proofErr w:type="spellStart"/>
      <w:r w:rsidR="00616AEA">
        <w:t>Guillermus</w:t>
      </w:r>
      <w:proofErr w:type="spellEnd"/>
      <w:r w:rsidR="00616AEA">
        <w:t>.</w:t>
      </w:r>
      <w:r w:rsidR="00BE7DB9">
        <w:rPr>
          <w:rStyle w:val="FootnoteReference"/>
        </w:rPr>
        <w:footnoteReference w:id="6"/>
      </w:r>
      <w:r w:rsidR="00616AEA">
        <w:t xml:space="preserve"> </w:t>
      </w:r>
      <w:r w:rsidR="00337CF0">
        <w:t xml:space="preserve">Any mention of </w:t>
      </w:r>
      <w:r w:rsidR="004C3E15">
        <w:t xml:space="preserve">Alexander’s lovers in </w:t>
      </w:r>
      <w:proofErr w:type="spellStart"/>
      <w:r w:rsidR="004C3E15">
        <w:t>Alexandr</w:t>
      </w:r>
      <w:r w:rsidR="00AD5D3A">
        <w:t>ei</w:t>
      </w:r>
      <w:r w:rsidR="004C3E15">
        <w:t>s</w:t>
      </w:r>
      <w:proofErr w:type="spellEnd"/>
      <w:r w:rsidR="004C3E15">
        <w:t xml:space="preserve"> should be thought of </w:t>
      </w:r>
      <w:r w:rsidR="005A11E6">
        <w:t>while considering</w:t>
      </w:r>
      <w:r w:rsidR="004C3E15">
        <w:t xml:space="preserve"> the relationship of Châtillon and Guillaume.</w:t>
      </w:r>
    </w:p>
    <w:p w14:paraId="6846EE8D" w14:textId="2A1F8C8C" w:rsidR="0079329D" w:rsidRDefault="00BA1903">
      <w:r>
        <w:lastRenderedPageBreak/>
        <w:t xml:space="preserve">Walter of Châtillon </w:t>
      </w:r>
      <w:r w:rsidR="0002692A">
        <w:t xml:space="preserve">portrays the Amazons as valuing </w:t>
      </w:r>
      <w:r w:rsidR="00144DD3">
        <w:t xml:space="preserve">the physical form over the mental capacity of a soldier as shown when he </w:t>
      </w:r>
      <w:r w:rsidR="005A11E6">
        <w:t>states,</w:t>
      </w:r>
      <w:r w:rsidR="00144DD3">
        <w:t xml:space="preserve"> “the simple</w:t>
      </w:r>
      <w:r w:rsidR="00385883">
        <w:t xml:space="preserve"> </w:t>
      </w:r>
      <w:r w:rsidR="00144DD3">
        <w:t xml:space="preserve">savage mind </w:t>
      </w:r>
      <w:r w:rsidR="00385883">
        <w:t>respects and judges all according to their bodies’ beauty”</w:t>
      </w:r>
      <w:r w:rsidR="001561FA">
        <w:t>.</w:t>
      </w:r>
      <w:r w:rsidR="003C0346">
        <w:rPr>
          <w:rStyle w:val="FootnoteReference"/>
        </w:rPr>
        <w:footnoteReference w:id="7"/>
      </w:r>
      <w:r w:rsidR="00F66B7A">
        <w:t xml:space="preserve"> </w:t>
      </w:r>
      <w:r w:rsidR="003A043D">
        <w:t xml:space="preserve">The years in which Châtillon </w:t>
      </w:r>
      <w:r w:rsidR="00055FDE">
        <w:t xml:space="preserve">was writing were during a calm period of the crusades. </w:t>
      </w:r>
      <w:r w:rsidR="005A11E6">
        <w:t>T</w:t>
      </w:r>
      <w:r w:rsidR="00163B18">
        <w:t xml:space="preserve">he crusader kings had settled within the </w:t>
      </w:r>
      <w:proofErr w:type="gramStart"/>
      <w:r w:rsidR="00163B18">
        <w:t>Levant</w:t>
      </w:r>
      <w:proofErr w:type="gramEnd"/>
      <w:r w:rsidR="00163B18">
        <w:t xml:space="preserve"> and </w:t>
      </w:r>
      <w:r w:rsidR="00F36BB3">
        <w:t xml:space="preserve">the western </w:t>
      </w:r>
      <w:r w:rsidR="00C60710">
        <w:t>opinions of these great warrior kings had become much soured with their incapability to retain their eastern lands.</w:t>
      </w:r>
      <w:r w:rsidR="003C0346">
        <w:rPr>
          <w:rStyle w:val="FootnoteReference"/>
        </w:rPr>
        <w:footnoteReference w:id="8"/>
      </w:r>
      <w:r w:rsidR="00C60710">
        <w:t xml:space="preserve"> </w:t>
      </w:r>
      <w:r w:rsidR="00A01FCE">
        <w:t xml:space="preserve">This may have shaped </w:t>
      </w:r>
      <w:proofErr w:type="spellStart"/>
      <w:r w:rsidR="00842DC1">
        <w:t>Châtillon’s</w:t>
      </w:r>
      <w:proofErr w:type="spellEnd"/>
      <w:r w:rsidR="00842DC1">
        <w:t xml:space="preserve"> opinions of the warrior Queen, </w:t>
      </w:r>
      <w:proofErr w:type="spellStart"/>
      <w:r w:rsidR="00842DC1">
        <w:t>Thalestris</w:t>
      </w:r>
      <w:proofErr w:type="spellEnd"/>
      <w:r w:rsidR="00842DC1">
        <w:t xml:space="preserve">. </w:t>
      </w:r>
      <w:r w:rsidR="00911F5B">
        <w:t xml:space="preserve">She is portrayed similarly to the Crusader Kings and therefore is portrayed in a negative light. </w:t>
      </w:r>
    </w:p>
    <w:p w14:paraId="291B26A5" w14:textId="1B2811F3" w:rsidR="003C0346" w:rsidRDefault="00911F5B">
      <w:r>
        <w:t xml:space="preserve">Both Rufus and Châtillon portray </w:t>
      </w:r>
      <w:proofErr w:type="spellStart"/>
      <w:r>
        <w:t>Thalestris</w:t>
      </w:r>
      <w:proofErr w:type="spellEnd"/>
      <w:r>
        <w:t xml:space="preserve"> negatively. Rufus </w:t>
      </w:r>
      <w:r w:rsidR="002D7594">
        <w:t xml:space="preserve">appears to think that </w:t>
      </w:r>
      <w:proofErr w:type="spellStart"/>
      <w:r w:rsidR="002D7594">
        <w:t>Thalestris</w:t>
      </w:r>
      <w:proofErr w:type="spellEnd"/>
      <w:r w:rsidR="002D7594">
        <w:t xml:space="preserve"> is a sexual deviant, who is immoral and lowers her purity by her actions and dress. Whereas </w:t>
      </w:r>
      <w:r w:rsidR="00A43E94">
        <w:t xml:space="preserve">Châtillon seems to believe that </w:t>
      </w:r>
      <w:proofErr w:type="spellStart"/>
      <w:r w:rsidR="00A43E94">
        <w:t>Thalestris</w:t>
      </w:r>
      <w:proofErr w:type="spellEnd"/>
      <w:r w:rsidR="00A43E94">
        <w:t xml:space="preserve"> </w:t>
      </w:r>
      <w:r w:rsidR="00674342">
        <w:t xml:space="preserve">is too savage and </w:t>
      </w:r>
      <w:r w:rsidR="00857DBD">
        <w:t xml:space="preserve">fierce for </w:t>
      </w:r>
      <w:r w:rsidR="00665E1B">
        <w:t xml:space="preserve">a woman. </w:t>
      </w:r>
      <w:r w:rsidR="001B0A1E">
        <w:t xml:space="preserve">Both authors are disparaging to </w:t>
      </w:r>
      <w:proofErr w:type="spellStart"/>
      <w:r w:rsidR="001B0A1E">
        <w:t>Thalestris</w:t>
      </w:r>
      <w:proofErr w:type="spellEnd"/>
      <w:r w:rsidR="001B0A1E">
        <w:t xml:space="preserve"> but do so in different ways.</w:t>
      </w:r>
    </w:p>
    <w:p w14:paraId="6B455371" w14:textId="77777777" w:rsidR="003C0346" w:rsidRDefault="003C0346">
      <w:r>
        <w:br w:type="page"/>
      </w:r>
    </w:p>
    <w:p w14:paraId="5491C35B" w14:textId="74B82521" w:rsidR="003C0346" w:rsidRPr="003C0346" w:rsidRDefault="003C0346" w:rsidP="003C0346">
      <w:pPr>
        <w:pStyle w:val="Bibliography"/>
        <w:jc w:val="center"/>
        <w:rPr>
          <w:b/>
          <w:bCs/>
          <w:u w:val="single"/>
        </w:rPr>
      </w:pPr>
      <w:r w:rsidRPr="003C0346">
        <w:rPr>
          <w:b/>
          <w:bCs/>
          <w:sz w:val="28"/>
          <w:szCs w:val="28"/>
          <w:u w:val="single"/>
        </w:rPr>
        <w:lastRenderedPageBreak/>
        <w:t>Bibliography</w:t>
      </w:r>
    </w:p>
    <w:p w14:paraId="625A7354" w14:textId="77777777" w:rsidR="003C0346" w:rsidRDefault="003C0346" w:rsidP="003C0346">
      <w:pPr>
        <w:pStyle w:val="Bibliography"/>
      </w:pPr>
    </w:p>
    <w:p w14:paraId="52E29A5B" w14:textId="77005219" w:rsidR="003C0346" w:rsidRPr="003C0346" w:rsidRDefault="003C0346" w:rsidP="003C0346">
      <w:pPr>
        <w:pStyle w:val="Bibliography"/>
        <w:rPr>
          <w:rFonts w:ascii="Aptos" w:hAnsi="Aptos"/>
        </w:rPr>
      </w:pPr>
      <w:r>
        <w:fldChar w:fldCharType="begin"/>
      </w:r>
      <w:r>
        <w:instrText xml:space="preserve"> ADDIN ZOTERO_BIBL {"uncited":[],"omitted":[],"custom":[]} CSL_BIBLIOGRAPHY </w:instrText>
      </w:r>
      <w:r>
        <w:fldChar w:fldCharType="separate"/>
      </w:r>
      <w:r w:rsidRPr="003C0346">
        <w:rPr>
          <w:rFonts w:ascii="Aptos" w:hAnsi="Aptos"/>
        </w:rPr>
        <w:t xml:space="preserve">Chatillon, Walter, </w:t>
      </w:r>
      <w:r w:rsidRPr="003C0346">
        <w:rPr>
          <w:rFonts w:ascii="Aptos" w:hAnsi="Aptos"/>
          <w:i/>
          <w:iCs/>
        </w:rPr>
        <w:t xml:space="preserve">The </w:t>
      </w:r>
      <w:proofErr w:type="spellStart"/>
      <w:r w:rsidRPr="003C0346">
        <w:rPr>
          <w:rFonts w:ascii="Aptos" w:hAnsi="Aptos"/>
          <w:i/>
          <w:iCs/>
        </w:rPr>
        <w:t>Alexandreis</w:t>
      </w:r>
      <w:proofErr w:type="spellEnd"/>
      <w:r w:rsidRPr="003C0346">
        <w:rPr>
          <w:rFonts w:ascii="Aptos" w:hAnsi="Aptos"/>
          <w:i/>
          <w:iCs/>
        </w:rPr>
        <w:t>: A Twelfth-Century Epic</w:t>
      </w:r>
      <w:r w:rsidRPr="003C0346">
        <w:rPr>
          <w:rFonts w:ascii="Aptos" w:hAnsi="Aptos"/>
        </w:rPr>
        <w:t xml:space="preserve"> (Broadview Press, 2006)</w:t>
      </w:r>
    </w:p>
    <w:p w14:paraId="5A487C29" w14:textId="77777777" w:rsidR="003C0346" w:rsidRPr="003C0346" w:rsidRDefault="003C0346" w:rsidP="003C0346">
      <w:pPr>
        <w:pStyle w:val="Bibliography"/>
        <w:rPr>
          <w:rFonts w:ascii="Aptos" w:hAnsi="Aptos"/>
        </w:rPr>
      </w:pPr>
      <w:r w:rsidRPr="003C0346">
        <w:rPr>
          <w:rFonts w:ascii="Aptos" w:hAnsi="Aptos"/>
        </w:rPr>
        <w:t xml:space="preserve">Hamilton, J. R., ‘The Date of Quintus Curtius Rufus’, </w:t>
      </w:r>
      <w:r w:rsidRPr="003C0346">
        <w:rPr>
          <w:rFonts w:ascii="Aptos" w:hAnsi="Aptos"/>
          <w:i/>
          <w:iCs/>
        </w:rPr>
        <w:t xml:space="preserve">Historia: </w:t>
      </w:r>
      <w:proofErr w:type="spellStart"/>
      <w:r w:rsidRPr="003C0346">
        <w:rPr>
          <w:rFonts w:ascii="Aptos" w:hAnsi="Aptos"/>
          <w:i/>
          <w:iCs/>
        </w:rPr>
        <w:t>Zeitschrift</w:t>
      </w:r>
      <w:proofErr w:type="spellEnd"/>
      <w:r w:rsidRPr="003C0346">
        <w:rPr>
          <w:rFonts w:ascii="Aptos" w:hAnsi="Aptos"/>
          <w:i/>
          <w:iCs/>
        </w:rPr>
        <w:t xml:space="preserve"> Für Alte </w:t>
      </w:r>
      <w:proofErr w:type="spellStart"/>
      <w:r w:rsidRPr="003C0346">
        <w:rPr>
          <w:rFonts w:ascii="Aptos" w:hAnsi="Aptos"/>
          <w:i/>
          <w:iCs/>
        </w:rPr>
        <w:t>Geschichte</w:t>
      </w:r>
      <w:proofErr w:type="spellEnd"/>
      <w:r w:rsidRPr="003C0346">
        <w:rPr>
          <w:rFonts w:ascii="Aptos" w:hAnsi="Aptos"/>
        </w:rPr>
        <w:t>, 37.4 (1988), pp. 445–56</w:t>
      </w:r>
    </w:p>
    <w:p w14:paraId="29D00856" w14:textId="77777777" w:rsidR="003C0346" w:rsidRPr="003C0346" w:rsidRDefault="003C0346" w:rsidP="003C0346">
      <w:pPr>
        <w:pStyle w:val="Bibliography"/>
        <w:rPr>
          <w:rFonts w:ascii="Aptos" w:hAnsi="Aptos"/>
        </w:rPr>
      </w:pPr>
      <w:proofErr w:type="spellStart"/>
      <w:r w:rsidRPr="003C0346">
        <w:rPr>
          <w:rFonts w:ascii="Aptos" w:hAnsi="Aptos"/>
        </w:rPr>
        <w:t>Manuwald</w:t>
      </w:r>
      <w:proofErr w:type="spellEnd"/>
      <w:r w:rsidRPr="003C0346">
        <w:rPr>
          <w:rFonts w:ascii="Aptos" w:hAnsi="Aptos"/>
        </w:rPr>
        <w:t>, Jeffrey Henderson • Gesine, ‘Quintus Curtius Rufus: Book VI: Chapter VI’, Loeb Classical Library, n.d. &lt;https://www-loebclassics-com.uwtsd.idm.oclc.org/view/quintus_curtius-history_alexander/1946/pb_LCL369.49.xml&gt; [accessed 14 January 2026]</w:t>
      </w:r>
    </w:p>
    <w:p w14:paraId="2CDCA41C" w14:textId="77777777" w:rsidR="003C0346" w:rsidRPr="003C0346" w:rsidRDefault="003C0346" w:rsidP="003C0346">
      <w:pPr>
        <w:pStyle w:val="Bibliography"/>
        <w:rPr>
          <w:rFonts w:ascii="Aptos" w:hAnsi="Aptos"/>
        </w:rPr>
      </w:pPr>
      <w:r w:rsidRPr="003C0346">
        <w:rPr>
          <w:rFonts w:ascii="Aptos" w:hAnsi="Aptos"/>
        </w:rPr>
        <w:t xml:space="preserve">Olson, Kelly, ‘Matrona and Whore: The Clothing of Women in Roman Antiquity’, </w:t>
      </w:r>
      <w:r w:rsidRPr="003C0346">
        <w:rPr>
          <w:rFonts w:ascii="Aptos" w:hAnsi="Aptos"/>
          <w:i/>
          <w:iCs/>
        </w:rPr>
        <w:t>Fashion Theory</w:t>
      </w:r>
      <w:r w:rsidRPr="003C0346">
        <w:rPr>
          <w:rFonts w:ascii="Aptos" w:hAnsi="Aptos"/>
        </w:rPr>
        <w:t>, 6.4 (2002), pp. 387–420, doi:10.2752/136270402779615352</w:t>
      </w:r>
    </w:p>
    <w:p w14:paraId="279089FC" w14:textId="77777777" w:rsidR="003C0346" w:rsidRPr="003C0346" w:rsidRDefault="003C0346" w:rsidP="003C0346">
      <w:pPr>
        <w:pStyle w:val="Bibliography"/>
        <w:rPr>
          <w:rFonts w:ascii="Aptos" w:hAnsi="Aptos"/>
        </w:rPr>
      </w:pPr>
      <w:r w:rsidRPr="003C0346">
        <w:rPr>
          <w:rFonts w:ascii="Aptos" w:hAnsi="Aptos"/>
        </w:rPr>
        <w:t xml:space="preserve">Smail, R. C., ‘Latin Syria and the West, 1149–1187’, </w:t>
      </w:r>
      <w:r w:rsidRPr="003C0346">
        <w:rPr>
          <w:rFonts w:ascii="Aptos" w:hAnsi="Aptos"/>
          <w:i/>
          <w:iCs/>
        </w:rPr>
        <w:t>Transactions of the Royal Historical Society</w:t>
      </w:r>
      <w:r w:rsidRPr="003C0346">
        <w:rPr>
          <w:rFonts w:ascii="Aptos" w:hAnsi="Aptos"/>
        </w:rPr>
        <w:t>, 19 (1969), pp. 1–20, doi:10.2307/3678738</w:t>
      </w:r>
    </w:p>
    <w:p w14:paraId="6EE9D1F2" w14:textId="55D7981F" w:rsidR="00911F5B" w:rsidRDefault="003C0346">
      <w:r>
        <w:fldChar w:fldCharType="end"/>
      </w:r>
    </w:p>
    <w:sectPr w:rsidR="00911F5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67355" w14:textId="77777777" w:rsidR="00997354" w:rsidRDefault="00997354" w:rsidP="00997354">
      <w:pPr>
        <w:spacing w:after="0" w:line="240" w:lineRule="auto"/>
      </w:pPr>
      <w:r>
        <w:separator/>
      </w:r>
    </w:p>
  </w:endnote>
  <w:endnote w:type="continuationSeparator" w:id="0">
    <w:p w14:paraId="0E3B6536" w14:textId="77777777" w:rsidR="00997354" w:rsidRDefault="00997354" w:rsidP="00997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4D9FD" w14:textId="77777777" w:rsidR="00997354" w:rsidRDefault="00997354" w:rsidP="00997354">
      <w:pPr>
        <w:spacing w:after="0" w:line="240" w:lineRule="auto"/>
      </w:pPr>
      <w:r>
        <w:separator/>
      </w:r>
    </w:p>
  </w:footnote>
  <w:footnote w:type="continuationSeparator" w:id="0">
    <w:p w14:paraId="61D89839" w14:textId="77777777" w:rsidR="00997354" w:rsidRDefault="00997354" w:rsidP="00997354">
      <w:pPr>
        <w:spacing w:after="0" w:line="240" w:lineRule="auto"/>
      </w:pPr>
      <w:r>
        <w:continuationSeparator/>
      </w:r>
    </w:p>
  </w:footnote>
  <w:footnote w:id="1">
    <w:p w14:paraId="0C458E79" w14:textId="3160BD1E" w:rsidR="00997354" w:rsidRDefault="00997354">
      <w:pPr>
        <w:pStyle w:val="FootnoteText"/>
      </w:pPr>
      <w:r>
        <w:rPr>
          <w:rStyle w:val="FootnoteReference"/>
        </w:rPr>
        <w:footnoteRef/>
      </w:r>
      <w:r>
        <w:t xml:space="preserve"> </w:t>
      </w:r>
      <w:r>
        <w:fldChar w:fldCharType="begin"/>
      </w:r>
      <w:r>
        <w:instrText xml:space="preserve"> ADDIN ZOTERO_ITEM CSL_CITATION {"citationID":"fqJiiCNV","properties":{"formattedCitation":"Jeffrey Henderson \\uc0\\u8226{} Gesine Manuwald, \\uc0\\u8216{}Quintus Curtius Rufus: Book VI: Chapter VI\\uc0\\u8217{}, Loeb Classical Library, n.d. &lt;https://www-loebclassics-com.uwtsd.idm.oclc.org/view/quintus_curtius-history_alexander/1946/pb_LCL369.49.xml&gt; [accessed 14 January 2026].","plainCitation":"Jeffrey Henderson • Gesine Manuwald, ‘Quintus Curtius Rufus: Book VI: Chapter VI’, Loeb Classical Library, n.d. &lt;https://www-loebclassics-com.uwtsd.idm.oclc.org/view/quintus_curtius-history_alexander/1946/pb_LCL369.49.xml&gt; [accessed 14 January 2026].","noteIndex":1},"citationItems":[{"id":48,"uris":["http://zotero.org/users/local/iOIivr2j/items/E9X3BW4E"],"itemData":{"id":48,"type":"webpage","abstract":"&lt;?xml version=\"1.0\" encoding=\"utf-8\"?&gt;right is seared, in order that they may more easily stretch their bows and hurl their spears.With fearless expression Thalestris gazed at the king, carefully surveying his person, which did not by an...","container-title":"Loeb Classical Library","language":"en","title":"Quintus Curtius Rufus: Book VI: Chapter VI","title-short":"Quintus Curtius Rufus","URL":"https://www-loebclassics-com.uwtsd.idm.oclc.org/view/quintus_curtius-history_alexander/1946/pb_LCL369.49.xml","author":[{"family":"Manuwald","given":"Jeffrey Henderson • Gesine"}],"accessed":{"date-parts":[["2026",1,14]]}}}],"schema":"https://github.com/citation-style-language/schema/raw/master/csl-citation.json"} </w:instrText>
      </w:r>
      <w:r>
        <w:fldChar w:fldCharType="separate"/>
      </w:r>
      <w:r w:rsidRPr="00997354">
        <w:rPr>
          <w:rFonts w:ascii="Aptos" w:hAnsi="Aptos" w:cs="Times New Roman"/>
        </w:rPr>
        <w:t>Jeffrey Henderson • Gesine Manuwald, ‘Quintus Curtius Rufus: Book VI: Chapter VI’, Loeb Classical Library, n.d. &lt;https://www-loebclassics-com.uwtsd.idm.oclc.org/view/quintus_curtius-history_alexander/1946/pb_LCL369.49.xml&gt; [accessed 14 January 2026].</w:t>
      </w:r>
      <w:r>
        <w:fldChar w:fldCharType="end"/>
      </w:r>
    </w:p>
  </w:footnote>
  <w:footnote w:id="2">
    <w:p w14:paraId="67C65251" w14:textId="5E846563" w:rsidR="00560027" w:rsidRDefault="00560027">
      <w:pPr>
        <w:pStyle w:val="FootnoteText"/>
      </w:pPr>
      <w:r>
        <w:rPr>
          <w:rStyle w:val="FootnoteReference"/>
        </w:rPr>
        <w:footnoteRef/>
      </w:r>
      <w:r>
        <w:t xml:space="preserve"> </w:t>
      </w:r>
      <w:r>
        <w:fldChar w:fldCharType="begin"/>
      </w:r>
      <w:r>
        <w:instrText xml:space="preserve"> ADDIN ZOTERO_ITEM CSL_CITATION {"citationID":"gQcmYelh","properties":{"formattedCitation":"J. R. Hamilton, \\uc0\\u8216{}The Date of Quintus Curtius Rufus\\uc0\\u8217{}, {\\i{}Historia: Zeitschrift F\\uc0\\u252{}r Alte Geschichte}, 37.4 (1988), pp. 445\\uc0\\u8211{}56.","plainCitation":"J. R. Hamilton, ‘The Date of Quintus Curtius Rufus’, Historia: Zeitschrift Für Alte Geschichte, 37.4 (1988), pp. 445–56.","noteIndex":2},"citationItems":[{"id":57,"uris":["http://zotero.org/users/local/iOIivr2j/items/DUP8BUD2"],"itemData":{"id":57,"type":"article-journal","container-title":"Historia: Zeitschrift für Alte Geschichte","ISSN":"0018-2311","issue":"4","page":"445-456","publisher":"Franz Steiner Verlag","source":"JSTOR","title":"The Date of Quintus Curtius Rufus","volume":"37","author":[{"family":"Hamilton","given":"J. R."}],"issued":{"date-parts":[["1988"]]}}}],"schema":"https://github.com/citation-style-language/schema/raw/master/csl-citation.json"} </w:instrText>
      </w:r>
      <w:r>
        <w:fldChar w:fldCharType="separate"/>
      </w:r>
      <w:r w:rsidRPr="00560027">
        <w:rPr>
          <w:rFonts w:ascii="Aptos" w:hAnsi="Aptos" w:cs="Times New Roman"/>
        </w:rPr>
        <w:t xml:space="preserve">J. R. Hamilton, ‘The Date of Quintus Curtius Rufus’, </w:t>
      </w:r>
      <w:r w:rsidRPr="00560027">
        <w:rPr>
          <w:rFonts w:ascii="Aptos" w:hAnsi="Aptos" w:cs="Times New Roman"/>
          <w:i/>
          <w:iCs/>
        </w:rPr>
        <w:t xml:space="preserve">Historia: </w:t>
      </w:r>
      <w:proofErr w:type="spellStart"/>
      <w:r w:rsidRPr="00560027">
        <w:rPr>
          <w:rFonts w:ascii="Aptos" w:hAnsi="Aptos" w:cs="Times New Roman"/>
          <w:i/>
          <w:iCs/>
        </w:rPr>
        <w:t>Zeitschrift</w:t>
      </w:r>
      <w:proofErr w:type="spellEnd"/>
      <w:r w:rsidRPr="00560027">
        <w:rPr>
          <w:rFonts w:ascii="Aptos" w:hAnsi="Aptos" w:cs="Times New Roman"/>
          <w:i/>
          <w:iCs/>
        </w:rPr>
        <w:t xml:space="preserve"> Für Alte </w:t>
      </w:r>
      <w:proofErr w:type="spellStart"/>
      <w:r w:rsidRPr="00560027">
        <w:rPr>
          <w:rFonts w:ascii="Aptos" w:hAnsi="Aptos" w:cs="Times New Roman"/>
          <w:i/>
          <w:iCs/>
        </w:rPr>
        <w:t>Geschichte</w:t>
      </w:r>
      <w:proofErr w:type="spellEnd"/>
      <w:r w:rsidRPr="00560027">
        <w:rPr>
          <w:rFonts w:ascii="Aptos" w:hAnsi="Aptos" w:cs="Times New Roman"/>
        </w:rPr>
        <w:t>, 37.4 (1988), pp. 445–56.</w:t>
      </w:r>
      <w:r>
        <w:fldChar w:fldCharType="end"/>
      </w:r>
    </w:p>
  </w:footnote>
  <w:footnote w:id="3">
    <w:p w14:paraId="604B29E9" w14:textId="0AEF990D" w:rsidR="00560027" w:rsidRDefault="00560027">
      <w:pPr>
        <w:pStyle w:val="FootnoteText"/>
      </w:pPr>
      <w:r>
        <w:rPr>
          <w:rStyle w:val="FootnoteReference"/>
        </w:rPr>
        <w:footnoteRef/>
      </w:r>
      <w:r>
        <w:t xml:space="preserve"> </w:t>
      </w:r>
      <w:r>
        <w:fldChar w:fldCharType="begin"/>
      </w:r>
      <w:r>
        <w:instrText xml:space="preserve"> ADDIN ZOTERO_ITEM CSL_CITATION {"citationID":"AXIfWlqT","properties":{"formattedCitation":"Kelly Olson, \\uc0\\u8216{}Matrona and Whore: The Clothing of Women in Roman Antiquity\\uc0\\u8217{}, {\\i{}Fashion Theory}, 6.4 (2002), pp. 387\\uc0\\u8211{}420, doi:10.2752/136270402779615352.","plainCitation":"Kelly Olson, ‘Matrona and Whore: The Clothing of Women in Roman Antiquity’, Fashion Theory, 6.4 (2002), pp. 387–420, doi:10.2752/136270402779615352.","noteIndex":3},"citationItems":[{"id":61,"uris":["http://zotero.org/users/local/iOIivr2j/items/F3CWEQJU"],"itemData":{"id":61,"type":"article-journal","container-title":"Fashion Theory","DOI":"10.2752/136270402779615352","ISSN":"1362-704X, 1751-7419","issue":"4","journalAbbreviation":"Fashion Theory","language":"en","page":"387-420","source":"DOI.org (Crossref)","title":"Matrona and Whore: The Clothing of Women in Roman Antiquity","title-short":"&lt;i&gt;Matrona&lt;/i&gt; and Whore","volume":"6","author":[{"family":"Olson","given":"Kelly"}],"issued":{"date-parts":[["2002",11]]}}}],"schema":"https://github.com/citation-style-language/schema/raw/master/csl-citation.json"} </w:instrText>
      </w:r>
      <w:r>
        <w:fldChar w:fldCharType="separate"/>
      </w:r>
      <w:r w:rsidRPr="00560027">
        <w:rPr>
          <w:rFonts w:ascii="Aptos" w:hAnsi="Aptos" w:cs="Times New Roman"/>
        </w:rPr>
        <w:t xml:space="preserve">Kelly Olson, ‘Matrona and Whore: The Clothing of Women in Roman Antiquity’, </w:t>
      </w:r>
      <w:r w:rsidRPr="00560027">
        <w:rPr>
          <w:rFonts w:ascii="Aptos" w:hAnsi="Aptos" w:cs="Times New Roman"/>
          <w:i/>
          <w:iCs/>
        </w:rPr>
        <w:t>Fashion Theory</w:t>
      </w:r>
      <w:r w:rsidRPr="00560027">
        <w:rPr>
          <w:rFonts w:ascii="Aptos" w:hAnsi="Aptos" w:cs="Times New Roman"/>
        </w:rPr>
        <w:t>, 6.4 (2002), pp. 387–420, doi:10.2752/136270402779615352.</w:t>
      </w:r>
      <w:r>
        <w:fldChar w:fldCharType="end"/>
      </w:r>
    </w:p>
  </w:footnote>
  <w:footnote w:id="4">
    <w:p w14:paraId="35D70D52" w14:textId="28B4F7EB" w:rsidR="00C2099D" w:rsidRDefault="00C2099D">
      <w:pPr>
        <w:pStyle w:val="FootnoteText"/>
      </w:pPr>
      <w:r>
        <w:rPr>
          <w:rStyle w:val="FootnoteReference"/>
        </w:rPr>
        <w:footnoteRef/>
      </w:r>
      <w:r>
        <w:t xml:space="preserve"> </w:t>
      </w:r>
      <w:r>
        <w:fldChar w:fldCharType="begin"/>
      </w:r>
      <w:r>
        <w:instrText xml:space="preserve"> ADDIN ZOTERO_ITEM CSL_CITATION {"citationID":"FcUNA3v8","properties":{"formattedCitation":"Olson, \\uc0\\u8216{}{\\i{}Matrona} and Whore\\uc0\\u8217{}.","plainCitation":"Olson, ‘Matrona and Whore’.","noteIndex":4},"citationItems":[{"id":61,"uris":["http://zotero.org/users/local/iOIivr2j/items/F3CWEQJU"],"itemData":{"id":61,"type":"article-journal","container-title":"Fashion Theory","DOI":"10.2752/136270402779615352","ISSN":"1362-704X, 1751-7419","issue":"4","journalAbbreviation":"Fashion Theory","language":"en","page":"387-420","source":"DOI.org (Crossref)","title":"Matrona and Whore: The Clothing of Women in Roman Antiquity","title-short":"&lt;i&gt;Matrona&lt;/i&gt; and Whore","volume":"6","author":[{"family":"Olson","given":"Kelly"}],"issued":{"date-parts":[["2002",11]]}}}],"schema":"https://github.com/citation-style-language/schema/raw/master/csl-citation.json"} </w:instrText>
      </w:r>
      <w:r>
        <w:fldChar w:fldCharType="separate"/>
      </w:r>
      <w:r w:rsidRPr="00C2099D">
        <w:rPr>
          <w:rFonts w:ascii="Aptos" w:hAnsi="Aptos" w:cs="Times New Roman"/>
        </w:rPr>
        <w:t>Olson, ‘</w:t>
      </w:r>
      <w:r w:rsidRPr="00C2099D">
        <w:rPr>
          <w:rFonts w:ascii="Aptos" w:hAnsi="Aptos" w:cs="Times New Roman"/>
          <w:i/>
          <w:iCs/>
        </w:rPr>
        <w:t>Matrona</w:t>
      </w:r>
      <w:r w:rsidRPr="00C2099D">
        <w:rPr>
          <w:rFonts w:ascii="Aptos" w:hAnsi="Aptos" w:cs="Times New Roman"/>
        </w:rPr>
        <w:t xml:space="preserve"> and Whore’.</w:t>
      </w:r>
      <w:r>
        <w:fldChar w:fldCharType="end"/>
      </w:r>
    </w:p>
  </w:footnote>
  <w:footnote w:id="5">
    <w:p w14:paraId="1E6B4227" w14:textId="60FEEF8F" w:rsidR="00BE7DB9" w:rsidRDefault="00BE7DB9">
      <w:pPr>
        <w:pStyle w:val="FootnoteText"/>
      </w:pPr>
      <w:r>
        <w:rPr>
          <w:rStyle w:val="FootnoteReference"/>
        </w:rPr>
        <w:footnoteRef/>
      </w:r>
      <w:r>
        <w:t xml:space="preserve"> </w:t>
      </w:r>
      <w:r>
        <w:fldChar w:fldCharType="begin"/>
      </w:r>
      <w:r>
        <w:instrText xml:space="preserve"> ADDIN ZOTERO_ITEM CSL_CITATION {"citationID":"Lv6GAYOM","properties":{"formattedCitation":"Walter Chatillon, {\\i{}The Alexandreis: A Twelfth-Century Epic} (Broadview Press, 2006).","plainCitation":"Walter Chatillon, The Alexandreis: A Twelfth-Century Epic (Broadview Press, 2006).","noteIndex":5},"citationItems":[{"id":59,"uris":["http://zotero.org/users/local/iOIivr2j/items/BJM3M8UY"],"itemData":{"id":59,"type":"book","abstract":"Walter of Châtillon’s Latin epic on the life of Alexander the Great was a twelfth- and thirteenth-century “best-seller:” scribes produced over two hundred manuscripts. The poem follows Alexander from his first successes in Asia Minor, through his conquest of Persia and India, to his progressive moral degeneration and his poisoning by a disaffected lieutenant. The Alexandreis exemplifies twelfth-century discourses of world domination and the exoticism of the East. But at the same time it calls such dreams of mastery into question, repeatedly undercutting as it does Alexander’s claims to heroism and virtue and by extension, similar claims by the great men of Walter’s own generation. This extraordinarily layered and subtle poem stands as a high-water mark of the medieval tradition of Latin narrative literature.   Along with David Townsend’s revised translation, this edition provides a rich selection of historical documents, including other writings by Walter of Châtillon, excerpts from other medieval Latin epics, and contemporary accounts of the foreign and “exotic.”","ISBN":"978-1-77048-067-4","language":"en","note":"Google-Books-ID: kh47_xfyU2wC","number-of-pages":"288","publisher":"Broadview Press","source":"Google Books","title":"The Alexandreis: A Twelfth-Century Epic","title-short":"The Alexandreis","author":[{"family":"Chatillon","given":"Walter"}],"issued":{"date-parts":[["2006",10,16]]}}}],"schema":"https://github.com/citation-style-language/schema/raw/master/csl-citation.json"} </w:instrText>
      </w:r>
      <w:r>
        <w:fldChar w:fldCharType="separate"/>
      </w:r>
      <w:r w:rsidRPr="00BE7DB9">
        <w:rPr>
          <w:rFonts w:ascii="Aptos" w:hAnsi="Aptos" w:cs="Times New Roman"/>
        </w:rPr>
        <w:t xml:space="preserve">Walter Chatillon, </w:t>
      </w:r>
      <w:r w:rsidRPr="00BE7DB9">
        <w:rPr>
          <w:rFonts w:ascii="Aptos" w:hAnsi="Aptos" w:cs="Times New Roman"/>
          <w:i/>
          <w:iCs/>
        </w:rPr>
        <w:t xml:space="preserve">The </w:t>
      </w:r>
      <w:proofErr w:type="spellStart"/>
      <w:r w:rsidRPr="00BE7DB9">
        <w:rPr>
          <w:rFonts w:ascii="Aptos" w:hAnsi="Aptos" w:cs="Times New Roman"/>
          <w:i/>
          <w:iCs/>
        </w:rPr>
        <w:t>Alexandreis</w:t>
      </w:r>
      <w:proofErr w:type="spellEnd"/>
      <w:r w:rsidRPr="00BE7DB9">
        <w:rPr>
          <w:rFonts w:ascii="Aptos" w:hAnsi="Aptos" w:cs="Times New Roman"/>
          <w:i/>
          <w:iCs/>
        </w:rPr>
        <w:t>: A Twelfth-Century Epic</w:t>
      </w:r>
      <w:r w:rsidRPr="00BE7DB9">
        <w:rPr>
          <w:rFonts w:ascii="Aptos" w:hAnsi="Aptos" w:cs="Times New Roman"/>
        </w:rPr>
        <w:t xml:space="preserve"> (Broadview Press, 2006).</w:t>
      </w:r>
      <w:r>
        <w:fldChar w:fldCharType="end"/>
      </w:r>
    </w:p>
  </w:footnote>
  <w:footnote w:id="6">
    <w:p w14:paraId="3D41237E" w14:textId="4BBFE834" w:rsidR="00BE7DB9" w:rsidRDefault="00BE7DB9">
      <w:pPr>
        <w:pStyle w:val="FootnoteText"/>
      </w:pPr>
      <w:r>
        <w:rPr>
          <w:rStyle w:val="FootnoteReference"/>
        </w:rPr>
        <w:footnoteRef/>
      </w:r>
      <w:r>
        <w:t xml:space="preserve"> </w:t>
      </w:r>
      <w:r>
        <w:fldChar w:fldCharType="begin"/>
      </w:r>
      <w:r>
        <w:instrText xml:space="preserve"> ADDIN ZOTERO_ITEM CSL_CITATION {"citationID":"QOATHdBG","properties":{"formattedCitation":"Chatillon, {\\i{}The Alexandreis}.","plainCitation":"Chatillon, The Alexandreis.","noteIndex":6},"citationItems":[{"id":59,"uris":["http://zotero.org/users/local/iOIivr2j/items/BJM3M8UY"],"itemData":{"id":59,"type":"book","abstract":"Walter of Châtillon’s Latin epic on the life of Alexander the Great was a twelfth- and thirteenth-century “best-seller:” scribes produced over two hundred manuscripts. The poem follows Alexander from his first successes in Asia Minor, through his conquest of Persia and India, to his progressive moral degeneration and his poisoning by a disaffected lieutenant. The Alexandreis exemplifies twelfth-century discourses of world domination and the exoticism of the East. But at the same time it calls such dreams of mastery into question, repeatedly undercutting as it does Alexander’s claims to heroism and virtue and by extension, similar claims by the great men of Walter’s own generation. This extraordinarily layered and subtle poem stands as a high-water mark of the medieval tradition of Latin narrative literature.   Along with David Townsend’s revised translation, this edition provides a rich selection of historical documents, including other writings by Walter of Châtillon, excerpts from other medieval Latin epics, and contemporary accounts of the foreign and “exotic.”","ISBN":"978-1-77048-067-4","language":"en","note":"Google-Books-ID: kh47_xfyU2wC","number-of-pages":"288","publisher":"Broadview Press","source":"Google Books","title":"The Alexandreis: A Twelfth-Century Epic","title-short":"The Alexandreis","author":[{"family":"Chatillon","given":"Walter"}],"issued":{"date-parts":[["2006",10,16]]}}}],"schema":"https://github.com/citation-style-language/schema/raw/master/csl-citation.json"} </w:instrText>
      </w:r>
      <w:r>
        <w:fldChar w:fldCharType="separate"/>
      </w:r>
      <w:r w:rsidRPr="00BE7DB9">
        <w:rPr>
          <w:rFonts w:ascii="Aptos" w:hAnsi="Aptos" w:cs="Times New Roman"/>
        </w:rPr>
        <w:t xml:space="preserve">Chatillon, </w:t>
      </w:r>
      <w:r w:rsidRPr="00BE7DB9">
        <w:rPr>
          <w:rFonts w:ascii="Aptos" w:hAnsi="Aptos" w:cs="Times New Roman"/>
          <w:i/>
          <w:iCs/>
        </w:rPr>
        <w:t xml:space="preserve">The </w:t>
      </w:r>
      <w:proofErr w:type="spellStart"/>
      <w:r w:rsidRPr="00BE7DB9">
        <w:rPr>
          <w:rFonts w:ascii="Aptos" w:hAnsi="Aptos" w:cs="Times New Roman"/>
          <w:i/>
          <w:iCs/>
        </w:rPr>
        <w:t>Alexandreis</w:t>
      </w:r>
      <w:proofErr w:type="spellEnd"/>
      <w:r w:rsidRPr="00BE7DB9">
        <w:rPr>
          <w:rFonts w:ascii="Aptos" w:hAnsi="Aptos" w:cs="Times New Roman"/>
        </w:rPr>
        <w:t>.</w:t>
      </w:r>
      <w:r>
        <w:fldChar w:fldCharType="end"/>
      </w:r>
    </w:p>
  </w:footnote>
  <w:footnote w:id="7">
    <w:p w14:paraId="28A034BB" w14:textId="3EE674E7" w:rsidR="003C0346" w:rsidRDefault="003C0346">
      <w:pPr>
        <w:pStyle w:val="FootnoteText"/>
      </w:pPr>
      <w:r>
        <w:rPr>
          <w:rStyle w:val="FootnoteReference"/>
        </w:rPr>
        <w:footnoteRef/>
      </w:r>
      <w:r>
        <w:t xml:space="preserve"> </w:t>
      </w:r>
      <w:r>
        <w:fldChar w:fldCharType="begin"/>
      </w:r>
      <w:r>
        <w:instrText xml:space="preserve"> ADDIN ZOTERO_ITEM CSL_CITATION {"citationID":"4p9Jc2DG","properties":{"formattedCitation":"Chatillon, {\\i{}The Alexandreis}.","plainCitation":"Chatillon, The Alexandreis.","noteIndex":7},"citationItems":[{"id":59,"uris":["http://zotero.org/users/local/iOIivr2j/items/BJM3M8UY"],"itemData":{"id":59,"type":"book","abstract":"Walter of Châtillon’s Latin epic on the life of Alexander the Great was a twelfth- and thirteenth-century “best-seller:” scribes produced over two hundred manuscripts. The poem follows Alexander from his first successes in Asia Minor, through his conquest of Persia and India, to his progressive moral degeneration and his poisoning by a disaffected lieutenant. The Alexandreis exemplifies twelfth-century discourses of world domination and the exoticism of the East. But at the same time it calls such dreams of mastery into question, repeatedly undercutting as it does Alexander’s claims to heroism and virtue and by extension, similar claims by the great men of Walter’s own generation. This extraordinarily layered and subtle poem stands as a high-water mark of the medieval tradition of Latin narrative literature.   Along with David Townsend’s revised translation, this edition provides a rich selection of historical documents, including other writings by Walter of Châtillon, excerpts from other medieval Latin epics, and contemporary accounts of the foreign and “exotic.”","ISBN":"978-1-77048-067-4","language":"en","note":"Google-Books-ID: kh47_xfyU2wC","number-of-pages":"288","publisher":"Broadview Press","source":"Google Books","title":"The Alexandreis: A Twelfth-Century Epic","title-short":"The Alexandreis","author":[{"family":"Chatillon","given":"Walter"}],"issued":{"date-parts":[["2006",10,16]]}}}],"schema":"https://github.com/citation-style-language/schema/raw/master/csl-citation.json"} </w:instrText>
      </w:r>
      <w:r>
        <w:fldChar w:fldCharType="separate"/>
      </w:r>
      <w:r w:rsidRPr="003C0346">
        <w:rPr>
          <w:rFonts w:ascii="Aptos" w:hAnsi="Aptos" w:cs="Times New Roman"/>
        </w:rPr>
        <w:t xml:space="preserve">Chatillon, </w:t>
      </w:r>
      <w:r w:rsidRPr="003C0346">
        <w:rPr>
          <w:rFonts w:ascii="Aptos" w:hAnsi="Aptos" w:cs="Times New Roman"/>
          <w:i/>
          <w:iCs/>
        </w:rPr>
        <w:t xml:space="preserve">The </w:t>
      </w:r>
      <w:proofErr w:type="spellStart"/>
      <w:r w:rsidRPr="003C0346">
        <w:rPr>
          <w:rFonts w:ascii="Aptos" w:hAnsi="Aptos" w:cs="Times New Roman"/>
          <w:i/>
          <w:iCs/>
        </w:rPr>
        <w:t>Alexandreis</w:t>
      </w:r>
      <w:proofErr w:type="spellEnd"/>
      <w:r w:rsidRPr="003C0346">
        <w:rPr>
          <w:rFonts w:ascii="Aptos" w:hAnsi="Aptos" w:cs="Times New Roman"/>
        </w:rPr>
        <w:t>.</w:t>
      </w:r>
      <w:r>
        <w:fldChar w:fldCharType="end"/>
      </w:r>
    </w:p>
  </w:footnote>
  <w:footnote w:id="8">
    <w:p w14:paraId="175FAD68" w14:textId="06D9EFED" w:rsidR="003C0346" w:rsidRDefault="003C0346">
      <w:pPr>
        <w:pStyle w:val="FootnoteText"/>
      </w:pPr>
      <w:r>
        <w:rPr>
          <w:rStyle w:val="FootnoteReference"/>
        </w:rPr>
        <w:footnoteRef/>
      </w:r>
      <w:r>
        <w:t xml:space="preserve"> </w:t>
      </w:r>
      <w:r>
        <w:fldChar w:fldCharType="begin"/>
      </w:r>
      <w:r>
        <w:instrText xml:space="preserve"> ADDIN ZOTERO_ITEM CSL_CITATION {"citationID":"cChV5EE8","properties":{"formattedCitation":"R. C. Smail, \\uc0\\u8216{}Latin Syria and the West, 1149\\uc0\\u8211{}1187\\uc0\\u8217{}, {\\i{}Transactions of the Royal Historical Society}, 19 (1969), pp. 1\\uc0\\u8211{}20, doi:10.2307/3678738.","plainCitation":"R. C. Smail, ‘Latin Syria and the West, 1149–1187’, Transactions of the Royal Historical Society, 19 (1969), pp. 1–20, doi:10.2307/3678738.","noteIndex":8},"citationItems":[{"id":65,"uris":["http://zotero.org/users/local/iOIivr2j/items/ANK4EVXS"],"itemData":{"id":65,"type":"article-journal","abstract":"Historians of the crusades have given most of their attention to the major crusading expeditions, especially to the first, and to the surface history of the Latin states in Syria, especially to that of the kingdom of Jerusalem. They have shown less interest in those conditions in western Europe from which all crusading activity grew. It is true that the roots of the movement prior to the First Crusade were traced by Erdmann in a magisterial study which remains the most important contribution made to the subject during the present century. But the First Crusade was not the end of the matter. European sentiment about the crusades and the Latin states continued to develop during the twelfth and thirteenth centuries and beyond. Even in the twelfth century there was a body of opinion which was highly critical of crusading activity and this grew in the course of time; but the main weight of conventional opinion in the later twelfth and earlier thirteenth century came to accept the crusade, and the maintenance or recovery of Latin possession of the Holy Places, as a Christian responsibility.","container-title":"Transactions of the Royal Historical Society","DOI":"10.2307/3678738","ISSN":"1474-0648, 0080-4401","language":"en","page":"1-20","source":"Cambridge University Press","title":"Latin Syria and the West, 1149–1187","volume":"19","author":[{"family":"Smail","given":"R. C."}],"issued":{"date-parts":[["1969",12]]}}}],"schema":"https://github.com/citation-style-language/schema/raw/master/csl-citation.json"} </w:instrText>
      </w:r>
      <w:r>
        <w:fldChar w:fldCharType="separate"/>
      </w:r>
      <w:r w:rsidRPr="003C0346">
        <w:rPr>
          <w:rFonts w:ascii="Aptos" w:hAnsi="Aptos" w:cs="Times New Roman"/>
        </w:rPr>
        <w:t xml:space="preserve">R. C. Smail, ‘Latin Syria and the West, 1149–1187’, </w:t>
      </w:r>
      <w:r w:rsidRPr="003C0346">
        <w:rPr>
          <w:rFonts w:ascii="Aptos" w:hAnsi="Aptos" w:cs="Times New Roman"/>
          <w:i/>
          <w:iCs/>
        </w:rPr>
        <w:t>Transactions of the Royal Historical Society</w:t>
      </w:r>
      <w:r w:rsidRPr="003C0346">
        <w:rPr>
          <w:rFonts w:ascii="Aptos" w:hAnsi="Aptos" w:cs="Times New Roman"/>
        </w:rPr>
        <w:t>, 19 (1969), pp. 1–20, doi:10.2307/3678738.</w:t>
      </w:r>
      <w:r>
        <w:fldChar w:fldCharType="end"/>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204BDB"/>
    <w:rsid w:val="00023340"/>
    <w:rsid w:val="0002692A"/>
    <w:rsid w:val="00055FDE"/>
    <w:rsid w:val="000F6017"/>
    <w:rsid w:val="00144DD3"/>
    <w:rsid w:val="001561FA"/>
    <w:rsid w:val="00163B18"/>
    <w:rsid w:val="00173E71"/>
    <w:rsid w:val="001B0A1E"/>
    <w:rsid w:val="001F3920"/>
    <w:rsid w:val="002A198A"/>
    <w:rsid w:val="002D7594"/>
    <w:rsid w:val="00337CF0"/>
    <w:rsid w:val="00385883"/>
    <w:rsid w:val="003A043D"/>
    <w:rsid w:val="003C0346"/>
    <w:rsid w:val="004C3E15"/>
    <w:rsid w:val="005014E4"/>
    <w:rsid w:val="00510FD9"/>
    <w:rsid w:val="00551F93"/>
    <w:rsid w:val="00560027"/>
    <w:rsid w:val="005A11E6"/>
    <w:rsid w:val="00616AEA"/>
    <w:rsid w:val="00665E1B"/>
    <w:rsid w:val="00674342"/>
    <w:rsid w:val="0079329D"/>
    <w:rsid w:val="00842DC1"/>
    <w:rsid w:val="00857DBD"/>
    <w:rsid w:val="0089276B"/>
    <w:rsid w:val="008A7D5A"/>
    <w:rsid w:val="00911F5B"/>
    <w:rsid w:val="00996DE7"/>
    <w:rsid w:val="00997354"/>
    <w:rsid w:val="00A01FCE"/>
    <w:rsid w:val="00A0699F"/>
    <w:rsid w:val="00A43E94"/>
    <w:rsid w:val="00A6419C"/>
    <w:rsid w:val="00A9638A"/>
    <w:rsid w:val="00AA1EA5"/>
    <w:rsid w:val="00AD5D3A"/>
    <w:rsid w:val="00BA1903"/>
    <w:rsid w:val="00BE7DB9"/>
    <w:rsid w:val="00C2099D"/>
    <w:rsid w:val="00C60710"/>
    <w:rsid w:val="00C93FCC"/>
    <w:rsid w:val="00D21E44"/>
    <w:rsid w:val="00D34A6A"/>
    <w:rsid w:val="00D96B06"/>
    <w:rsid w:val="00EA145F"/>
    <w:rsid w:val="00EA2A1C"/>
    <w:rsid w:val="00EE42F6"/>
    <w:rsid w:val="00F163F6"/>
    <w:rsid w:val="00F36BB3"/>
    <w:rsid w:val="00F66B7A"/>
    <w:rsid w:val="086906BB"/>
    <w:rsid w:val="160A7972"/>
    <w:rsid w:val="1835B06F"/>
    <w:rsid w:val="1A204BDB"/>
    <w:rsid w:val="2069ED0A"/>
    <w:rsid w:val="2309CF9A"/>
    <w:rsid w:val="2AEDD00F"/>
    <w:rsid w:val="4013B504"/>
    <w:rsid w:val="441862B4"/>
    <w:rsid w:val="485ECA60"/>
    <w:rsid w:val="52781E74"/>
    <w:rsid w:val="56DBC198"/>
    <w:rsid w:val="5EA6FA1D"/>
    <w:rsid w:val="5FB16A54"/>
    <w:rsid w:val="61415591"/>
    <w:rsid w:val="685DE040"/>
    <w:rsid w:val="6CD2EBFB"/>
    <w:rsid w:val="787681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204BDB"/>
  <w15:chartTrackingRefBased/>
  <w15:docId w15:val="{B0C49221-776B-45E8-B614-38EE6A053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973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354"/>
    <w:rPr>
      <w:sz w:val="20"/>
      <w:szCs w:val="20"/>
    </w:rPr>
  </w:style>
  <w:style w:type="character" w:styleId="FootnoteReference">
    <w:name w:val="footnote reference"/>
    <w:basedOn w:val="DefaultParagraphFont"/>
    <w:uiPriority w:val="99"/>
    <w:semiHidden/>
    <w:unhideWhenUsed/>
    <w:rsid w:val="00997354"/>
    <w:rPr>
      <w:vertAlign w:val="superscript"/>
    </w:rPr>
  </w:style>
  <w:style w:type="paragraph" w:styleId="Bibliography">
    <w:name w:val="Bibliography"/>
    <w:basedOn w:val="Normal"/>
    <w:next w:val="Normal"/>
    <w:uiPriority w:val="37"/>
    <w:unhideWhenUsed/>
    <w:rsid w:val="003C0346"/>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686</Words>
  <Characters>3523</Characters>
  <Application>Microsoft Office Word</Application>
  <DocSecurity>0</DocSecurity>
  <Lines>52</Lines>
  <Paragraphs>7</Paragraphs>
  <ScaleCrop>false</ScaleCrop>
  <Company/>
  <LinksUpToDate>false</LinksUpToDate>
  <CharactersWithSpaces>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2026-02-01T15:51:00Z</dcterms:created>
  <dcterms:modified xsi:type="dcterms:W3CDTF">2026-02-01T15:51:00Z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id="uEXXBbDd"/&gt;&lt;style id="http://www.zotero.org/styles/mhra-notes" hasBibliography="1" bibliographyStyleHasBeenSet="1"/&gt;&lt;prefs&gt;&lt;pref name="fieldType" value="Field"/&gt;&lt;pref name="noteType" value="1"/&gt;&lt;</vt:lpwstr>
  </property>
  <property fmtid="{D5CDD505-2E9C-101B-9397-08002B2CF9AE}" pid="3" name="ZOTERO_PREF_2">
    <vt:lpwstr>/prefs&gt;&lt;/data&gt;</vt:lpwstr>
  </property>
</Properties>
</file>