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50E43" w14:textId="23A5C68D" w:rsidR="00DB5F39" w:rsidRPr="00DB5F39" w:rsidRDefault="009B2A72" w:rsidP="00DB5F39">
      <w:pPr>
        <w:spacing w:after="0" w:line="360" w:lineRule="auto"/>
        <w:jc w:val="center"/>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299"/>
                              <w:gridCol w:w="2588"/>
                            </w:tblGrid>
                            <w:tr w:rsidR="00CD71D3" w14:paraId="4D67C6E0" w14:textId="77777777" w:rsidTr="000221DF">
                              <w:trPr>
                                <w:trHeight w:val="10470"/>
                                <w:jc w:val="center"/>
                              </w:trPr>
                              <w:tc>
                                <w:tcPr>
                                  <w:tcW w:w="2532" w:type="pct"/>
                                  <w:vAlign w:val="center"/>
                                </w:tcPr>
                                <w:sdt>
                                  <w:sdtPr>
                                    <w:rPr>
                                      <w:rFonts w:ascii="Arial" w:eastAsiaTheme="minorHAnsi" w:hAnsi="Arial" w:cs="Arial"/>
                                      <w:b/>
                                      <w:sz w:val="46"/>
                                      <w:szCs w:val="46"/>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1CDEEF9D" w:rsidR="00CD71D3" w:rsidRPr="00B61123" w:rsidRDefault="00B61123" w:rsidP="00F0505E">
                                      <w:pPr>
                                        <w:pStyle w:val="NoSpacing"/>
                                        <w:spacing w:line="312" w:lineRule="auto"/>
                                        <w:jc w:val="center"/>
                                        <w:rPr>
                                          <w:rFonts w:ascii="Arial" w:hAnsi="Arial" w:cs="Arial"/>
                                          <w:caps/>
                                          <w:sz w:val="46"/>
                                          <w:szCs w:val="46"/>
                                        </w:rPr>
                                      </w:pPr>
                                      <w:r w:rsidRPr="00B61123">
                                        <w:rPr>
                                          <w:rFonts w:ascii="Arial" w:eastAsiaTheme="minorHAnsi" w:hAnsi="Arial" w:cs="Arial"/>
                                          <w:b/>
                                          <w:sz w:val="46"/>
                                          <w:szCs w:val="46"/>
                                        </w:rPr>
                                        <w:t>Research proposal: The role of Copper Mining Companies in the Balkans in Supporting the EU Green Deal – ESG Indicators, Climate risk and Decarbonization Challenges</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2468" w:type="pct"/>
                                  <w:vAlign w:val="center"/>
                                </w:tcPr>
                                <w:p w14:paraId="66F92CB0" w14:textId="77777777" w:rsidR="00CD71D3" w:rsidRDefault="00CD71D3">
                                  <w:pPr>
                                    <w:pStyle w:val="NoSpacing"/>
                                    <w:rPr>
                                      <w:caps/>
                                      <w:color w:val="ED7D31" w:themeColor="accent2"/>
                                      <w:sz w:val="26"/>
                                      <w:szCs w:val="26"/>
                                    </w:rPr>
                                  </w:pPr>
                                </w:p>
                                <w:p w14:paraId="175A66E7" w14:textId="676B1619" w:rsidR="000221DF" w:rsidRDefault="00000000"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00B61123" w:rsidRPr="00475B56">
                                        <w:rPr>
                                          <w:rFonts w:ascii="Arial" w:hAnsi="Arial" w:cs="Arial"/>
                                          <w:sz w:val="32"/>
                                          <w:szCs w:val="32"/>
                                        </w:rPr>
                                        <w:t xml:space="preserve">BA Business Management                Module Code: </w:t>
                                      </w:r>
                                      <w:r w:rsidR="00B61123" w:rsidRPr="006B567E">
                                        <w:rPr>
                                          <w:rFonts w:ascii="Arial" w:hAnsi="Arial" w:cs="Arial"/>
                                          <w:sz w:val="32"/>
                                          <w:szCs w:val="32"/>
                                        </w:rPr>
                                        <w:t>LCBB6000</w:t>
                                      </w:r>
                                      <w:r w:rsidR="00B61123" w:rsidRPr="00475B56">
                                        <w:rPr>
                                          <w:rFonts w:ascii="Arial" w:hAnsi="Arial" w:cs="Arial"/>
                                          <w:sz w:val="32"/>
                                          <w:szCs w:val="32"/>
                                        </w:rPr>
                                        <w:t xml:space="preserve">    Module Lead: </w:t>
                                      </w:r>
                                      <w:r w:rsidR="00B61123" w:rsidRPr="00F4609F">
                                        <w:rPr>
                                          <w:rFonts w:ascii="Arial" w:hAnsi="Arial" w:cs="Arial"/>
                                          <w:sz w:val="32"/>
                                          <w:szCs w:val="32"/>
                                        </w:rPr>
                                        <w:t>Dr Babar Syed</w:t>
                                      </w:r>
                                    </w:sdtContent>
                                  </w:sdt>
                                </w:p>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022A5E80"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386F57AA"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221DF">
                                        <w:rPr>
                                          <w:i/>
                                          <w:sz w:val="28"/>
                                          <w:szCs w:val="28"/>
                                        </w:rPr>
                                        <w:t xml:space="preserve">Student: </w:t>
                                      </w:r>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8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299"/>
                        <w:gridCol w:w="2588"/>
                      </w:tblGrid>
                      <w:tr w:rsidR="00CD71D3" w14:paraId="4D67C6E0" w14:textId="77777777" w:rsidTr="000221DF">
                        <w:trPr>
                          <w:trHeight w:val="10470"/>
                          <w:jc w:val="center"/>
                        </w:trPr>
                        <w:tc>
                          <w:tcPr>
                            <w:tcW w:w="2532" w:type="pct"/>
                            <w:vAlign w:val="center"/>
                          </w:tcPr>
                          <w:sdt>
                            <w:sdtPr>
                              <w:rPr>
                                <w:rFonts w:ascii="Arial" w:eastAsiaTheme="minorHAnsi" w:hAnsi="Arial" w:cs="Arial"/>
                                <w:b/>
                                <w:sz w:val="46"/>
                                <w:szCs w:val="46"/>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1CDEEF9D" w:rsidR="00CD71D3" w:rsidRPr="00B61123" w:rsidRDefault="00B61123" w:rsidP="00F0505E">
                                <w:pPr>
                                  <w:pStyle w:val="NoSpacing"/>
                                  <w:spacing w:line="312" w:lineRule="auto"/>
                                  <w:jc w:val="center"/>
                                  <w:rPr>
                                    <w:rFonts w:ascii="Arial" w:hAnsi="Arial" w:cs="Arial"/>
                                    <w:caps/>
                                    <w:sz w:val="46"/>
                                    <w:szCs w:val="46"/>
                                  </w:rPr>
                                </w:pPr>
                                <w:r w:rsidRPr="00B61123">
                                  <w:rPr>
                                    <w:rFonts w:ascii="Arial" w:eastAsiaTheme="minorHAnsi" w:hAnsi="Arial" w:cs="Arial"/>
                                    <w:b/>
                                    <w:sz w:val="46"/>
                                    <w:szCs w:val="46"/>
                                  </w:rPr>
                                  <w:t>Research proposal: The role of Copper Mining Companies in the Balkans in Supporting the EU Green Deal – ESG Indicators, Climate risk and Decarbonization Challenges</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2468" w:type="pct"/>
                            <w:vAlign w:val="center"/>
                          </w:tcPr>
                          <w:p w14:paraId="66F92CB0" w14:textId="77777777" w:rsidR="00CD71D3" w:rsidRDefault="00CD71D3">
                            <w:pPr>
                              <w:pStyle w:val="NoSpacing"/>
                              <w:rPr>
                                <w:caps/>
                                <w:color w:val="ED7D31" w:themeColor="accent2"/>
                                <w:sz w:val="26"/>
                                <w:szCs w:val="26"/>
                              </w:rPr>
                            </w:pPr>
                          </w:p>
                          <w:p w14:paraId="175A66E7" w14:textId="676B1619" w:rsidR="000221DF" w:rsidRDefault="00000000"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00B61123" w:rsidRPr="00475B56">
                                  <w:rPr>
                                    <w:rFonts w:ascii="Arial" w:hAnsi="Arial" w:cs="Arial"/>
                                    <w:sz w:val="32"/>
                                    <w:szCs w:val="32"/>
                                  </w:rPr>
                                  <w:t xml:space="preserve">BA Business Management                Module Code: </w:t>
                                </w:r>
                                <w:r w:rsidR="00B61123" w:rsidRPr="006B567E">
                                  <w:rPr>
                                    <w:rFonts w:ascii="Arial" w:hAnsi="Arial" w:cs="Arial"/>
                                    <w:sz w:val="32"/>
                                    <w:szCs w:val="32"/>
                                  </w:rPr>
                                  <w:t>LCBB6000</w:t>
                                </w:r>
                                <w:r w:rsidR="00B61123" w:rsidRPr="00475B56">
                                  <w:rPr>
                                    <w:rFonts w:ascii="Arial" w:hAnsi="Arial" w:cs="Arial"/>
                                    <w:sz w:val="32"/>
                                    <w:szCs w:val="32"/>
                                  </w:rPr>
                                  <w:t xml:space="preserve">    Module Lead: </w:t>
                                </w:r>
                                <w:r w:rsidR="00B61123" w:rsidRPr="00F4609F">
                                  <w:rPr>
                                    <w:rFonts w:ascii="Arial" w:hAnsi="Arial" w:cs="Arial"/>
                                    <w:sz w:val="32"/>
                                    <w:szCs w:val="32"/>
                                  </w:rPr>
                                  <w:t>Dr Babar Syed</w:t>
                                </w:r>
                              </w:sdtContent>
                            </w:sdt>
                          </w:p>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022A5E80"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386F57AA"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221DF">
                                  <w:rPr>
                                    <w:i/>
                                    <w:sz w:val="28"/>
                                    <w:szCs w:val="28"/>
                                  </w:rPr>
                                  <w:t xml:space="preserve">Student: </w:t>
                                </w:r>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p w14:paraId="12541BB2"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sdt>
      <w:sdtPr>
        <w:rPr>
          <w:rFonts w:asciiTheme="minorHAnsi" w:eastAsiaTheme="minorHAnsi" w:hAnsiTheme="minorHAnsi" w:cstheme="minorBidi"/>
          <w:color w:val="auto"/>
          <w:sz w:val="22"/>
          <w:szCs w:val="22"/>
        </w:rPr>
        <w:id w:val="-979311499"/>
        <w:docPartObj>
          <w:docPartGallery w:val="Table of Contents"/>
          <w:docPartUnique/>
        </w:docPartObj>
      </w:sdtPr>
      <w:sdtEndPr>
        <w:rPr>
          <w:b/>
          <w:bCs/>
          <w:noProof/>
        </w:rPr>
      </w:sdtEndPr>
      <w:sdtContent>
        <w:p w14:paraId="3ADC3CB6" w14:textId="77777777" w:rsidR="000A172E" w:rsidRDefault="000A172E" w:rsidP="000A172E">
          <w:pPr>
            <w:pStyle w:val="TOCHeading"/>
            <w:spacing w:before="0" w:after="120" w:line="360" w:lineRule="auto"/>
            <w:ind w:firstLine="720"/>
            <w:jc w:val="both"/>
            <w:rPr>
              <w:rFonts w:asciiTheme="minorHAnsi" w:eastAsiaTheme="minorHAnsi" w:hAnsiTheme="minorHAnsi" w:cstheme="minorBidi"/>
              <w:color w:val="auto"/>
              <w:sz w:val="22"/>
              <w:szCs w:val="22"/>
            </w:rPr>
          </w:pPr>
        </w:p>
        <w:p w14:paraId="5D477A1A" w14:textId="3B1BF6EA" w:rsidR="00F26256" w:rsidRDefault="00F26256" w:rsidP="000A172E">
          <w:pPr>
            <w:pStyle w:val="TOCHeading"/>
            <w:spacing w:before="0" w:after="120" w:line="360" w:lineRule="auto"/>
            <w:ind w:firstLine="720"/>
            <w:jc w:val="both"/>
            <w:rPr>
              <w:rFonts w:ascii="Arial" w:hAnsi="Arial" w:cs="Arial"/>
              <w:color w:val="auto"/>
              <w:sz w:val="40"/>
              <w:szCs w:val="40"/>
            </w:rPr>
          </w:pPr>
          <w:r w:rsidRPr="00D1740F">
            <w:rPr>
              <w:rFonts w:ascii="Arial" w:hAnsi="Arial" w:cs="Arial"/>
              <w:color w:val="auto"/>
              <w:sz w:val="40"/>
              <w:szCs w:val="40"/>
            </w:rPr>
            <w:t>Table of Contents</w:t>
          </w:r>
        </w:p>
        <w:p w14:paraId="31CC490C" w14:textId="77777777" w:rsidR="00117B6F" w:rsidRPr="000B0558" w:rsidRDefault="00117B6F" w:rsidP="000B0558">
          <w:pPr>
            <w:spacing w:after="0" w:line="360" w:lineRule="auto"/>
            <w:jc w:val="both"/>
            <w:rPr>
              <w:rFonts w:ascii="Arial" w:hAnsi="Arial" w:cs="Arial"/>
            </w:rPr>
          </w:pPr>
        </w:p>
        <w:p w14:paraId="1A2427C4" w14:textId="77777777" w:rsidR="00F26256" w:rsidRPr="000B0558" w:rsidRDefault="00F26256" w:rsidP="000B0558">
          <w:pPr>
            <w:spacing w:after="0" w:line="360" w:lineRule="auto"/>
            <w:jc w:val="both"/>
            <w:rPr>
              <w:rFonts w:ascii="Arial" w:hAnsi="Arial" w:cs="Arial"/>
            </w:rPr>
          </w:pPr>
        </w:p>
        <w:p w14:paraId="0488A980" w14:textId="7E741FD3" w:rsidR="009B0C8B" w:rsidRDefault="00F26256" w:rsidP="009B0C8B">
          <w:pPr>
            <w:pStyle w:val="TOC1"/>
            <w:rPr>
              <w:rFonts w:eastAsiaTheme="minorEastAsia"/>
              <w:noProof/>
              <w:sz w:val="24"/>
              <w:szCs w:val="24"/>
              <w:lang w:val="bg-BG" w:eastAsia="bg-BG"/>
            </w:rPr>
          </w:pPr>
          <w:r w:rsidRPr="000B0558">
            <w:rPr>
              <w:rFonts w:ascii="Arial" w:hAnsi="Arial" w:cs="Arial"/>
            </w:rPr>
            <w:fldChar w:fldCharType="begin"/>
          </w:r>
          <w:r w:rsidRPr="000B0558">
            <w:rPr>
              <w:rFonts w:ascii="Arial" w:hAnsi="Arial" w:cs="Arial"/>
            </w:rPr>
            <w:instrText xml:space="preserve"> TOC \o "1-3" \h \z \u </w:instrText>
          </w:r>
          <w:r w:rsidRPr="000B0558">
            <w:rPr>
              <w:rFonts w:ascii="Arial" w:hAnsi="Arial" w:cs="Arial"/>
            </w:rPr>
            <w:fldChar w:fldCharType="separate"/>
          </w:r>
          <w:hyperlink w:anchor="_Toc204882500" w:history="1">
            <w:r w:rsidR="009B0C8B" w:rsidRPr="00475C0C">
              <w:rPr>
                <w:rStyle w:val="Hyperlink"/>
                <w:rFonts w:ascii="Arial" w:hAnsi="Arial" w:cs="Arial"/>
                <w:b/>
                <w:bCs/>
                <w:noProof/>
              </w:rPr>
              <w:t>Introduction</w:t>
            </w:r>
            <w:r w:rsidR="009B0C8B">
              <w:rPr>
                <w:noProof/>
                <w:webHidden/>
              </w:rPr>
              <w:tab/>
            </w:r>
            <w:r w:rsidR="009B0C8B">
              <w:rPr>
                <w:noProof/>
                <w:webHidden/>
              </w:rPr>
              <w:fldChar w:fldCharType="begin"/>
            </w:r>
            <w:r w:rsidR="009B0C8B">
              <w:rPr>
                <w:noProof/>
                <w:webHidden/>
              </w:rPr>
              <w:instrText xml:space="preserve"> PAGEREF _Toc204882500 \h </w:instrText>
            </w:r>
            <w:r w:rsidR="009B0C8B">
              <w:rPr>
                <w:noProof/>
                <w:webHidden/>
              </w:rPr>
            </w:r>
            <w:r w:rsidR="009B0C8B">
              <w:rPr>
                <w:noProof/>
                <w:webHidden/>
              </w:rPr>
              <w:fldChar w:fldCharType="separate"/>
            </w:r>
            <w:r w:rsidR="009B0C8B">
              <w:rPr>
                <w:noProof/>
                <w:webHidden/>
              </w:rPr>
              <w:t>2</w:t>
            </w:r>
            <w:r w:rsidR="009B0C8B">
              <w:rPr>
                <w:noProof/>
                <w:webHidden/>
              </w:rPr>
              <w:fldChar w:fldCharType="end"/>
            </w:r>
          </w:hyperlink>
        </w:p>
        <w:p w14:paraId="09DB3599" w14:textId="40CF0A52" w:rsidR="009B0C8B" w:rsidRDefault="009B0C8B" w:rsidP="009B0C8B">
          <w:pPr>
            <w:pStyle w:val="TOC1"/>
            <w:rPr>
              <w:rFonts w:eastAsiaTheme="minorEastAsia"/>
              <w:noProof/>
              <w:sz w:val="24"/>
              <w:szCs w:val="24"/>
              <w:lang w:val="bg-BG" w:eastAsia="bg-BG"/>
            </w:rPr>
          </w:pPr>
          <w:hyperlink w:anchor="_Toc204882501" w:history="1">
            <w:r w:rsidRPr="00475C0C">
              <w:rPr>
                <w:rStyle w:val="Hyperlink"/>
                <w:rFonts w:ascii="Arial" w:hAnsi="Arial" w:cs="Arial"/>
                <w:b/>
                <w:bCs/>
                <w:noProof/>
              </w:rPr>
              <w:t>Aim and Objectives of the Research</w:t>
            </w:r>
            <w:r>
              <w:rPr>
                <w:noProof/>
                <w:webHidden/>
              </w:rPr>
              <w:tab/>
            </w:r>
            <w:r>
              <w:rPr>
                <w:noProof/>
                <w:webHidden/>
              </w:rPr>
              <w:fldChar w:fldCharType="begin"/>
            </w:r>
            <w:r>
              <w:rPr>
                <w:noProof/>
                <w:webHidden/>
              </w:rPr>
              <w:instrText xml:space="preserve"> PAGEREF _Toc204882501 \h </w:instrText>
            </w:r>
            <w:r>
              <w:rPr>
                <w:noProof/>
                <w:webHidden/>
              </w:rPr>
            </w:r>
            <w:r>
              <w:rPr>
                <w:noProof/>
                <w:webHidden/>
              </w:rPr>
              <w:fldChar w:fldCharType="separate"/>
            </w:r>
            <w:r>
              <w:rPr>
                <w:noProof/>
                <w:webHidden/>
              </w:rPr>
              <w:t>3</w:t>
            </w:r>
            <w:r>
              <w:rPr>
                <w:noProof/>
                <w:webHidden/>
              </w:rPr>
              <w:fldChar w:fldCharType="end"/>
            </w:r>
          </w:hyperlink>
        </w:p>
        <w:p w14:paraId="39A3D47F" w14:textId="60E2693D" w:rsidR="009B0C8B" w:rsidRDefault="009B0C8B" w:rsidP="009B0C8B">
          <w:pPr>
            <w:pStyle w:val="TOC1"/>
            <w:rPr>
              <w:rFonts w:eastAsiaTheme="minorEastAsia"/>
              <w:noProof/>
              <w:sz w:val="24"/>
              <w:szCs w:val="24"/>
              <w:lang w:val="bg-BG" w:eastAsia="bg-BG"/>
            </w:rPr>
          </w:pPr>
          <w:hyperlink w:anchor="_Toc204882502" w:history="1">
            <w:r w:rsidRPr="00475C0C">
              <w:rPr>
                <w:rStyle w:val="Hyperlink"/>
                <w:rFonts w:ascii="Arial" w:hAnsi="Arial" w:cs="Arial"/>
                <w:b/>
                <w:bCs/>
                <w:noProof/>
              </w:rPr>
              <w:t>Research Questions:</w:t>
            </w:r>
            <w:r>
              <w:rPr>
                <w:noProof/>
                <w:webHidden/>
              </w:rPr>
              <w:tab/>
            </w:r>
            <w:r>
              <w:rPr>
                <w:noProof/>
                <w:webHidden/>
              </w:rPr>
              <w:fldChar w:fldCharType="begin"/>
            </w:r>
            <w:r>
              <w:rPr>
                <w:noProof/>
                <w:webHidden/>
              </w:rPr>
              <w:instrText xml:space="preserve"> PAGEREF _Toc204882502 \h </w:instrText>
            </w:r>
            <w:r>
              <w:rPr>
                <w:noProof/>
                <w:webHidden/>
              </w:rPr>
            </w:r>
            <w:r>
              <w:rPr>
                <w:noProof/>
                <w:webHidden/>
              </w:rPr>
              <w:fldChar w:fldCharType="separate"/>
            </w:r>
            <w:r>
              <w:rPr>
                <w:noProof/>
                <w:webHidden/>
              </w:rPr>
              <w:t>4</w:t>
            </w:r>
            <w:r>
              <w:rPr>
                <w:noProof/>
                <w:webHidden/>
              </w:rPr>
              <w:fldChar w:fldCharType="end"/>
            </w:r>
          </w:hyperlink>
        </w:p>
        <w:p w14:paraId="5D1BE287" w14:textId="463E2637" w:rsidR="009B0C8B" w:rsidRDefault="009B0C8B" w:rsidP="009B0C8B">
          <w:pPr>
            <w:pStyle w:val="TOC1"/>
            <w:rPr>
              <w:rFonts w:eastAsiaTheme="minorEastAsia"/>
              <w:noProof/>
              <w:sz w:val="24"/>
              <w:szCs w:val="24"/>
              <w:lang w:val="bg-BG" w:eastAsia="bg-BG"/>
            </w:rPr>
          </w:pPr>
          <w:hyperlink w:anchor="_Toc204882503" w:history="1">
            <w:r w:rsidRPr="00475C0C">
              <w:rPr>
                <w:rStyle w:val="Hyperlink"/>
                <w:rFonts w:ascii="Arial" w:hAnsi="Arial" w:cs="Arial"/>
                <w:b/>
                <w:bCs/>
                <w:noProof/>
              </w:rPr>
              <w:t>Justification of the Research</w:t>
            </w:r>
            <w:r>
              <w:rPr>
                <w:noProof/>
                <w:webHidden/>
              </w:rPr>
              <w:tab/>
            </w:r>
            <w:r>
              <w:rPr>
                <w:noProof/>
                <w:webHidden/>
              </w:rPr>
              <w:fldChar w:fldCharType="begin"/>
            </w:r>
            <w:r>
              <w:rPr>
                <w:noProof/>
                <w:webHidden/>
              </w:rPr>
              <w:instrText xml:space="preserve"> PAGEREF _Toc204882503 \h </w:instrText>
            </w:r>
            <w:r>
              <w:rPr>
                <w:noProof/>
                <w:webHidden/>
              </w:rPr>
            </w:r>
            <w:r>
              <w:rPr>
                <w:noProof/>
                <w:webHidden/>
              </w:rPr>
              <w:fldChar w:fldCharType="separate"/>
            </w:r>
            <w:r>
              <w:rPr>
                <w:noProof/>
                <w:webHidden/>
              </w:rPr>
              <w:t>4</w:t>
            </w:r>
            <w:r>
              <w:rPr>
                <w:noProof/>
                <w:webHidden/>
              </w:rPr>
              <w:fldChar w:fldCharType="end"/>
            </w:r>
          </w:hyperlink>
        </w:p>
        <w:p w14:paraId="11CE3F72" w14:textId="75CBDE73" w:rsidR="009B0C8B" w:rsidRDefault="009B0C8B" w:rsidP="009B0C8B">
          <w:pPr>
            <w:pStyle w:val="TOC1"/>
            <w:rPr>
              <w:rFonts w:eastAsiaTheme="minorEastAsia"/>
              <w:noProof/>
              <w:sz w:val="24"/>
              <w:szCs w:val="24"/>
              <w:lang w:val="bg-BG" w:eastAsia="bg-BG"/>
            </w:rPr>
          </w:pPr>
          <w:hyperlink w:anchor="_Toc204882504" w:history="1">
            <w:r w:rsidRPr="00475C0C">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_Toc204882504 \h </w:instrText>
            </w:r>
            <w:r>
              <w:rPr>
                <w:noProof/>
                <w:webHidden/>
              </w:rPr>
            </w:r>
            <w:r>
              <w:rPr>
                <w:noProof/>
                <w:webHidden/>
              </w:rPr>
              <w:fldChar w:fldCharType="separate"/>
            </w:r>
            <w:r>
              <w:rPr>
                <w:noProof/>
                <w:webHidden/>
              </w:rPr>
              <w:t>5</w:t>
            </w:r>
            <w:r>
              <w:rPr>
                <w:noProof/>
                <w:webHidden/>
              </w:rPr>
              <w:fldChar w:fldCharType="end"/>
            </w:r>
          </w:hyperlink>
        </w:p>
        <w:p w14:paraId="3064A932" w14:textId="13435361" w:rsidR="009B0C8B" w:rsidRDefault="009B0C8B" w:rsidP="009B0C8B">
          <w:pPr>
            <w:pStyle w:val="TOC1"/>
            <w:rPr>
              <w:rFonts w:eastAsiaTheme="minorEastAsia"/>
              <w:noProof/>
              <w:sz w:val="24"/>
              <w:szCs w:val="24"/>
              <w:lang w:val="bg-BG" w:eastAsia="bg-BG"/>
            </w:rPr>
          </w:pPr>
          <w:hyperlink w:anchor="_Toc204882505" w:history="1">
            <w:r w:rsidRPr="00475C0C">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_Toc204882505 \h </w:instrText>
            </w:r>
            <w:r>
              <w:rPr>
                <w:noProof/>
                <w:webHidden/>
              </w:rPr>
            </w:r>
            <w:r>
              <w:rPr>
                <w:noProof/>
                <w:webHidden/>
              </w:rPr>
              <w:fldChar w:fldCharType="separate"/>
            </w:r>
            <w:r>
              <w:rPr>
                <w:noProof/>
                <w:webHidden/>
              </w:rPr>
              <w:t>6</w:t>
            </w:r>
            <w:r>
              <w:rPr>
                <w:noProof/>
                <w:webHidden/>
              </w:rPr>
              <w:fldChar w:fldCharType="end"/>
            </w:r>
          </w:hyperlink>
        </w:p>
        <w:p w14:paraId="20BBA028" w14:textId="42D2B5BA" w:rsidR="009B0C8B" w:rsidRDefault="009B0C8B" w:rsidP="009B0C8B">
          <w:pPr>
            <w:pStyle w:val="TOC1"/>
            <w:rPr>
              <w:rFonts w:eastAsiaTheme="minorEastAsia"/>
              <w:noProof/>
              <w:sz w:val="24"/>
              <w:szCs w:val="24"/>
              <w:lang w:val="bg-BG" w:eastAsia="bg-BG"/>
            </w:rPr>
          </w:pPr>
          <w:hyperlink w:anchor="_Toc204882506" w:history="1">
            <w:r w:rsidRPr="00475C0C">
              <w:rPr>
                <w:rStyle w:val="Hyperlink"/>
                <w:rFonts w:ascii="Arial" w:hAnsi="Arial" w:cs="Arial"/>
                <w:b/>
                <w:bCs/>
                <w:noProof/>
              </w:rPr>
              <w:t>Timeline</w:t>
            </w:r>
            <w:r>
              <w:rPr>
                <w:noProof/>
                <w:webHidden/>
              </w:rPr>
              <w:tab/>
            </w:r>
            <w:r>
              <w:rPr>
                <w:noProof/>
                <w:webHidden/>
              </w:rPr>
              <w:fldChar w:fldCharType="begin"/>
            </w:r>
            <w:r>
              <w:rPr>
                <w:noProof/>
                <w:webHidden/>
              </w:rPr>
              <w:instrText xml:space="preserve"> PAGEREF _Toc204882506 \h </w:instrText>
            </w:r>
            <w:r>
              <w:rPr>
                <w:noProof/>
                <w:webHidden/>
              </w:rPr>
            </w:r>
            <w:r>
              <w:rPr>
                <w:noProof/>
                <w:webHidden/>
              </w:rPr>
              <w:fldChar w:fldCharType="separate"/>
            </w:r>
            <w:r>
              <w:rPr>
                <w:noProof/>
                <w:webHidden/>
              </w:rPr>
              <w:t>6</w:t>
            </w:r>
            <w:r>
              <w:rPr>
                <w:noProof/>
                <w:webHidden/>
              </w:rPr>
              <w:fldChar w:fldCharType="end"/>
            </w:r>
          </w:hyperlink>
        </w:p>
        <w:p w14:paraId="58FBF2D3" w14:textId="15C54773" w:rsidR="009B0C8B" w:rsidRDefault="009B0C8B" w:rsidP="009B0C8B">
          <w:pPr>
            <w:pStyle w:val="TOC1"/>
            <w:rPr>
              <w:rFonts w:eastAsiaTheme="minorEastAsia"/>
              <w:noProof/>
              <w:sz w:val="24"/>
              <w:szCs w:val="24"/>
              <w:lang w:val="bg-BG" w:eastAsia="bg-BG"/>
            </w:rPr>
          </w:pPr>
          <w:hyperlink w:anchor="_Toc204882507" w:history="1">
            <w:r w:rsidRPr="00475C0C">
              <w:rPr>
                <w:rStyle w:val="Hyperlink"/>
                <w:rFonts w:ascii="Arial" w:hAnsi="Arial" w:cs="Arial"/>
                <w:b/>
                <w:bCs/>
                <w:noProof/>
              </w:rPr>
              <w:t xml:space="preserve">References </w:t>
            </w:r>
            <w:r w:rsidRPr="00475C0C">
              <w:rPr>
                <w:rStyle w:val="Hyperlink"/>
                <w:rFonts w:ascii="Arial" w:hAnsi="Arial" w:cs="Arial"/>
                <w:noProof/>
              </w:rPr>
              <w:t>(to be expanded)</w:t>
            </w:r>
            <w:r>
              <w:rPr>
                <w:noProof/>
                <w:webHidden/>
              </w:rPr>
              <w:tab/>
            </w:r>
            <w:r>
              <w:rPr>
                <w:noProof/>
                <w:webHidden/>
              </w:rPr>
              <w:fldChar w:fldCharType="begin"/>
            </w:r>
            <w:r>
              <w:rPr>
                <w:noProof/>
                <w:webHidden/>
              </w:rPr>
              <w:instrText xml:space="preserve"> PAGEREF _Toc204882507 \h </w:instrText>
            </w:r>
            <w:r>
              <w:rPr>
                <w:noProof/>
                <w:webHidden/>
              </w:rPr>
            </w:r>
            <w:r>
              <w:rPr>
                <w:noProof/>
                <w:webHidden/>
              </w:rPr>
              <w:fldChar w:fldCharType="separate"/>
            </w:r>
            <w:r>
              <w:rPr>
                <w:noProof/>
                <w:webHidden/>
              </w:rPr>
              <w:t>7</w:t>
            </w:r>
            <w:r>
              <w:rPr>
                <w:noProof/>
                <w:webHidden/>
              </w:rPr>
              <w:fldChar w:fldCharType="end"/>
            </w:r>
          </w:hyperlink>
        </w:p>
        <w:p w14:paraId="686135C8" w14:textId="549F6FC1" w:rsidR="00F26256" w:rsidRDefault="00F26256" w:rsidP="000B0558">
          <w:pPr>
            <w:spacing w:after="0" w:line="360" w:lineRule="auto"/>
            <w:jc w:val="both"/>
          </w:pPr>
          <w:r w:rsidRPr="000B0558">
            <w:rPr>
              <w:rFonts w:ascii="Arial" w:hAnsi="Arial" w:cs="Arial"/>
              <w:b/>
              <w:bCs/>
              <w:noProof/>
            </w:rPr>
            <w:fldChar w:fldCharType="end"/>
          </w:r>
        </w:p>
      </w:sdtContent>
    </w:sdt>
    <w:p w14:paraId="70E611C4"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FE4B91D" w14:textId="77777777" w:rsidR="00FE0FAA" w:rsidRPr="00430734" w:rsidRDefault="00FE0FAA" w:rsidP="00430734">
      <w:pPr>
        <w:spacing w:after="0" w:line="360" w:lineRule="auto"/>
        <w:ind w:firstLine="720"/>
        <w:contextualSpacing/>
        <w:jc w:val="both"/>
        <w:rPr>
          <w:rFonts w:ascii="Arial" w:eastAsia="Calibri" w:hAnsi="Arial" w:cs="Arial"/>
          <w:b/>
          <w:bCs/>
          <w:kern w:val="2"/>
          <w:lang w:val=""/>
          <w14:ligatures w14:val="standardContextual"/>
        </w:rPr>
      </w:pPr>
    </w:p>
    <w:p w14:paraId="57B4EA3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AD662C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062C42EC"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61FB033E"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C64BB6F"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23067F8E"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0E861D7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6DC9995D"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41946624"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4DD967CA"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5B35F172"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2721CAFE"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69D0EA6A"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4E707461" w14:textId="4B2D9769" w:rsidR="00A56B7B" w:rsidRDefault="00B61123" w:rsidP="00A56B7B">
      <w:pPr>
        <w:pStyle w:val="Heading1"/>
        <w:spacing w:before="0" w:line="360" w:lineRule="auto"/>
        <w:ind w:firstLine="720"/>
        <w:jc w:val="both"/>
        <w:rPr>
          <w:rFonts w:ascii="Arial" w:hAnsi="Arial" w:cs="Arial"/>
          <w:b/>
          <w:bCs/>
          <w:color w:val="auto"/>
          <w:sz w:val="28"/>
          <w:szCs w:val="28"/>
        </w:rPr>
      </w:pPr>
      <w:bookmarkStart w:id="0" w:name="_Toc204882500"/>
      <w:r w:rsidRPr="00A56B7B">
        <w:rPr>
          <w:rFonts w:ascii="Arial" w:hAnsi="Arial" w:cs="Arial"/>
          <w:b/>
          <w:bCs/>
          <w:color w:val="auto"/>
          <w:sz w:val="28"/>
          <w:szCs w:val="28"/>
        </w:rPr>
        <w:t>Introduction</w:t>
      </w:r>
      <w:bookmarkEnd w:id="0"/>
    </w:p>
    <w:p w14:paraId="4968C408" w14:textId="77777777" w:rsidR="00A56B7B" w:rsidRPr="00A56B7B" w:rsidRDefault="00A56B7B" w:rsidP="00A56B7B"/>
    <w:p w14:paraId="4332477E" w14:textId="7EB62BD7" w:rsidR="00B61123" w:rsidRDefault="00B61123" w:rsidP="00A56B7B">
      <w:pPr>
        <w:spacing w:after="0" w:line="360" w:lineRule="auto"/>
        <w:ind w:firstLine="720"/>
        <w:jc w:val="both"/>
        <w:rPr>
          <w:rFonts w:ascii="Arial" w:hAnsi="Arial" w:cs="Arial"/>
        </w:rPr>
      </w:pPr>
      <w:r w:rsidRPr="00A56B7B">
        <w:rPr>
          <w:rFonts w:ascii="Arial" w:hAnsi="Arial" w:cs="Arial"/>
        </w:rPr>
        <w:t>The European Union’s Green Deal and the accompanying Climate Law have established decarbonization and the sustainable use of resources as key priorities. Additionally, the strategic role of certain raw materials in achieving these priorities has been clearly defined through the adoption of the Critical Raw Materials Regulation.</w:t>
      </w:r>
    </w:p>
    <w:p w14:paraId="4C94A561" w14:textId="77777777" w:rsidR="00A56B7B" w:rsidRPr="00A56B7B" w:rsidRDefault="00A56B7B" w:rsidP="00A56B7B">
      <w:pPr>
        <w:spacing w:after="0" w:line="360" w:lineRule="auto"/>
        <w:ind w:firstLine="720"/>
        <w:jc w:val="both"/>
        <w:rPr>
          <w:rFonts w:ascii="Arial" w:hAnsi="Arial" w:cs="Arial"/>
        </w:rPr>
      </w:pPr>
    </w:p>
    <w:p w14:paraId="7AD854E0" w14:textId="77777777" w:rsidR="00A56B7B" w:rsidRDefault="00B61123" w:rsidP="00B61123">
      <w:pPr>
        <w:spacing w:after="0" w:line="360" w:lineRule="auto"/>
        <w:ind w:firstLine="720"/>
        <w:jc w:val="both"/>
        <w:rPr>
          <w:rFonts w:ascii="Arial" w:hAnsi="Arial" w:cs="Arial"/>
        </w:rPr>
      </w:pPr>
      <w:r w:rsidRPr="00B61123">
        <w:rPr>
          <w:rFonts w:ascii="Arial" w:hAnsi="Arial" w:cs="Arial"/>
        </w:rPr>
        <w:t>The Critical Raw Materials Regulation aims that by 2030, the EU will achieve:</w:t>
      </w:r>
    </w:p>
    <w:p w14:paraId="00633C1C" w14:textId="77777777" w:rsidR="00A56B7B" w:rsidRDefault="00A56B7B" w:rsidP="00B61123">
      <w:pPr>
        <w:spacing w:after="0" w:line="360" w:lineRule="auto"/>
        <w:ind w:firstLine="720"/>
        <w:jc w:val="both"/>
        <w:rPr>
          <w:rFonts w:ascii="Arial" w:hAnsi="Arial" w:cs="Arial"/>
        </w:rPr>
      </w:pPr>
    </w:p>
    <w:p w14:paraId="3C016C6B" w14:textId="76A3C71D" w:rsidR="00A56B7B" w:rsidRPr="00A56B7B" w:rsidRDefault="00B61123" w:rsidP="00A56B7B">
      <w:pPr>
        <w:pStyle w:val="ListParagraph"/>
        <w:numPr>
          <w:ilvl w:val="0"/>
          <w:numId w:val="10"/>
        </w:numPr>
        <w:spacing w:after="0" w:line="360" w:lineRule="auto"/>
        <w:ind w:left="0" w:firstLine="720"/>
        <w:jc w:val="both"/>
        <w:rPr>
          <w:rFonts w:ascii="Arial" w:hAnsi="Arial" w:cs="Arial"/>
        </w:rPr>
      </w:pPr>
      <w:r w:rsidRPr="00A56B7B">
        <w:rPr>
          <w:rFonts w:ascii="Arial" w:hAnsi="Arial" w:cs="Arial"/>
        </w:rPr>
        <w:t>10% extraction of strategic raw materials within the EU.</w:t>
      </w:r>
    </w:p>
    <w:p w14:paraId="7A798FE4" w14:textId="6EE231F7" w:rsidR="00A56B7B" w:rsidRPr="00A56B7B" w:rsidRDefault="00B61123" w:rsidP="00A56B7B">
      <w:pPr>
        <w:pStyle w:val="ListParagraph"/>
        <w:numPr>
          <w:ilvl w:val="0"/>
          <w:numId w:val="10"/>
        </w:numPr>
        <w:spacing w:after="0" w:line="360" w:lineRule="auto"/>
        <w:ind w:left="0" w:firstLine="720"/>
        <w:jc w:val="both"/>
        <w:rPr>
          <w:rFonts w:ascii="Arial" w:hAnsi="Arial" w:cs="Arial"/>
        </w:rPr>
      </w:pPr>
      <w:r w:rsidRPr="00A56B7B">
        <w:rPr>
          <w:rFonts w:ascii="Arial" w:hAnsi="Arial" w:cs="Arial"/>
        </w:rPr>
        <w:t>40% processing within the EU.</w:t>
      </w:r>
    </w:p>
    <w:p w14:paraId="7188DE7C" w14:textId="0AA8200C" w:rsidR="00A56B7B" w:rsidRPr="00A56B7B" w:rsidRDefault="00B61123" w:rsidP="00A56B7B">
      <w:pPr>
        <w:pStyle w:val="ListParagraph"/>
        <w:numPr>
          <w:ilvl w:val="0"/>
          <w:numId w:val="10"/>
        </w:numPr>
        <w:spacing w:after="0" w:line="360" w:lineRule="auto"/>
        <w:ind w:left="0" w:firstLine="720"/>
        <w:jc w:val="both"/>
        <w:rPr>
          <w:rFonts w:ascii="Arial" w:hAnsi="Arial" w:cs="Arial"/>
        </w:rPr>
      </w:pPr>
      <w:r w:rsidRPr="00A56B7B">
        <w:rPr>
          <w:rFonts w:ascii="Arial" w:hAnsi="Arial" w:cs="Arial"/>
        </w:rPr>
        <w:t>15% recycling of annual consumption.</w:t>
      </w:r>
    </w:p>
    <w:p w14:paraId="7AED8EC7" w14:textId="5B8DDD93" w:rsidR="00B61123" w:rsidRDefault="00B61123" w:rsidP="00A56B7B">
      <w:pPr>
        <w:pStyle w:val="ListParagraph"/>
        <w:numPr>
          <w:ilvl w:val="0"/>
          <w:numId w:val="10"/>
        </w:numPr>
        <w:spacing w:after="0" w:line="360" w:lineRule="auto"/>
        <w:ind w:left="0" w:firstLine="720"/>
        <w:jc w:val="both"/>
        <w:rPr>
          <w:rFonts w:ascii="Arial" w:hAnsi="Arial" w:cs="Arial"/>
        </w:rPr>
      </w:pPr>
      <w:r w:rsidRPr="00A56B7B">
        <w:rPr>
          <w:rFonts w:ascii="Arial" w:hAnsi="Arial" w:cs="Arial"/>
        </w:rPr>
        <w:t>No more than 65% dependency on a single third country for any strategic raw material.</w:t>
      </w:r>
    </w:p>
    <w:p w14:paraId="3CB134AE" w14:textId="77777777" w:rsidR="00A56B7B" w:rsidRPr="00A56B7B" w:rsidRDefault="00A56B7B" w:rsidP="00A56B7B">
      <w:pPr>
        <w:pStyle w:val="ListParagraph"/>
        <w:spacing w:after="0" w:line="360" w:lineRule="auto"/>
        <w:jc w:val="both"/>
        <w:rPr>
          <w:rFonts w:ascii="Arial" w:hAnsi="Arial" w:cs="Arial"/>
        </w:rPr>
      </w:pPr>
    </w:p>
    <w:p w14:paraId="2CEA0521" w14:textId="4F344291" w:rsidR="00A56B7B" w:rsidRDefault="00B61123" w:rsidP="00A56B7B">
      <w:pPr>
        <w:pStyle w:val="ListParagraph"/>
        <w:spacing w:after="0" w:line="360" w:lineRule="auto"/>
        <w:jc w:val="both"/>
        <w:rPr>
          <w:rFonts w:ascii="Arial" w:hAnsi="Arial" w:cs="Arial"/>
        </w:rPr>
      </w:pPr>
      <w:r w:rsidRPr="00B61123">
        <w:rPr>
          <w:rFonts w:ascii="Arial" w:hAnsi="Arial" w:cs="Arial"/>
        </w:rPr>
        <w:t xml:space="preserve">The Green Deal requires a rapid transition to a carbon-neutral economy by 2050, </w:t>
      </w:r>
      <w:r w:rsidR="00A56B7B" w:rsidRPr="00B61123">
        <w:rPr>
          <w:rFonts w:ascii="Arial" w:hAnsi="Arial" w:cs="Arial"/>
        </w:rPr>
        <w:t xml:space="preserve">including: </w:t>
      </w:r>
    </w:p>
    <w:p w14:paraId="28D38035" w14:textId="77777777" w:rsidR="00A56B7B" w:rsidRPr="00A56B7B" w:rsidRDefault="00A56B7B" w:rsidP="00A56B7B">
      <w:pPr>
        <w:pStyle w:val="ListParagraph"/>
        <w:rPr>
          <w:rFonts w:ascii="Arial" w:hAnsi="Arial" w:cs="Arial"/>
        </w:rPr>
      </w:pPr>
    </w:p>
    <w:p w14:paraId="05E0F1A8" w14:textId="115960FA"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Mass deployment of renewable energy.</w:t>
      </w:r>
    </w:p>
    <w:p w14:paraId="5FFAFCA0" w14:textId="77777777"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Electrification of transport (electric vehicles, batteries).</w:t>
      </w:r>
    </w:p>
    <w:p w14:paraId="068B589D" w14:textId="2A678235" w:rsidR="00B61123"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A sharp increase in the use of solar panels, wind turbines, electronics, and batteries—all of which require critical raw materials (e.g., lithium, copper, cobalt, rare earth elements, etc.).</w:t>
      </w:r>
    </w:p>
    <w:p w14:paraId="1C818713" w14:textId="77777777" w:rsidR="00A56B7B" w:rsidRPr="00B61123" w:rsidRDefault="00A56B7B" w:rsidP="00B61123">
      <w:pPr>
        <w:spacing w:after="0" w:line="360" w:lineRule="auto"/>
        <w:ind w:firstLine="720"/>
        <w:jc w:val="both"/>
        <w:rPr>
          <w:rFonts w:ascii="Arial" w:hAnsi="Arial" w:cs="Arial"/>
        </w:rPr>
      </w:pPr>
    </w:p>
    <w:p w14:paraId="2AD33D4D" w14:textId="77777777" w:rsidR="00B61123" w:rsidRPr="00B61123" w:rsidRDefault="00B61123" w:rsidP="00B61123">
      <w:pPr>
        <w:spacing w:after="0" w:line="360" w:lineRule="auto"/>
        <w:ind w:firstLine="720"/>
        <w:jc w:val="both"/>
        <w:rPr>
          <w:rFonts w:ascii="Arial" w:hAnsi="Arial" w:cs="Arial"/>
        </w:rPr>
      </w:pPr>
      <w:r w:rsidRPr="00B61123">
        <w:rPr>
          <w:rFonts w:ascii="Arial" w:hAnsi="Arial" w:cs="Arial"/>
        </w:rPr>
        <w:t>Copper, as a critical raw material for renewable energy technologies, electric vehicles, and electrification, is essential to the transition to a low-carbon economy. According to the European Copper Institute (2023), as a result of the energy transition, population growth, and economic development, the global annual demand for refined copper is expected to double by 2050 compared to 2020.</w:t>
      </w:r>
    </w:p>
    <w:p w14:paraId="04E38AA5" w14:textId="77777777" w:rsidR="00B61123" w:rsidRDefault="00B61123" w:rsidP="00B61123">
      <w:pPr>
        <w:spacing w:after="0" w:line="360" w:lineRule="auto"/>
        <w:ind w:firstLine="720"/>
        <w:jc w:val="both"/>
        <w:rPr>
          <w:rFonts w:ascii="Arial" w:hAnsi="Arial" w:cs="Arial"/>
        </w:rPr>
      </w:pPr>
      <w:r w:rsidRPr="00B61123">
        <w:rPr>
          <w:rFonts w:ascii="Arial" w:hAnsi="Arial" w:cs="Arial"/>
        </w:rPr>
        <w:t>The Balkan Peninsula, with its significant copper reserves and active mining operations in Bulgaria, Serbia, and North Macedonia, plays a strategic role. However, the region faces challenges in complying with environmental, social, and governance (ESG) requirements, transparency, and climate resilience. This study will examine how Balkan copper mining companies align with the EU Green Deal and integrate ESG and climate risk management practices. The study also explores the role of these companies in contributing to the European strategy for a climate-neutral economy by 2050.</w:t>
      </w:r>
    </w:p>
    <w:p w14:paraId="4CD815F8" w14:textId="77777777" w:rsidR="009B0C8B" w:rsidRDefault="009B0C8B" w:rsidP="00B61123">
      <w:pPr>
        <w:spacing w:after="0" w:line="360" w:lineRule="auto"/>
        <w:ind w:firstLine="720"/>
        <w:jc w:val="both"/>
        <w:rPr>
          <w:rFonts w:ascii="Arial" w:hAnsi="Arial" w:cs="Arial"/>
        </w:rPr>
      </w:pPr>
    </w:p>
    <w:p w14:paraId="70FCF63C" w14:textId="77777777" w:rsidR="009B0C8B" w:rsidRDefault="009B0C8B" w:rsidP="00B61123">
      <w:pPr>
        <w:spacing w:after="0" w:line="360" w:lineRule="auto"/>
        <w:ind w:firstLine="720"/>
        <w:jc w:val="both"/>
        <w:rPr>
          <w:rFonts w:ascii="Arial" w:hAnsi="Arial" w:cs="Arial"/>
        </w:rPr>
      </w:pPr>
    </w:p>
    <w:p w14:paraId="57A241BA" w14:textId="77777777" w:rsidR="00A56B7B" w:rsidRPr="00B61123" w:rsidRDefault="00A56B7B" w:rsidP="00B61123">
      <w:pPr>
        <w:spacing w:after="0" w:line="360" w:lineRule="auto"/>
        <w:ind w:firstLine="720"/>
        <w:jc w:val="both"/>
        <w:rPr>
          <w:rFonts w:ascii="Arial" w:hAnsi="Arial" w:cs="Arial"/>
        </w:rPr>
      </w:pPr>
    </w:p>
    <w:p w14:paraId="0532A3F3" w14:textId="7C62EB9F" w:rsidR="00A56B7B" w:rsidRPr="00A56B7B" w:rsidRDefault="00B61123" w:rsidP="00A56B7B">
      <w:pPr>
        <w:pStyle w:val="Heading1"/>
        <w:spacing w:before="0" w:line="360" w:lineRule="auto"/>
        <w:ind w:firstLine="720"/>
        <w:jc w:val="both"/>
        <w:rPr>
          <w:rFonts w:ascii="Arial" w:hAnsi="Arial" w:cs="Arial"/>
          <w:b/>
          <w:bCs/>
          <w:color w:val="auto"/>
          <w:sz w:val="28"/>
          <w:szCs w:val="28"/>
        </w:rPr>
      </w:pPr>
      <w:bookmarkStart w:id="1" w:name="_Toc204882501"/>
      <w:r w:rsidRPr="00A56B7B">
        <w:rPr>
          <w:rFonts w:ascii="Arial" w:hAnsi="Arial" w:cs="Arial"/>
          <w:b/>
          <w:bCs/>
          <w:color w:val="auto"/>
          <w:sz w:val="28"/>
          <w:szCs w:val="28"/>
        </w:rPr>
        <w:lastRenderedPageBreak/>
        <w:t>Aim and Objectives of the Research</w:t>
      </w:r>
      <w:bookmarkEnd w:id="1"/>
    </w:p>
    <w:p w14:paraId="1EBF604B" w14:textId="77777777" w:rsidR="00A56B7B" w:rsidRDefault="00A56B7B" w:rsidP="00B61123">
      <w:pPr>
        <w:spacing w:after="0" w:line="360" w:lineRule="auto"/>
        <w:ind w:firstLine="720"/>
        <w:jc w:val="both"/>
        <w:rPr>
          <w:rFonts w:ascii="Arial" w:hAnsi="Arial" w:cs="Arial"/>
        </w:rPr>
      </w:pPr>
    </w:p>
    <w:p w14:paraId="284A7CFD" w14:textId="23C2DA04" w:rsidR="00B61123" w:rsidRDefault="00B61123" w:rsidP="00B61123">
      <w:pPr>
        <w:spacing w:after="0" w:line="360" w:lineRule="auto"/>
        <w:ind w:firstLine="720"/>
        <w:jc w:val="both"/>
        <w:rPr>
          <w:rFonts w:ascii="Arial" w:hAnsi="Arial" w:cs="Arial"/>
        </w:rPr>
      </w:pPr>
      <w:r w:rsidRPr="00B61123">
        <w:rPr>
          <w:rFonts w:ascii="Arial" w:hAnsi="Arial" w:cs="Arial"/>
        </w:rPr>
        <w:t>The aim of this study is to evaluate the ESG performance and climate risk strategies of copper mining companies in the Balkans in the context of the European Green Deal.</w:t>
      </w:r>
    </w:p>
    <w:p w14:paraId="76447182" w14:textId="77777777" w:rsidR="00A56B7B" w:rsidRPr="00B61123" w:rsidRDefault="00A56B7B" w:rsidP="00B61123">
      <w:pPr>
        <w:spacing w:after="0" w:line="360" w:lineRule="auto"/>
        <w:ind w:firstLine="720"/>
        <w:jc w:val="both"/>
        <w:rPr>
          <w:rFonts w:ascii="Arial" w:hAnsi="Arial" w:cs="Arial"/>
        </w:rPr>
      </w:pPr>
    </w:p>
    <w:p w14:paraId="30A2421D" w14:textId="77777777"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To assess the current ESG performance of key copper mining companies in the Balkans.</w:t>
      </w:r>
    </w:p>
    <w:p w14:paraId="60377EBA" w14:textId="77777777"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To analyze how these companies manage climate-related risks (physical and transitional)</w:t>
      </w:r>
    </w:p>
    <w:p w14:paraId="7AEB1983" w14:textId="77777777"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To assess the extent of compliance with EU policies and regulations related to the Green Deal.</w:t>
      </w:r>
    </w:p>
    <w:p w14:paraId="1650CDCD" w14:textId="77777777"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To identify challenges and opportunities for sustainable transformation of copper mining in the region.</w:t>
      </w:r>
    </w:p>
    <w:p w14:paraId="6B3CDC6C" w14:textId="77777777"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To provide recommendations for improving ESG integration and compliance with regulatory requirements.</w:t>
      </w:r>
    </w:p>
    <w:p w14:paraId="0E792E5A" w14:textId="77777777" w:rsidR="00A56B7B" w:rsidRDefault="00A56B7B" w:rsidP="00A56B7B">
      <w:pPr>
        <w:pStyle w:val="ListParagraph"/>
        <w:spacing w:after="0" w:line="360" w:lineRule="auto"/>
        <w:jc w:val="both"/>
        <w:rPr>
          <w:rFonts w:ascii="Arial" w:hAnsi="Arial" w:cs="Arial"/>
        </w:rPr>
      </w:pPr>
    </w:p>
    <w:p w14:paraId="2083C8F6" w14:textId="18E11898" w:rsidR="00A56B7B" w:rsidRPr="00A56B7B" w:rsidRDefault="00B61123" w:rsidP="00A56B7B">
      <w:pPr>
        <w:pStyle w:val="Heading1"/>
        <w:spacing w:before="0" w:line="360" w:lineRule="auto"/>
        <w:ind w:firstLine="720"/>
        <w:jc w:val="both"/>
        <w:rPr>
          <w:rFonts w:ascii="Arial" w:hAnsi="Arial" w:cs="Arial"/>
          <w:b/>
          <w:bCs/>
          <w:color w:val="auto"/>
          <w:sz w:val="28"/>
          <w:szCs w:val="28"/>
        </w:rPr>
      </w:pPr>
      <w:bookmarkStart w:id="2" w:name="_Toc204882502"/>
      <w:r w:rsidRPr="00A56B7B">
        <w:rPr>
          <w:rFonts w:ascii="Arial" w:hAnsi="Arial" w:cs="Arial"/>
          <w:b/>
          <w:bCs/>
          <w:color w:val="auto"/>
          <w:sz w:val="28"/>
          <w:szCs w:val="28"/>
        </w:rPr>
        <w:t>Research Questions:</w:t>
      </w:r>
      <w:bookmarkEnd w:id="2"/>
    </w:p>
    <w:p w14:paraId="6CDD78E8" w14:textId="77777777" w:rsidR="00A56B7B" w:rsidRPr="00A56B7B" w:rsidRDefault="00A56B7B" w:rsidP="00A56B7B"/>
    <w:p w14:paraId="6599D189" w14:textId="02C42B51"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What are the ESG strategies and performance indicators of leading copper mining companies in the Balkans?</w:t>
      </w:r>
    </w:p>
    <w:p w14:paraId="40C31311" w14:textId="1DC9180E"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How do these companies assess and address climate-related risks?</w:t>
      </w:r>
    </w:p>
    <w:p w14:paraId="11543C7D" w14:textId="179293A6"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To what extent are their practices aligned with the objectives of the European Green Deal?</w:t>
      </w:r>
    </w:p>
    <w:p w14:paraId="54E59469" w14:textId="49D15F60" w:rsidR="00A56B7B"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What are the main barriers and drivers for ESG integration in the Balkan mining sector?</w:t>
      </w:r>
    </w:p>
    <w:p w14:paraId="246C65C9" w14:textId="12CBCCC2" w:rsidR="00B61123" w:rsidRDefault="00B61123" w:rsidP="00A56B7B">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What best practices can be adopted to improve sustainability in copper mining operations?</w:t>
      </w:r>
    </w:p>
    <w:p w14:paraId="42659CB6" w14:textId="77777777" w:rsidR="00A56B7B" w:rsidRPr="00B61123" w:rsidRDefault="00A56B7B" w:rsidP="00B61123">
      <w:pPr>
        <w:spacing w:after="0" w:line="360" w:lineRule="auto"/>
        <w:ind w:firstLine="720"/>
        <w:jc w:val="both"/>
        <w:rPr>
          <w:rFonts w:ascii="Arial" w:hAnsi="Arial" w:cs="Arial"/>
        </w:rPr>
      </w:pPr>
    </w:p>
    <w:p w14:paraId="4089583E" w14:textId="6114215B" w:rsidR="00A56B7B" w:rsidRPr="00A56B7B" w:rsidRDefault="00B61123" w:rsidP="00A56B7B">
      <w:pPr>
        <w:pStyle w:val="Heading1"/>
        <w:spacing w:before="0" w:line="360" w:lineRule="auto"/>
        <w:ind w:firstLine="720"/>
        <w:jc w:val="both"/>
        <w:rPr>
          <w:rFonts w:ascii="Arial" w:hAnsi="Arial" w:cs="Arial"/>
          <w:b/>
          <w:bCs/>
          <w:color w:val="auto"/>
          <w:sz w:val="28"/>
          <w:szCs w:val="28"/>
        </w:rPr>
      </w:pPr>
      <w:bookmarkStart w:id="3" w:name="_Toc204882503"/>
      <w:r w:rsidRPr="00A56B7B">
        <w:rPr>
          <w:rFonts w:ascii="Arial" w:hAnsi="Arial" w:cs="Arial"/>
          <w:b/>
          <w:bCs/>
          <w:color w:val="auto"/>
          <w:sz w:val="28"/>
          <w:szCs w:val="28"/>
        </w:rPr>
        <w:t>Justification of the Research</w:t>
      </w:r>
      <w:bookmarkEnd w:id="3"/>
    </w:p>
    <w:p w14:paraId="72F3287C" w14:textId="77777777" w:rsidR="00A56B7B" w:rsidRDefault="00A56B7B" w:rsidP="00B61123">
      <w:pPr>
        <w:spacing w:after="0" w:line="360" w:lineRule="auto"/>
        <w:ind w:firstLine="720"/>
        <w:jc w:val="both"/>
        <w:rPr>
          <w:rFonts w:ascii="Arial" w:hAnsi="Arial" w:cs="Arial"/>
        </w:rPr>
      </w:pPr>
    </w:p>
    <w:p w14:paraId="6D898ECF" w14:textId="756507D1" w:rsidR="00B61123" w:rsidRPr="00B61123" w:rsidRDefault="00B61123" w:rsidP="00B61123">
      <w:pPr>
        <w:spacing w:after="0" w:line="360" w:lineRule="auto"/>
        <w:ind w:firstLine="720"/>
        <w:jc w:val="both"/>
        <w:rPr>
          <w:rFonts w:ascii="Arial" w:hAnsi="Arial" w:cs="Arial"/>
        </w:rPr>
      </w:pPr>
      <w:r w:rsidRPr="00B61123">
        <w:rPr>
          <w:rFonts w:ascii="Arial" w:hAnsi="Arial" w:cs="Arial"/>
        </w:rPr>
        <w:t>The mining industry in the Balkans is under increasing pressure to align with global ESG expectations and the EU’s sustainability goals. Copper is a strategically vital resource for the transition to clean energy, but its extraction poses environmental and social risks. Undoubtedly, mining activity has a massive impact on the environment and is often met with distrust—people fear pollution and environmental damage.</w:t>
      </w:r>
    </w:p>
    <w:p w14:paraId="51387D48" w14:textId="77777777" w:rsidR="00B61123" w:rsidRPr="00B61123" w:rsidRDefault="00B61123" w:rsidP="00B61123">
      <w:pPr>
        <w:spacing w:after="0" w:line="360" w:lineRule="auto"/>
        <w:ind w:firstLine="720"/>
        <w:jc w:val="both"/>
        <w:rPr>
          <w:rFonts w:ascii="Arial" w:hAnsi="Arial" w:cs="Arial"/>
        </w:rPr>
      </w:pPr>
      <w:r w:rsidRPr="00B61123">
        <w:rPr>
          <w:rFonts w:ascii="Arial" w:hAnsi="Arial" w:cs="Arial"/>
        </w:rPr>
        <w:lastRenderedPageBreak/>
        <w:t>A detailed analysis will be conducted of the applicable ESG regulatory framework. The European Union has developed a comprehensive legal framework for corporate sustainability reporting. There are three main regulatory instruments in this area that together form an evolving ecosystem for ESG compliance, aiming to align corporate behavior with the EU’s broader climate and social objectives. At the core of this framework is the Corporate Sustainability Reporting Directive (CSRD) – Directive (EU) 2022/2464, which replaced the Non-Financial Reporting Directive (NFRD), adopted in 2014. CSRD requires large companies and public-interest SMEs, excluding micro-enterprises, to include in their management report the information needed to understand their impact on sustainability issues and how these may affect their development, performance, and position.</w:t>
      </w:r>
    </w:p>
    <w:p w14:paraId="7F2B0426" w14:textId="77777777" w:rsidR="00B61123" w:rsidRPr="00B61123" w:rsidRDefault="00B61123" w:rsidP="00B61123">
      <w:pPr>
        <w:spacing w:after="0" w:line="360" w:lineRule="auto"/>
        <w:ind w:firstLine="720"/>
        <w:jc w:val="both"/>
        <w:rPr>
          <w:rFonts w:ascii="Arial" w:hAnsi="Arial" w:cs="Arial"/>
        </w:rPr>
      </w:pPr>
      <w:r w:rsidRPr="00B61123">
        <w:rPr>
          <w:rFonts w:ascii="Arial" w:hAnsi="Arial" w:cs="Arial"/>
        </w:rPr>
        <w:t>Under CSRD, companies must report in accordance with the European Sustainability Reporting Standards (ESRS), developed by EFRAG. These standards cover environmental issues, social dimensions, and governance practices. Complementing CSRD is the Sustainable Finance Disclosure Regulation (SFDR), effective since 2021, which imposes sustainability disclosure obligations on financial market participants. Covered entities must indicate whether the products they offer in the EU promote environmental or social characteristics or have a sustainable investment objective. The Corporate Sustainability Due Diligence Directive (CSDDD, Directive (EU) 2024/1760) introduced obligations for large companies to assess human rights and environmental risks in their operations and supply chains.</w:t>
      </w:r>
    </w:p>
    <w:p w14:paraId="304B3392" w14:textId="77777777" w:rsidR="00B61123" w:rsidRPr="00B61123" w:rsidRDefault="00B61123" w:rsidP="00B61123">
      <w:pPr>
        <w:spacing w:after="0" w:line="360" w:lineRule="auto"/>
        <w:ind w:firstLine="720"/>
        <w:jc w:val="both"/>
        <w:rPr>
          <w:rFonts w:ascii="Arial" w:hAnsi="Arial" w:cs="Arial"/>
        </w:rPr>
      </w:pPr>
      <w:r w:rsidRPr="00B61123">
        <w:rPr>
          <w:rFonts w:ascii="Arial" w:hAnsi="Arial" w:cs="Arial"/>
        </w:rPr>
        <w:t>While CSRD focuses on transparent disclosure of ESG factors, CSDDD imposes enforceable due diligence obligations and accountability measures. By 2027, companies must be ready to comply with these requirements, with larger corporations likely to be the first to adhere. EU-based companies must comply if they have more than 1,000 employees and a net global turnover exceeding EUR 450 million, while non-EU companies will also have to comply with CSDDD if they generate a net turnover of more than EUR 450 million within the EU.</w:t>
      </w:r>
    </w:p>
    <w:p w14:paraId="500634FD" w14:textId="77777777" w:rsidR="00B61123" w:rsidRPr="00B61123" w:rsidRDefault="00B61123" w:rsidP="00B61123">
      <w:pPr>
        <w:spacing w:after="0" w:line="360" w:lineRule="auto"/>
        <w:ind w:firstLine="720"/>
        <w:jc w:val="both"/>
        <w:rPr>
          <w:rFonts w:ascii="Arial" w:hAnsi="Arial" w:cs="Arial"/>
        </w:rPr>
      </w:pPr>
      <w:r w:rsidRPr="00B61123">
        <w:rPr>
          <w:rFonts w:ascii="Arial" w:hAnsi="Arial" w:cs="Arial"/>
        </w:rPr>
        <w:t>The evolving ESG regulatory landscape places an additional administrative burden on companies, which may slow investment in new technologies. During the research, pre-announced EU measures to reduce the administrative burden are expected to be revealed and will be addressed where possible—such as the Omnibus legislative package.</w:t>
      </w:r>
    </w:p>
    <w:p w14:paraId="192BBCA8" w14:textId="77777777" w:rsidR="00B61123" w:rsidRDefault="00B61123" w:rsidP="00B61123">
      <w:pPr>
        <w:spacing w:after="0" w:line="360" w:lineRule="auto"/>
        <w:ind w:firstLine="720"/>
        <w:jc w:val="both"/>
        <w:rPr>
          <w:rFonts w:ascii="Arial" w:hAnsi="Arial" w:cs="Arial"/>
        </w:rPr>
      </w:pPr>
      <w:r w:rsidRPr="00B61123">
        <w:rPr>
          <w:rFonts w:ascii="Arial" w:hAnsi="Arial" w:cs="Arial"/>
        </w:rPr>
        <w:t>While Western European mining firms rapidly integrate ESG practices, companies in the Balkans lag in transparency, accountability, and climate governance. Moreover, the EU’s Critical Raw Materials Act emphasizes not only extraction but also responsible and traceable sourcing of such materials. Regulatory pressure is expected to drive this process. By focusing on the Balkans, this research fills a gap in regional analysis by highlighting how companies can better align with regulatory expectations and support a sustainable future for mining. It also contributes to the broader academic and policy discourse on environmental responsibility in resource-rich economies in transition.</w:t>
      </w:r>
    </w:p>
    <w:p w14:paraId="6216FD8C" w14:textId="77777777" w:rsidR="00A56B7B" w:rsidRPr="00A56B7B" w:rsidRDefault="00B61123" w:rsidP="00A56B7B">
      <w:pPr>
        <w:pStyle w:val="Heading1"/>
        <w:spacing w:before="0" w:line="360" w:lineRule="auto"/>
        <w:ind w:firstLine="720"/>
        <w:jc w:val="both"/>
        <w:rPr>
          <w:rFonts w:ascii="Arial" w:hAnsi="Arial" w:cs="Arial"/>
          <w:b/>
          <w:bCs/>
          <w:color w:val="auto"/>
          <w:sz w:val="28"/>
          <w:szCs w:val="28"/>
        </w:rPr>
      </w:pPr>
      <w:bookmarkStart w:id="4" w:name="_Toc204882504"/>
      <w:r w:rsidRPr="00A56B7B">
        <w:rPr>
          <w:rFonts w:ascii="Arial" w:hAnsi="Arial" w:cs="Arial"/>
          <w:b/>
          <w:bCs/>
          <w:color w:val="auto"/>
          <w:sz w:val="28"/>
          <w:szCs w:val="28"/>
        </w:rPr>
        <w:lastRenderedPageBreak/>
        <w:t>Literature Review</w:t>
      </w:r>
      <w:bookmarkEnd w:id="4"/>
    </w:p>
    <w:p w14:paraId="3D5D3B14" w14:textId="77777777" w:rsidR="00A56B7B" w:rsidRDefault="00A56B7B" w:rsidP="00B61123">
      <w:pPr>
        <w:spacing w:after="0" w:line="360" w:lineRule="auto"/>
        <w:ind w:firstLine="720"/>
        <w:jc w:val="both"/>
        <w:rPr>
          <w:rFonts w:ascii="Arial" w:hAnsi="Arial" w:cs="Arial"/>
        </w:rPr>
      </w:pPr>
    </w:p>
    <w:p w14:paraId="3DF13E57" w14:textId="2709C87D" w:rsidR="00B61123" w:rsidRPr="00B61123" w:rsidRDefault="00B61123" w:rsidP="00B61123">
      <w:pPr>
        <w:spacing w:after="0" w:line="360" w:lineRule="auto"/>
        <w:ind w:firstLine="720"/>
        <w:jc w:val="both"/>
        <w:rPr>
          <w:rFonts w:ascii="Arial" w:hAnsi="Arial" w:cs="Arial"/>
        </w:rPr>
      </w:pPr>
      <w:r w:rsidRPr="00B61123">
        <w:rPr>
          <w:rFonts w:ascii="Arial" w:hAnsi="Arial" w:cs="Arial"/>
        </w:rPr>
        <w:t>Recent literature emphasizes the importance of ESG practices in the mining sector (ICMM, 2022). According to the European Commission (2023), the Critical Raw Materials Act underlines the need for responsible sourcing of key minerals, particularly copper. ESG frameworks such as GRI (Global Reporting Initiative), TCFD (Task Force on Climate-related Financial Disclosures), and the EU Taxonomy Regulation provide appropriate indicators. Studies by the World Bank (2020) and the EBRD (2021) also highlight the risks of inadequate ESG performance in resource-rich but governance-challenged regions.</w:t>
      </w:r>
    </w:p>
    <w:p w14:paraId="6AF16A1E" w14:textId="77777777" w:rsidR="00B61123" w:rsidRPr="00B61123" w:rsidRDefault="00B61123" w:rsidP="00B61123">
      <w:pPr>
        <w:spacing w:after="0" w:line="360" w:lineRule="auto"/>
        <w:ind w:firstLine="720"/>
        <w:jc w:val="both"/>
        <w:rPr>
          <w:rFonts w:ascii="Arial" w:hAnsi="Arial" w:cs="Arial"/>
        </w:rPr>
      </w:pPr>
      <w:r w:rsidRPr="00B61123">
        <w:rPr>
          <w:rFonts w:ascii="Arial" w:hAnsi="Arial" w:cs="Arial"/>
        </w:rPr>
        <w:t>Scholars such as Bainton and Holcombe (2018) discuss the complex socio-political dynamics of mining in transitional economies, while Li and Zhou (2021) emphasize the role of ESG transparency in attracting international investment. Additionally, reports by the ICMM and the International Finance Corporation (IFC) provide practical guidance on integrating ESG into mining operations. A critical review of these documents reveals that while international frameworks are clear, their implementation in developing regions such as the Balkans remains inconsistent.</w:t>
      </w:r>
    </w:p>
    <w:p w14:paraId="4A80EAEC" w14:textId="77777777" w:rsidR="00B61123" w:rsidRDefault="00B61123" w:rsidP="00B61123">
      <w:pPr>
        <w:spacing w:after="0" w:line="360" w:lineRule="auto"/>
        <w:ind w:firstLine="720"/>
        <w:jc w:val="both"/>
        <w:rPr>
          <w:rFonts w:ascii="Arial" w:hAnsi="Arial" w:cs="Arial"/>
        </w:rPr>
      </w:pPr>
      <w:r w:rsidRPr="00B61123">
        <w:rPr>
          <w:rFonts w:ascii="Arial" w:hAnsi="Arial" w:cs="Arial"/>
        </w:rPr>
        <w:t>Few studies focus specifically on the Balkans. Some explore sustainability trends in mining in Southeast Europe but lack a comparative ESG analysis. This study aims to fill that gap by providing a comparative analysis of four key regional players, benchmarked against EU sustainability goals.</w:t>
      </w:r>
    </w:p>
    <w:p w14:paraId="0976FEBF" w14:textId="77777777" w:rsidR="00A56B7B" w:rsidRPr="00B61123" w:rsidRDefault="00A56B7B" w:rsidP="00B61123">
      <w:pPr>
        <w:spacing w:after="0" w:line="360" w:lineRule="auto"/>
        <w:ind w:firstLine="720"/>
        <w:jc w:val="both"/>
        <w:rPr>
          <w:rFonts w:ascii="Arial" w:hAnsi="Arial" w:cs="Arial"/>
        </w:rPr>
      </w:pPr>
    </w:p>
    <w:p w14:paraId="197084A4" w14:textId="6DA6914F" w:rsidR="00A56B7B" w:rsidRPr="00A56B7B" w:rsidRDefault="00B61123" w:rsidP="00A56B7B">
      <w:pPr>
        <w:pStyle w:val="Heading1"/>
        <w:spacing w:before="0" w:line="360" w:lineRule="auto"/>
        <w:ind w:firstLine="720"/>
        <w:jc w:val="both"/>
        <w:rPr>
          <w:rFonts w:ascii="Arial" w:hAnsi="Arial" w:cs="Arial"/>
          <w:b/>
          <w:bCs/>
          <w:color w:val="auto"/>
          <w:sz w:val="28"/>
          <w:szCs w:val="28"/>
        </w:rPr>
      </w:pPr>
      <w:bookmarkStart w:id="5" w:name="_Toc204882505"/>
      <w:r w:rsidRPr="00A56B7B">
        <w:rPr>
          <w:rFonts w:ascii="Arial" w:hAnsi="Arial" w:cs="Arial"/>
          <w:b/>
          <w:bCs/>
          <w:color w:val="auto"/>
          <w:sz w:val="28"/>
          <w:szCs w:val="28"/>
        </w:rPr>
        <w:t>Methodology</w:t>
      </w:r>
      <w:bookmarkEnd w:id="5"/>
    </w:p>
    <w:p w14:paraId="0876482C" w14:textId="77777777" w:rsidR="00A56B7B" w:rsidRDefault="00A56B7B" w:rsidP="00B61123">
      <w:pPr>
        <w:spacing w:after="0" w:line="360" w:lineRule="auto"/>
        <w:ind w:firstLine="720"/>
        <w:jc w:val="both"/>
        <w:rPr>
          <w:rFonts w:ascii="Arial" w:hAnsi="Arial" w:cs="Arial"/>
        </w:rPr>
      </w:pPr>
    </w:p>
    <w:p w14:paraId="4EC13A79" w14:textId="0C9D453F" w:rsidR="00B61123" w:rsidRPr="00B61123" w:rsidRDefault="00B61123" w:rsidP="00B61123">
      <w:pPr>
        <w:spacing w:after="0" w:line="360" w:lineRule="auto"/>
        <w:ind w:firstLine="720"/>
        <w:jc w:val="both"/>
        <w:rPr>
          <w:rFonts w:ascii="Arial" w:hAnsi="Arial" w:cs="Arial"/>
        </w:rPr>
      </w:pPr>
      <w:r w:rsidRPr="00B61123">
        <w:rPr>
          <w:rFonts w:ascii="Arial" w:hAnsi="Arial" w:cs="Arial"/>
        </w:rPr>
        <w:t>This research employs a qualitative, multi-case study design. Four copper mining companies will be analyzed: Zijin Bor Copper (Serbia), Dundee Precious Metals (Chelopech, Bulgaria), Assarel-Medet (Bulgaria), and Ellatzite-Med (Bulgaria). Additionally, the operations of Aurubis Bulgaria, a copper concentrate processing facility, will be reviewed.</w:t>
      </w:r>
    </w:p>
    <w:p w14:paraId="58A11A0E" w14:textId="77777777" w:rsidR="00A56B7B" w:rsidRDefault="00B61123" w:rsidP="00C670B4">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 xml:space="preserve">Data Collection: </w:t>
      </w:r>
      <w:r w:rsidR="00A56B7B">
        <w:rPr>
          <w:rFonts w:ascii="Arial" w:hAnsi="Arial" w:cs="Arial"/>
        </w:rPr>
        <w:t xml:space="preserve">- </w:t>
      </w:r>
      <w:r w:rsidRPr="00B61123">
        <w:rPr>
          <w:rFonts w:ascii="Arial" w:hAnsi="Arial" w:cs="Arial"/>
        </w:rPr>
        <w:t>ESG/sustainability reports of the companies, EU policy documents, academic research, and, where possible, expert interviews with sustainability officers or policy analysts.</w:t>
      </w:r>
    </w:p>
    <w:p w14:paraId="1ACB652D" w14:textId="77777777" w:rsidR="00C670B4" w:rsidRDefault="00B61123" w:rsidP="00C670B4">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Analytical Framework:</w:t>
      </w:r>
      <w:r w:rsidR="00A56B7B">
        <w:rPr>
          <w:rFonts w:ascii="Arial" w:hAnsi="Arial" w:cs="Arial"/>
        </w:rPr>
        <w:t xml:space="preserve"> - </w:t>
      </w:r>
      <w:r w:rsidRPr="00B61123">
        <w:rPr>
          <w:rFonts w:ascii="Arial" w:hAnsi="Arial" w:cs="Arial"/>
        </w:rPr>
        <w:t>ESG indicators will be assessed using content analysis based on ESRS, GRI, and TCFD indicators. Climate risk management will be evaluated based on disclosure practices, mitigation plans, and regulatory compliance. A SWOT framework will also be used to compare the strengths, weaknesses, opportunities, and threats faced by each company in the ESG context.</w:t>
      </w:r>
      <w:r w:rsidR="00C670B4">
        <w:rPr>
          <w:rFonts w:ascii="Arial" w:hAnsi="Arial" w:cs="Arial"/>
        </w:rPr>
        <w:t xml:space="preserve"> </w:t>
      </w:r>
    </w:p>
    <w:p w14:paraId="65ED0C85" w14:textId="2241CFDE" w:rsidR="00B61123" w:rsidRDefault="00B61123" w:rsidP="00C670B4">
      <w:pPr>
        <w:pStyle w:val="ListParagraph"/>
        <w:numPr>
          <w:ilvl w:val="0"/>
          <w:numId w:val="10"/>
        </w:numPr>
        <w:spacing w:after="0" w:line="360" w:lineRule="auto"/>
        <w:ind w:left="0" w:firstLine="720"/>
        <w:jc w:val="both"/>
        <w:rPr>
          <w:rFonts w:ascii="Arial" w:hAnsi="Arial" w:cs="Arial"/>
        </w:rPr>
      </w:pPr>
      <w:r w:rsidRPr="00B61123">
        <w:rPr>
          <w:rFonts w:ascii="Arial" w:hAnsi="Arial" w:cs="Arial"/>
        </w:rPr>
        <w:t>Comparative Analysis:</w:t>
      </w:r>
      <w:r w:rsidR="00C670B4">
        <w:rPr>
          <w:rFonts w:ascii="Arial" w:hAnsi="Arial" w:cs="Arial"/>
        </w:rPr>
        <w:t xml:space="preserve"> - </w:t>
      </w:r>
      <w:r w:rsidRPr="00B61123">
        <w:rPr>
          <w:rFonts w:ascii="Arial" w:hAnsi="Arial" w:cs="Arial"/>
        </w:rPr>
        <w:t>Patterns of compliance, divergence, and innovation will be mapped across cases to highlight which practices support the goals of the Green Deal and which require policy improvement or operational development.</w:t>
      </w:r>
    </w:p>
    <w:p w14:paraId="3BBCA928" w14:textId="77777777" w:rsidR="00C670B4" w:rsidRPr="00B61123" w:rsidRDefault="00C670B4" w:rsidP="00B61123">
      <w:pPr>
        <w:spacing w:after="0" w:line="360" w:lineRule="auto"/>
        <w:ind w:firstLine="720"/>
        <w:jc w:val="both"/>
        <w:rPr>
          <w:rFonts w:ascii="Arial" w:hAnsi="Arial" w:cs="Arial"/>
        </w:rPr>
      </w:pPr>
    </w:p>
    <w:p w14:paraId="52063EFB" w14:textId="0F52A64D" w:rsidR="00B61123" w:rsidRDefault="00B61123" w:rsidP="00C670B4">
      <w:pPr>
        <w:pStyle w:val="Heading1"/>
        <w:spacing w:before="0" w:line="360" w:lineRule="auto"/>
        <w:ind w:firstLine="720"/>
        <w:jc w:val="both"/>
        <w:rPr>
          <w:rFonts w:ascii="Arial" w:hAnsi="Arial" w:cs="Arial"/>
          <w:b/>
          <w:bCs/>
          <w:color w:val="auto"/>
          <w:sz w:val="28"/>
          <w:szCs w:val="28"/>
        </w:rPr>
      </w:pPr>
      <w:bookmarkStart w:id="6" w:name="_Toc204882506"/>
      <w:r w:rsidRPr="00C670B4">
        <w:rPr>
          <w:rFonts w:ascii="Arial" w:hAnsi="Arial" w:cs="Arial"/>
          <w:b/>
          <w:bCs/>
          <w:color w:val="auto"/>
          <w:sz w:val="28"/>
          <w:szCs w:val="28"/>
        </w:rPr>
        <w:lastRenderedPageBreak/>
        <w:t>Timeline</w:t>
      </w:r>
      <w:bookmarkEnd w:id="6"/>
    </w:p>
    <w:p w14:paraId="714D1961" w14:textId="77777777" w:rsidR="00C670B4" w:rsidRPr="00C670B4" w:rsidRDefault="00C670B4" w:rsidP="00C670B4"/>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4"/>
        <w:gridCol w:w="2556"/>
      </w:tblGrid>
      <w:tr w:rsidR="00B61123" w:rsidRPr="00B61123" w14:paraId="063B58FA" w14:textId="77777777" w:rsidTr="003F3F1A">
        <w:trPr>
          <w:tblCellSpacing w:w="15" w:type="dxa"/>
        </w:trPr>
        <w:tc>
          <w:tcPr>
            <w:tcW w:w="0" w:type="auto"/>
            <w:vAlign w:val="center"/>
            <w:hideMark/>
          </w:tcPr>
          <w:p w14:paraId="54AAF5E7"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Task</w:t>
            </w:r>
          </w:p>
        </w:tc>
        <w:tc>
          <w:tcPr>
            <w:tcW w:w="0" w:type="auto"/>
            <w:vAlign w:val="center"/>
            <w:hideMark/>
          </w:tcPr>
          <w:p w14:paraId="3DA88D23"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Timeline (Months)</w:t>
            </w:r>
          </w:p>
        </w:tc>
      </w:tr>
      <w:tr w:rsidR="00B61123" w:rsidRPr="00B61123" w14:paraId="7399C772" w14:textId="77777777" w:rsidTr="003F3F1A">
        <w:trPr>
          <w:tblCellSpacing w:w="15" w:type="dxa"/>
        </w:trPr>
        <w:tc>
          <w:tcPr>
            <w:tcW w:w="0" w:type="auto"/>
            <w:vAlign w:val="center"/>
            <w:hideMark/>
          </w:tcPr>
          <w:p w14:paraId="2DD11975"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Literature review</w:t>
            </w:r>
          </w:p>
        </w:tc>
        <w:tc>
          <w:tcPr>
            <w:tcW w:w="0" w:type="auto"/>
            <w:vAlign w:val="center"/>
            <w:hideMark/>
          </w:tcPr>
          <w:p w14:paraId="49CA5E8B"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Month 1 – 2</w:t>
            </w:r>
          </w:p>
        </w:tc>
      </w:tr>
      <w:tr w:rsidR="00B61123" w:rsidRPr="00B61123" w14:paraId="19B36E39" w14:textId="77777777" w:rsidTr="003F3F1A">
        <w:trPr>
          <w:tblCellSpacing w:w="15" w:type="dxa"/>
        </w:trPr>
        <w:tc>
          <w:tcPr>
            <w:tcW w:w="0" w:type="auto"/>
            <w:vAlign w:val="center"/>
            <w:hideMark/>
          </w:tcPr>
          <w:p w14:paraId="6D854F28"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Methodology design</w:t>
            </w:r>
          </w:p>
        </w:tc>
        <w:tc>
          <w:tcPr>
            <w:tcW w:w="0" w:type="auto"/>
            <w:vAlign w:val="center"/>
            <w:hideMark/>
          </w:tcPr>
          <w:p w14:paraId="2E3A9D5B"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Month 2</w:t>
            </w:r>
          </w:p>
        </w:tc>
      </w:tr>
      <w:tr w:rsidR="00B61123" w:rsidRPr="00B61123" w14:paraId="29A98905" w14:textId="77777777" w:rsidTr="003F3F1A">
        <w:trPr>
          <w:tblCellSpacing w:w="15" w:type="dxa"/>
        </w:trPr>
        <w:tc>
          <w:tcPr>
            <w:tcW w:w="0" w:type="auto"/>
            <w:vAlign w:val="center"/>
            <w:hideMark/>
          </w:tcPr>
          <w:p w14:paraId="13984319"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Data collection (secondary &amp; primary)</w:t>
            </w:r>
          </w:p>
        </w:tc>
        <w:tc>
          <w:tcPr>
            <w:tcW w:w="0" w:type="auto"/>
            <w:vAlign w:val="center"/>
            <w:hideMark/>
          </w:tcPr>
          <w:p w14:paraId="5352C702"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Month 3 – 4</w:t>
            </w:r>
          </w:p>
        </w:tc>
      </w:tr>
      <w:tr w:rsidR="00B61123" w:rsidRPr="00B61123" w14:paraId="7606CAE5" w14:textId="77777777" w:rsidTr="003F3F1A">
        <w:trPr>
          <w:tblCellSpacing w:w="15" w:type="dxa"/>
        </w:trPr>
        <w:tc>
          <w:tcPr>
            <w:tcW w:w="0" w:type="auto"/>
            <w:vAlign w:val="center"/>
            <w:hideMark/>
          </w:tcPr>
          <w:p w14:paraId="67FA50DE"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Data analysis</w:t>
            </w:r>
          </w:p>
        </w:tc>
        <w:tc>
          <w:tcPr>
            <w:tcW w:w="0" w:type="auto"/>
            <w:vAlign w:val="center"/>
            <w:hideMark/>
          </w:tcPr>
          <w:p w14:paraId="08FD3C81"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Month 4 – 5</w:t>
            </w:r>
          </w:p>
        </w:tc>
      </w:tr>
      <w:tr w:rsidR="00B61123" w:rsidRPr="00B61123" w14:paraId="7258DFD3" w14:textId="77777777" w:rsidTr="003F3F1A">
        <w:trPr>
          <w:tblCellSpacing w:w="15" w:type="dxa"/>
        </w:trPr>
        <w:tc>
          <w:tcPr>
            <w:tcW w:w="0" w:type="auto"/>
            <w:vAlign w:val="center"/>
            <w:hideMark/>
          </w:tcPr>
          <w:p w14:paraId="7DA2AF92"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Draft writing</w:t>
            </w:r>
          </w:p>
        </w:tc>
        <w:tc>
          <w:tcPr>
            <w:tcW w:w="0" w:type="auto"/>
            <w:vAlign w:val="center"/>
            <w:hideMark/>
          </w:tcPr>
          <w:p w14:paraId="653661F5"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Month 5</w:t>
            </w:r>
          </w:p>
        </w:tc>
      </w:tr>
      <w:tr w:rsidR="00B61123" w:rsidRPr="00B61123" w14:paraId="5352F139" w14:textId="77777777" w:rsidTr="003F3F1A">
        <w:trPr>
          <w:tblCellSpacing w:w="15" w:type="dxa"/>
        </w:trPr>
        <w:tc>
          <w:tcPr>
            <w:tcW w:w="0" w:type="auto"/>
            <w:vAlign w:val="center"/>
            <w:hideMark/>
          </w:tcPr>
          <w:p w14:paraId="568F8A1A"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Revisions and final submission</w:t>
            </w:r>
          </w:p>
        </w:tc>
        <w:tc>
          <w:tcPr>
            <w:tcW w:w="0" w:type="auto"/>
            <w:vAlign w:val="center"/>
            <w:hideMark/>
          </w:tcPr>
          <w:p w14:paraId="5BB1E960" w14:textId="77777777" w:rsidR="00B61123" w:rsidRPr="00A56B7B" w:rsidRDefault="00B61123" w:rsidP="00B61123">
            <w:pPr>
              <w:spacing w:after="0" w:line="360" w:lineRule="auto"/>
              <w:ind w:firstLine="720"/>
              <w:jc w:val="both"/>
              <w:rPr>
                <w:rFonts w:ascii="Arial" w:hAnsi="Arial" w:cs="Arial"/>
              </w:rPr>
            </w:pPr>
            <w:r w:rsidRPr="00A56B7B">
              <w:rPr>
                <w:rFonts w:ascii="Arial" w:hAnsi="Arial" w:cs="Arial"/>
              </w:rPr>
              <w:t>Month 6</w:t>
            </w:r>
          </w:p>
        </w:tc>
      </w:tr>
    </w:tbl>
    <w:p w14:paraId="2FFD0062" w14:textId="77777777" w:rsidR="00B61123" w:rsidRPr="00B61123" w:rsidRDefault="00B61123" w:rsidP="00B61123">
      <w:pPr>
        <w:spacing w:after="0" w:line="360" w:lineRule="auto"/>
        <w:ind w:firstLine="720"/>
        <w:jc w:val="both"/>
        <w:rPr>
          <w:rFonts w:ascii="Arial" w:hAnsi="Arial" w:cs="Arial"/>
        </w:rPr>
      </w:pPr>
    </w:p>
    <w:p w14:paraId="7208BA3F" w14:textId="77777777" w:rsidR="00F13016" w:rsidRPr="00B61123" w:rsidRDefault="00F13016" w:rsidP="00B61123">
      <w:pPr>
        <w:spacing w:after="0" w:line="360" w:lineRule="auto"/>
        <w:ind w:firstLine="720"/>
        <w:jc w:val="both"/>
        <w:rPr>
          <w:rFonts w:ascii="Arial" w:hAnsi="Arial" w:cs="Arial"/>
        </w:rPr>
      </w:pPr>
    </w:p>
    <w:p w14:paraId="2B8F06C9" w14:textId="77777777" w:rsidR="00B61123" w:rsidRPr="00B61123" w:rsidRDefault="00B61123" w:rsidP="00B61123">
      <w:pPr>
        <w:spacing w:after="0" w:line="360" w:lineRule="auto"/>
        <w:ind w:firstLine="720"/>
        <w:jc w:val="both"/>
        <w:rPr>
          <w:rFonts w:ascii="Arial" w:hAnsi="Arial" w:cs="Arial"/>
        </w:rPr>
      </w:pPr>
    </w:p>
    <w:p w14:paraId="1EB85E94" w14:textId="77777777" w:rsidR="00B61123" w:rsidRPr="00B61123" w:rsidRDefault="00B61123" w:rsidP="00B61123">
      <w:pPr>
        <w:spacing w:after="0" w:line="360" w:lineRule="auto"/>
        <w:ind w:firstLine="720"/>
        <w:jc w:val="both"/>
        <w:rPr>
          <w:rFonts w:ascii="Arial" w:hAnsi="Arial" w:cs="Arial"/>
        </w:rPr>
      </w:pPr>
    </w:p>
    <w:p w14:paraId="06D8F2F4" w14:textId="77777777" w:rsidR="00B61123" w:rsidRPr="00B61123" w:rsidRDefault="00B61123" w:rsidP="00B61123">
      <w:pPr>
        <w:spacing w:after="0" w:line="360" w:lineRule="auto"/>
        <w:ind w:firstLine="720"/>
        <w:jc w:val="both"/>
        <w:rPr>
          <w:rFonts w:ascii="Arial" w:hAnsi="Arial" w:cs="Arial"/>
        </w:rPr>
      </w:pPr>
    </w:p>
    <w:p w14:paraId="62B361BA" w14:textId="77777777" w:rsidR="00B61123" w:rsidRPr="00B61123" w:rsidRDefault="00B61123" w:rsidP="00B61123">
      <w:pPr>
        <w:spacing w:after="0" w:line="360" w:lineRule="auto"/>
        <w:ind w:firstLine="720"/>
        <w:jc w:val="both"/>
        <w:rPr>
          <w:rFonts w:ascii="Arial" w:hAnsi="Arial" w:cs="Arial"/>
        </w:rPr>
      </w:pPr>
    </w:p>
    <w:p w14:paraId="53F6C79B" w14:textId="77777777" w:rsidR="00B61123" w:rsidRPr="00B61123" w:rsidRDefault="00B61123" w:rsidP="00B61123">
      <w:pPr>
        <w:spacing w:after="0" w:line="360" w:lineRule="auto"/>
        <w:ind w:firstLine="720"/>
        <w:jc w:val="both"/>
        <w:rPr>
          <w:rFonts w:ascii="Arial" w:hAnsi="Arial" w:cs="Arial"/>
        </w:rPr>
      </w:pPr>
    </w:p>
    <w:p w14:paraId="684ECC6C" w14:textId="77777777" w:rsidR="00B61123" w:rsidRDefault="00B61123" w:rsidP="00715B22">
      <w:pPr>
        <w:spacing w:after="0" w:line="360" w:lineRule="auto"/>
        <w:ind w:firstLine="720"/>
        <w:jc w:val="both"/>
        <w:rPr>
          <w:rFonts w:ascii="Arial" w:hAnsi="Arial" w:cs="Arial"/>
        </w:rPr>
      </w:pPr>
    </w:p>
    <w:p w14:paraId="0FC45E05" w14:textId="77777777" w:rsidR="00B61123" w:rsidRDefault="00B61123" w:rsidP="00715B22">
      <w:pPr>
        <w:spacing w:after="0" w:line="360" w:lineRule="auto"/>
        <w:ind w:firstLine="720"/>
        <w:jc w:val="both"/>
        <w:rPr>
          <w:rFonts w:ascii="Arial" w:hAnsi="Arial" w:cs="Arial"/>
        </w:rPr>
      </w:pPr>
    </w:p>
    <w:p w14:paraId="69CBED7C" w14:textId="77777777" w:rsidR="00B61123" w:rsidRDefault="00B61123" w:rsidP="00715B22">
      <w:pPr>
        <w:spacing w:after="0" w:line="360" w:lineRule="auto"/>
        <w:ind w:firstLine="720"/>
        <w:jc w:val="both"/>
        <w:rPr>
          <w:rFonts w:ascii="Arial" w:hAnsi="Arial" w:cs="Arial"/>
        </w:rPr>
      </w:pPr>
    </w:p>
    <w:p w14:paraId="1767A310" w14:textId="77777777" w:rsidR="00B61123" w:rsidRDefault="00B61123" w:rsidP="00715B22">
      <w:pPr>
        <w:spacing w:after="0" w:line="360" w:lineRule="auto"/>
        <w:ind w:firstLine="720"/>
        <w:jc w:val="both"/>
        <w:rPr>
          <w:rFonts w:ascii="Arial" w:hAnsi="Arial" w:cs="Arial"/>
        </w:rPr>
      </w:pPr>
    </w:p>
    <w:p w14:paraId="1F7BE1C3" w14:textId="77777777" w:rsidR="00F13016" w:rsidRDefault="00F13016" w:rsidP="00715B22">
      <w:pPr>
        <w:spacing w:after="0" w:line="360" w:lineRule="auto"/>
        <w:ind w:firstLine="720"/>
        <w:jc w:val="both"/>
        <w:rPr>
          <w:rFonts w:ascii="Arial" w:hAnsi="Arial" w:cs="Arial"/>
        </w:rPr>
      </w:pPr>
    </w:p>
    <w:p w14:paraId="4C6D2EEC" w14:textId="77777777" w:rsidR="00F13016" w:rsidRDefault="00F13016" w:rsidP="00715B22">
      <w:pPr>
        <w:spacing w:after="0" w:line="360" w:lineRule="auto"/>
        <w:ind w:firstLine="720"/>
        <w:jc w:val="both"/>
        <w:rPr>
          <w:rFonts w:ascii="Arial" w:hAnsi="Arial" w:cs="Arial"/>
        </w:rPr>
      </w:pPr>
    </w:p>
    <w:p w14:paraId="6E2A3032" w14:textId="77777777" w:rsidR="00F13016" w:rsidRDefault="00F13016" w:rsidP="00715B22">
      <w:pPr>
        <w:spacing w:after="0" w:line="360" w:lineRule="auto"/>
        <w:ind w:firstLine="720"/>
        <w:jc w:val="both"/>
        <w:rPr>
          <w:rFonts w:ascii="Arial" w:hAnsi="Arial" w:cs="Arial"/>
        </w:rPr>
      </w:pPr>
    </w:p>
    <w:p w14:paraId="3F3420B5" w14:textId="77777777" w:rsidR="00F13016" w:rsidRDefault="00F13016" w:rsidP="00715B22">
      <w:pPr>
        <w:spacing w:after="0" w:line="360" w:lineRule="auto"/>
        <w:ind w:firstLine="720"/>
        <w:jc w:val="both"/>
        <w:rPr>
          <w:rFonts w:ascii="Arial" w:hAnsi="Arial" w:cs="Arial"/>
        </w:rPr>
      </w:pPr>
    </w:p>
    <w:p w14:paraId="609C6225" w14:textId="77777777" w:rsidR="00F13016" w:rsidRDefault="00F13016" w:rsidP="00715B22">
      <w:pPr>
        <w:spacing w:after="0" w:line="360" w:lineRule="auto"/>
        <w:ind w:firstLine="720"/>
        <w:jc w:val="both"/>
        <w:rPr>
          <w:rFonts w:ascii="Arial" w:hAnsi="Arial" w:cs="Arial"/>
        </w:rPr>
      </w:pPr>
    </w:p>
    <w:p w14:paraId="15C94B46" w14:textId="77777777" w:rsidR="00F13016" w:rsidRDefault="00F13016" w:rsidP="00715B22">
      <w:pPr>
        <w:spacing w:after="0" w:line="360" w:lineRule="auto"/>
        <w:ind w:firstLine="720"/>
        <w:jc w:val="both"/>
        <w:rPr>
          <w:rFonts w:ascii="Arial" w:hAnsi="Arial" w:cs="Arial"/>
        </w:rPr>
      </w:pPr>
    </w:p>
    <w:p w14:paraId="10EB3864" w14:textId="77777777" w:rsidR="00C670B4" w:rsidRDefault="00C670B4" w:rsidP="00715B22">
      <w:pPr>
        <w:spacing w:after="0" w:line="360" w:lineRule="auto"/>
        <w:ind w:firstLine="720"/>
        <w:jc w:val="both"/>
        <w:rPr>
          <w:rFonts w:ascii="Arial" w:hAnsi="Arial" w:cs="Arial"/>
        </w:rPr>
      </w:pPr>
    </w:p>
    <w:p w14:paraId="47F66A1F" w14:textId="77777777" w:rsidR="00C670B4" w:rsidRDefault="00C670B4" w:rsidP="00715B22">
      <w:pPr>
        <w:spacing w:after="0" w:line="360" w:lineRule="auto"/>
        <w:ind w:firstLine="720"/>
        <w:jc w:val="both"/>
        <w:rPr>
          <w:rFonts w:ascii="Arial" w:hAnsi="Arial" w:cs="Arial"/>
        </w:rPr>
      </w:pPr>
    </w:p>
    <w:p w14:paraId="0CBBEBB7" w14:textId="77777777" w:rsidR="00C670B4" w:rsidRDefault="00C670B4" w:rsidP="00715B22">
      <w:pPr>
        <w:spacing w:after="0" w:line="360" w:lineRule="auto"/>
        <w:ind w:firstLine="720"/>
        <w:jc w:val="both"/>
        <w:rPr>
          <w:rFonts w:ascii="Arial" w:hAnsi="Arial" w:cs="Arial"/>
        </w:rPr>
      </w:pPr>
    </w:p>
    <w:p w14:paraId="7E71EE49" w14:textId="77777777" w:rsidR="00C670B4" w:rsidRDefault="00C670B4" w:rsidP="00715B22">
      <w:pPr>
        <w:spacing w:after="0" w:line="360" w:lineRule="auto"/>
        <w:ind w:firstLine="720"/>
        <w:jc w:val="both"/>
        <w:rPr>
          <w:rFonts w:ascii="Arial" w:hAnsi="Arial" w:cs="Arial"/>
        </w:rPr>
      </w:pPr>
    </w:p>
    <w:p w14:paraId="74B90EFE" w14:textId="77777777" w:rsidR="00C670B4" w:rsidRDefault="00C670B4" w:rsidP="00715B22">
      <w:pPr>
        <w:spacing w:after="0" w:line="360" w:lineRule="auto"/>
        <w:ind w:firstLine="720"/>
        <w:jc w:val="both"/>
        <w:rPr>
          <w:rFonts w:ascii="Arial" w:hAnsi="Arial" w:cs="Arial"/>
        </w:rPr>
      </w:pPr>
    </w:p>
    <w:p w14:paraId="43FF127C" w14:textId="77777777" w:rsidR="00C670B4" w:rsidRDefault="00C670B4" w:rsidP="00715B22">
      <w:pPr>
        <w:spacing w:after="0" w:line="360" w:lineRule="auto"/>
        <w:ind w:firstLine="720"/>
        <w:jc w:val="both"/>
        <w:rPr>
          <w:rFonts w:ascii="Arial" w:hAnsi="Arial" w:cs="Arial"/>
        </w:rPr>
      </w:pPr>
    </w:p>
    <w:p w14:paraId="01C734F3" w14:textId="77777777" w:rsidR="00F13016" w:rsidRDefault="00F13016" w:rsidP="00715B22">
      <w:pPr>
        <w:spacing w:after="0" w:line="360" w:lineRule="auto"/>
        <w:ind w:firstLine="720"/>
        <w:jc w:val="both"/>
        <w:rPr>
          <w:rFonts w:ascii="Arial" w:hAnsi="Arial" w:cs="Arial"/>
        </w:rPr>
      </w:pPr>
    </w:p>
    <w:p w14:paraId="0E9D289B" w14:textId="77777777" w:rsidR="00F13016" w:rsidRDefault="00F13016" w:rsidP="00715B22">
      <w:pPr>
        <w:spacing w:after="0" w:line="360" w:lineRule="auto"/>
        <w:ind w:firstLine="720"/>
        <w:jc w:val="both"/>
        <w:rPr>
          <w:rFonts w:ascii="Arial" w:hAnsi="Arial" w:cs="Arial"/>
        </w:rPr>
      </w:pPr>
    </w:p>
    <w:p w14:paraId="17318DEF" w14:textId="67E5E2D0" w:rsidR="005156E3" w:rsidRPr="00B61123" w:rsidRDefault="005156E3" w:rsidP="00430734">
      <w:pPr>
        <w:pStyle w:val="Heading1"/>
        <w:pBdr>
          <w:top w:val="single" w:sz="4" w:space="1" w:color="auto"/>
        </w:pBdr>
        <w:spacing w:before="0" w:line="360" w:lineRule="auto"/>
        <w:ind w:firstLine="720"/>
        <w:contextualSpacing/>
        <w:jc w:val="both"/>
        <w:rPr>
          <w:rFonts w:ascii="Arial" w:eastAsiaTheme="minorHAnsi" w:hAnsi="Arial" w:cs="Arial"/>
          <w:color w:val="auto"/>
          <w:sz w:val="22"/>
          <w:szCs w:val="22"/>
        </w:rPr>
      </w:pPr>
      <w:bookmarkStart w:id="7" w:name="_Toc204882507"/>
      <w:r w:rsidRPr="00F26256">
        <w:rPr>
          <w:rFonts w:ascii="Arial" w:hAnsi="Arial" w:cs="Arial"/>
          <w:b/>
          <w:bCs/>
          <w:color w:val="auto"/>
          <w:sz w:val="24"/>
          <w:szCs w:val="24"/>
        </w:rPr>
        <w:lastRenderedPageBreak/>
        <w:t>References</w:t>
      </w:r>
      <w:r w:rsidR="00B61123">
        <w:rPr>
          <w:rFonts w:ascii="Arial" w:hAnsi="Arial" w:cs="Arial"/>
          <w:b/>
          <w:bCs/>
          <w:color w:val="auto"/>
          <w:sz w:val="24"/>
          <w:szCs w:val="24"/>
        </w:rPr>
        <w:t xml:space="preserve"> </w:t>
      </w:r>
      <w:r w:rsidR="00B61123" w:rsidRPr="00B61123">
        <w:rPr>
          <w:rFonts w:ascii="Arial" w:eastAsiaTheme="minorHAnsi" w:hAnsi="Arial" w:cs="Arial"/>
          <w:color w:val="auto"/>
          <w:sz w:val="22"/>
          <w:szCs w:val="22"/>
        </w:rPr>
        <w:t>(to be expanded)</w:t>
      </w:r>
      <w:bookmarkEnd w:id="7"/>
    </w:p>
    <w:p w14:paraId="2CA7A5A8" w14:textId="77777777" w:rsidR="00B61123" w:rsidRDefault="00B61123" w:rsidP="00B61123">
      <w:pPr>
        <w:spacing w:after="0" w:line="360" w:lineRule="auto"/>
        <w:jc w:val="both"/>
        <w:rPr>
          <w:rFonts w:ascii="Arial" w:hAnsi="Arial" w:cs="Arial"/>
        </w:rPr>
      </w:pPr>
    </w:p>
    <w:p w14:paraId="42D7F31F"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Bainton, N. and Holcombe, S. (2018). A critical review of mining and sustainability. *Sustainability*.</w:t>
      </w:r>
    </w:p>
    <w:p w14:paraId="23CEEA83"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Dimitrova, L. and Markovic, B. (2022). ESG Integration in Balkan Mining: Gaps and Opportunities. *Southeast Europe Journal of Economics and Business*.</w:t>
      </w:r>
    </w:p>
    <w:p w14:paraId="60B28070"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Dundee Precious Metals (2023). Sustainability Report.</w:t>
      </w:r>
    </w:p>
    <w:p w14:paraId="7E190727"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EBRD (2021). ESG Due Diligence in Transition Economies.</w:t>
      </w:r>
    </w:p>
    <w:p w14:paraId="4E101D1A"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Elatsite-Med (2022). Corporate Social Responsibility Report.</w:t>
      </w:r>
    </w:p>
    <w:p w14:paraId="1E1B3728"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European Commission (2020). The European Green Deal.</w:t>
      </w:r>
    </w:p>
    <w:p w14:paraId="67611A2E"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European Commission (2023). Critical Raw Materials Act.</w:t>
      </w:r>
    </w:p>
    <w:p w14:paraId="49F2034C"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GRI (2023). Global Reporting Standards.</w:t>
      </w:r>
    </w:p>
    <w:p w14:paraId="564483AA"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ICMM (2022). Good Practice Guidance for Mining and ESG.</w:t>
      </w:r>
    </w:p>
    <w:p w14:paraId="75E3DB7F"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Li, J. and Zhou, Y. (2021). ESG and Investment in Extractive Industries. *Journal of Environmental Finance*.</w:t>
      </w:r>
    </w:p>
    <w:p w14:paraId="4FF06933"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Serbia Zijin Bor Copper (2022). ESG Disclosure Summary.</w:t>
      </w:r>
    </w:p>
    <w:p w14:paraId="4BF6471D"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TCFD (2023). Implementation Guidance.</w:t>
      </w:r>
    </w:p>
    <w:p w14:paraId="59CE7467" w14:textId="77777777" w:rsid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World Bank (2020). Minerals for Climate Action.</w:t>
      </w:r>
    </w:p>
    <w:p w14:paraId="0CB1B09E" w14:textId="59D46372" w:rsidR="00B61123" w:rsidRPr="00B61123" w:rsidRDefault="00B61123" w:rsidP="00B61123">
      <w:pPr>
        <w:pStyle w:val="ListParagraph"/>
        <w:numPr>
          <w:ilvl w:val="0"/>
          <w:numId w:val="2"/>
        </w:numPr>
        <w:spacing w:after="0" w:line="360" w:lineRule="auto"/>
        <w:ind w:left="0" w:firstLine="720"/>
        <w:jc w:val="both"/>
        <w:rPr>
          <w:rFonts w:ascii="Arial" w:hAnsi="Arial" w:cs="Arial"/>
        </w:rPr>
      </w:pPr>
      <w:r w:rsidRPr="00B61123">
        <w:rPr>
          <w:rFonts w:ascii="Arial" w:hAnsi="Arial" w:cs="Arial"/>
        </w:rPr>
        <w:t>Assarel-Medet (2022). Environmental and Social Overview</w:t>
      </w:r>
    </w:p>
    <w:sectPr w:rsidR="00B61123" w:rsidRPr="00B61123" w:rsidSect="006818F1">
      <w:footerReference w:type="default" r:id="rId9"/>
      <w:pgSz w:w="12240" w:h="15840" w:code="1"/>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25D80" w14:textId="77777777" w:rsidR="0040185C" w:rsidRDefault="0040185C">
      <w:pPr>
        <w:spacing w:after="0" w:line="240" w:lineRule="auto"/>
      </w:pPr>
      <w:r>
        <w:separator/>
      </w:r>
    </w:p>
  </w:endnote>
  <w:endnote w:type="continuationSeparator" w:id="0">
    <w:p w14:paraId="5E19AE5B" w14:textId="77777777" w:rsidR="0040185C" w:rsidRDefault="0040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C971F" w14:textId="77777777" w:rsidR="0040185C" w:rsidRDefault="0040185C">
      <w:pPr>
        <w:spacing w:after="0" w:line="240" w:lineRule="auto"/>
      </w:pPr>
      <w:r>
        <w:separator/>
      </w:r>
    </w:p>
  </w:footnote>
  <w:footnote w:type="continuationSeparator" w:id="0">
    <w:p w14:paraId="036AC982" w14:textId="77777777" w:rsidR="0040185C" w:rsidRDefault="00401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425D"/>
    <w:multiLevelType w:val="hybridMultilevel"/>
    <w:tmpl w:val="53AECDCE"/>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158D008A"/>
    <w:multiLevelType w:val="hybridMultilevel"/>
    <w:tmpl w:val="AD701878"/>
    <w:lvl w:ilvl="0" w:tplc="9708946E">
      <w:start w:val="1"/>
      <w:numFmt w:val="bullet"/>
      <w:lvlText w:val=""/>
      <w:lvlJc w:val="left"/>
      <w:pPr>
        <w:ind w:left="720" w:hanging="360"/>
      </w:pPr>
      <w:rPr>
        <w:rFonts w:ascii="Symbol" w:hAnsi="Symbol" w:hint="default"/>
      </w:rPr>
    </w:lvl>
    <w:lvl w:ilvl="1" w:tplc="ED0C6B46" w:tentative="1">
      <w:start w:val="1"/>
      <w:numFmt w:val="bullet"/>
      <w:lvlText w:val="o"/>
      <w:lvlJc w:val="left"/>
      <w:pPr>
        <w:ind w:left="1440" w:hanging="360"/>
      </w:pPr>
      <w:rPr>
        <w:rFonts w:ascii="Courier New" w:hAnsi="Courier New" w:cs="Courier New" w:hint="default"/>
      </w:rPr>
    </w:lvl>
    <w:lvl w:ilvl="2" w:tplc="E1D41CB4" w:tentative="1">
      <w:start w:val="1"/>
      <w:numFmt w:val="bullet"/>
      <w:lvlText w:val=""/>
      <w:lvlJc w:val="left"/>
      <w:pPr>
        <w:ind w:left="2160" w:hanging="360"/>
      </w:pPr>
      <w:rPr>
        <w:rFonts w:ascii="Wingdings" w:hAnsi="Wingdings" w:hint="default"/>
      </w:rPr>
    </w:lvl>
    <w:lvl w:ilvl="3" w:tplc="6E7C2A50" w:tentative="1">
      <w:start w:val="1"/>
      <w:numFmt w:val="bullet"/>
      <w:lvlText w:val=""/>
      <w:lvlJc w:val="left"/>
      <w:pPr>
        <w:ind w:left="2880" w:hanging="360"/>
      </w:pPr>
      <w:rPr>
        <w:rFonts w:ascii="Symbol" w:hAnsi="Symbol" w:hint="default"/>
      </w:rPr>
    </w:lvl>
    <w:lvl w:ilvl="4" w:tplc="B68E19CC" w:tentative="1">
      <w:start w:val="1"/>
      <w:numFmt w:val="bullet"/>
      <w:lvlText w:val="o"/>
      <w:lvlJc w:val="left"/>
      <w:pPr>
        <w:ind w:left="3600" w:hanging="360"/>
      </w:pPr>
      <w:rPr>
        <w:rFonts w:ascii="Courier New" w:hAnsi="Courier New" w:cs="Courier New" w:hint="default"/>
      </w:rPr>
    </w:lvl>
    <w:lvl w:ilvl="5" w:tplc="FF5AD878" w:tentative="1">
      <w:start w:val="1"/>
      <w:numFmt w:val="bullet"/>
      <w:lvlText w:val=""/>
      <w:lvlJc w:val="left"/>
      <w:pPr>
        <w:ind w:left="4320" w:hanging="360"/>
      </w:pPr>
      <w:rPr>
        <w:rFonts w:ascii="Wingdings" w:hAnsi="Wingdings" w:hint="default"/>
      </w:rPr>
    </w:lvl>
    <w:lvl w:ilvl="6" w:tplc="FC109260" w:tentative="1">
      <w:start w:val="1"/>
      <w:numFmt w:val="bullet"/>
      <w:lvlText w:val=""/>
      <w:lvlJc w:val="left"/>
      <w:pPr>
        <w:ind w:left="5040" w:hanging="360"/>
      </w:pPr>
      <w:rPr>
        <w:rFonts w:ascii="Symbol" w:hAnsi="Symbol" w:hint="default"/>
      </w:rPr>
    </w:lvl>
    <w:lvl w:ilvl="7" w:tplc="19DA33BA" w:tentative="1">
      <w:start w:val="1"/>
      <w:numFmt w:val="bullet"/>
      <w:lvlText w:val="o"/>
      <w:lvlJc w:val="left"/>
      <w:pPr>
        <w:ind w:left="5760" w:hanging="360"/>
      </w:pPr>
      <w:rPr>
        <w:rFonts w:ascii="Courier New" w:hAnsi="Courier New" w:cs="Courier New" w:hint="default"/>
      </w:rPr>
    </w:lvl>
    <w:lvl w:ilvl="8" w:tplc="E8523DA4" w:tentative="1">
      <w:start w:val="1"/>
      <w:numFmt w:val="bullet"/>
      <w:lvlText w:val=""/>
      <w:lvlJc w:val="left"/>
      <w:pPr>
        <w:ind w:left="6480" w:hanging="360"/>
      </w:pPr>
      <w:rPr>
        <w:rFonts w:ascii="Wingdings" w:hAnsi="Wingdings" w:hint="default"/>
      </w:rPr>
    </w:lvl>
  </w:abstractNum>
  <w:abstractNum w:abstractNumId="2" w15:restartNumberingAfterBreak="0">
    <w:nsid w:val="44133CCE"/>
    <w:multiLevelType w:val="hybridMultilevel"/>
    <w:tmpl w:val="F2FAF14E"/>
    <w:lvl w:ilvl="0" w:tplc="0409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53C73FAB"/>
    <w:multiLevelType w:val="hybridMultilevel"/>
    <w:tmpl w:val="756E5E60"/>
    <w:lvl w:ilvl="0" w:tplc="BB44C832">
      <w:start w:val="1"/>
      <w:numFmt w:val="bullet"/>
      <w:lvlText w:val=""/>
      <w:lvlJc w:val="left"/>
      <w:pPr>
        <w:ind w:left="720" w:hanging="360"/>
      </w:pPr>
      <w:rPr>
        <w:rFonts w:ascii="Symbol" w:hAnsi="Symbol" w:hint="default"/>
      </w:rPr>
    </w:lvl>
    <w:lvl w:ilvl="1" w:tplc="BEC8A7B0" w:tentative="1">
      <w:start w:val="1"/>
      <w:numFmt w:val="bullet"/>
      <w:lvlText w:val="o"/>
      <w:lvlJc w:val="left"/>
      <w:pPr>
        <w:ind w:left="1440" w:hanging="360"/>
      </w:pPr>
      <w:rPr>
        <w:rFonts w:ascii="Courier New" w:hAnsi="Courier New" w:cs="Courier New" w:hint="default"/>
      </w:rPr>
    </w:lvl>
    <w:lvl w:ilvl="2" w:tplc="B24ECF8C" w:tentative="1">
      <w:start w:val="1"/>
      <w:numFmt w:val="bullet"/>
      <w:lvlText w:val=""/>
      <w:lvlJc w:val="left"/>
      <w:pPr>
        <w:ind w:left="2160" w:hanging="360"/>
      </w:pPr>
      <w:rPr>
        <w:rFonts w:ascii="Wingdings" w:hAnsi="Wingdings" w:hint="default"/>
      </w:rPr>
    </w:lvl>
    <w:lvl w:ilvl="3" w:tplc="E75EB904" w:tentative="1">
      <w:start w:val="1"/>
      <w:numFmt w:val="bullet"/>
      <w:lvlText w:val=""/>
      <w:lvlJc w:val="left"/>
      <w:pPr>
        <w:ind w:left="2880" w:hanging="360"/>
      </w:pPr>
      <w:rPr>
        <w:rFonts w:ascii="Symbol" w:hAnsi="Symbol" w:hint="default"/>
      </w:rPr>
    </w:lvl>
    <w:lvl w:ilvl="4" w:tplc="60CCFEF0" w:tentative="1">
      <w:start w:val="1"/>
      <w:numFmt w:val="bullet"/>
      <w:lvlText w:val="o"/>
      <w:lvlJc w:val="left"/>
      <w:pPr>
        <w:ind w:left="3600" w:hanging="360"/>
      </w:pPr>
      <w:rPr>
        <w:rFonts w:ascii="Courier New" w:hAnsi="Courier New" w:cs="Courier New" w:hint="default"/>
      </w:rPr>
    </w:lvl>
    <w:lvl w:ilvl="5" w:tplc="D9B6AA30" w:tentative="1">
      <w:start w:val="1"/>
      <w:numFmt w:val="bullet"/>
      <w:lvlText w:val=""/>
      <w:lvlJc w:val="left"/>
      <w:pPr>
        <w:ind w:left="4320" w:hanging="360"/>
      </w:pPr>
      <w:rPr>
        <w:rFonts w:ascii="Wingdings" w:hAnsi="Wingdings" w:hint="default"/>
      </w:rPr>
    </w:lvl>
    <w:lvl w:ilvl="6" w:tplc="7B18C262" w:tentative="1">
      <w:start w:val="1"/>
      <w:numFmt w:val="bullet"/>
      <w:lvlText w:val=""/>
      <w:lvlJc w:val="left"/>
      <w:pPr>
        <w:ind w:left="5040" w:hanging="360"/>
      </w:pPr>
      <w:rPr>
        <w:rFonts w:ascii="Symbol" w:hAnsi="Symbol" w:hint="default"/>
      </w:rPr>
    </w:lvl>
    <w:lvl w:ilvl="7" w:tplc="DEB09F7C" w:tentative="1">
      <w:start w:val="1"/>
      <w:numFmt w:val="bullet"/>
      <w:lvlText w:val="o"/>
      <w:lvlJc w:val="left"/>
      <w:pPr>
        <w:ind w:left="5760" w:hanging="360"/>
      </w:pPr>
      <w:rPr>
        <w:rFonts w:ascii="Courier New" w:hAnsi="Courier New" w:cs="Courier New" w:hint="default"/>
      </w:rPr>
    </w:lvl>
    <w:lvl w:ilvl="8" w:tplc="DE889C4E" w:tentative="1">
      <w:start w:val="1"/>
      <w:numFmt w:val="bullet"/>
      <w:lvlText w:val=""/>
      <w:lvlJc w:val="left"/>
      <w:pPr>
        <w:ind w:left="6480" w:hanging="360"/>
      </w:pPr>
      <w:rPr>
        <w:rFonts w:ascii="Wingdings" w:hAnsi="Wingdings" w:hint="default"/>
      </w:rPr>
    </w:lvl>
  </w:abstractNum>
  <w:abstractNum w:abstractNumId="4"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FD071D1"/>
    <w:multiLevelType w:val="hybridMultilevel"/>
    <w:tmpl w:val="AF80315E"/>
    <w:lvl w:ilvl="0" w:tplc="51860896">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6"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0006B2"/>
    <w:multiLevelType w:val="hybridMultilevel"/>
    <w:tmpl w:val="3BAA7C4C"/>
    <w:lvl w:ilvl="0" w:tplc="54DAB916">
      <w:start w:val="1"/>
      <w:numFmt w:val="bullet"/>
      <w:lvlText w:val=""/>
      <w:lvlJc w:val="left"/>
      <w:pPr>
        <w:ind w:left="720" w:hanging="360"/>
      </w:pPr>
      <w:rPr>
        <w:rFonts w:ascii="Symbol" w:hAnsi="Symbol" w:hint="default"/>
      </w:rPr>
    </w:lvl>
    <w:lvl w:ilvl="1" w:tplc="14A08190" w:tentative="1">
      <w:start w:val="1"/>
      <w:numFmt w:val="bullet"/>
      <w:lvlText w:val="o"/>
      <w:lvlJc w:val="left"/>
      <w:pPr>
        <w:ind w:left="1440" w:hanging="360"/>
      </w:pPr>
      <w:rPr>
        <w:rFonts w:ascii="Courier New" w:hAnsi="Courier New" w:cs="Courier New" w:hint="default"/>
      </w:rPr>
    </w:lvl>
    <w:lvl w:ilvl="2" w:tplc="0CD24858" w:tentative="1">
      <w:start w:val="1"/>
      <w:numFmt w:val="bullet"/>
      <w:lvlText w:val=""/>
      <w:lvlJc w:val="left"/>
      <w:pPr>
        <w:ind w:left="2160" w:hanging="360"/>
      </w:pPr>
      <w:rPr>
        <w:rFonts w:ascii="Wingdings" w:hAnsi="Wingdings" w:hint="default"/>
      </w:rPr>
    </w:lvl>
    <w:lvl w:ilvl="3" w:tplc="E8349148" w:tentative="1">
      <w:start w:val="1"/>
      <w:numFmt w:val="bullet"/>
      <w:lvlText w:val=""/>
      <w:lvlJc w:val="left"/>
      <w:pPr>
        <w:ind w:left="2880" w:hanging="360"/>
      </w:pPr>
      <w:rPr>
        <w:rFonts w:ascii="Symbol" w:hAnsi="Symbol" w:hint="default"/>
      </w:rPr>
    </w:lvl>
    <w:lvl w:ilvl="4" w:tplc="1144DEE2" w:tentative="1">
      <w:start w:val="1"/>
      <w:numFmt w:val="bullet"/>
      <w:lvlText w:val="o"/>
      <w:lvlJc w:val="left"/>
      <w:pPr>
        <w:ind w:left="3600" w:hanging="360"/>
      </w:pPr>
      <w:rPr>
        <w:rFonts w:ascii="Courier New" w:hAnsi="Courier New" w:cs="Courier New" w:hint="default"/>
      </w:rPr>
    </w:lvl>
    <w:lvl w:ilvl="5" w:tplc="16DC7F86" w:tentative="1">
      <w:start w:val="1"/>
      <w:numFmt w:val="bullet"/>
      <w:lvlText w:val=""/>
      <w:lvlJc w:val="left"/>
      <w:pPr>
        <w:ind w:left="4320" w:hanging="360"/>
      </w:pPr>
      <w:rPr>
        <w:rFonts w:ascii="Wingdings" w:hAnsi="Wingdings" w:hint="default"/>
      </w:rPr>
    </w:lvl>
    <w:lvl w:ilvl="6" w:tplc="B524D496" w:tentative="1">
      <w:start w:val="1"/>
      <w:numFmt w:val="bullet"/>
      <w:lvlText w:val=""/>
      <w:lvlJc w:val="left"/>
      <w:pPr>
        <w:ind w:left="5040" w:hanging="360"/>
      </w:pPr>
      <w:rPr>
        <w:rFonts w:ascii="Symbol" w:hAnsi="Symbol" w:hint="default"/>
      </w:rPr>
    </w:lvl>
    <w:lvl w:ilvl="7" w:tplc="17682E92" w:tentative="1">
      <w:start w:val="1"/>
      <w:numFmt w:val="bullet"/>
      <w:lvlText w:val="o"/>
      <w:lvlJc w:val="left"/>
      <w:pPr>
        <w:ind w:left="5760" w:hanging="360"/>
      </w:pPr>
      <w:rPr>
        <w:rFonts w:ascii="Courier New" w:hAnsi="Courier New" w:cs="Courier New" w:hint="default"/>
      </w:rPr>
    </w:lvl>
    <w:lvl w:ilvl="8" w:tplc="EDD460B0" w:tentative="1">
      <w:start w:val="1"/>
      <w:numFmt w:val="bullet"/>
      <w:lvlText w:val=""/>
      <w:lvlJc w:val="left"/>
      <w:pPr>
        <w:ind w:left="6480" w:hanging="360"/>
      </w:pPr>
      <w:rPr>
        <w:rFonts w:ascii="Wingdings" w:hAnsi="Wingdings" w:hint="default"/>
      </w:rPr>
    </w:lvl>
  </w:abstractNum>
  <w:abstractNum w:abstractNumId="8"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63A627B"/>
    <w:multiLevelType w:val="hybridMultilevel"/>
    <w:tmpl w:val="84E6FD68"/>
    <w:lvl w:ilvl="0" w:tplc="AC18A832">
      <w:start w:val="1"/>
      <w:numFmt w:val="bullet"/>
      <w:lvlText w:val=""/>
      <w:lvlJc w:val="left"/>
      <w:pPr>
        <w:ind w:left="720" w:hanging="360"/>
      </w:pPr>
      <w:rPr>
        <w:rFonts w:ascii="Symbol" w:hAnsi="Symbol" w:hint="default"/>
      </w:rPr>
    </w:lvl>
    <w:lvl w:ilvl="1" w:tplc="16922732" w:tentative="1">
      <w:start w:val="1"/>
      <w:numFmt w:val="bullet"/>
      <w:lvlText w:val="o"/>
      <w:lvlJc w:val="left"/>
      <w:pPr>
        <w:ind w:left="1440" w:hanging="360"/>
      </w:pPr>
      <w:rPr>
        <w:rFonts w:ascii="Courier New" w:hAnsi="Courier New" w:cs="Courier New" w:hint="default"/>
      </w:rPr>
    </w:lvl>
    <w:lvl w:ilvl="2" w:tplc="1CC65736" w:tentative="1">
      <w:start w:val="1"/>
      <w:numFmt w:val="bullet"/>
      <w:lvlText w:val=""/>
      <w:lvlJc w:val="left"/>
      <w:pPr>
        <w:ind w:left="2160" w:hanging="360"/>
      </w:pPr>
      <w:rPr>
        <w:rFonts w:ascii="Wingdings" w:hAnsi="Wingdings" w:hint="default"/>
      </w:rPr>
    </w:lvl>
    <w:lvl w:ilvl="3" w:tplc="4EC8DE6A" w:tentative="1">
      <w:start w:val="1"/>
      <w:numFmt w:val="bullet"/>
      <w:lvlText w:val=""/>
      <w:lvlJc w:val="left"/>
      <w:pPr>
        <w:ind w:left="2880" w:hanging="360"/>
      </w:pPr>
      <w:rPr>
        <w:rFonts w:ascii="Symbol" w:hAnsi="Symbol" w:hint="default"/>
      </w:rPr>
    </w:lvl>
    <w:lvl w:ilvl="4" w:tplc="108E60A6" w:tentative="1">
      <w:start w:val="1"/>
      <w:numFmt w:val="bullet"/>
      <w:lvlText w:val="o"/>
      <w:lvlJc w:val="left"/>
      <w:pPr>
        <w:ind w:left="3600" w:hanging="360"/>
      </w:pPr>
      <w:rPr>
        <w:rFonts w:ascii="Courier New" w:hAnsi="Courier New" w:cs="Courier New" w:hint="default"/>
      </w:rPr>
    </w:lvl>
    <w:lvl w:ilvl="5" w:tplc="37621360" w:tentative="1">
      <w:start w:val="1"/>
      <w:numFmt w:val="bullet"/>
      <w:lvlText w:val=""/>
      <w:lvlJc w:val="left"/>
      <w:pPr>
        <w:ind w:left="4320" w:hanging="360"/>
      </w:pPr>
      <w:rPr>
        <w:rFonts w:ascii="Wingdings" w:hAnsi="Wingdings" w:hint="default"/>
      </w:rPr>
    </w:lvl>
    <w:lvl w:ilvl="6" w:tplc="A5F07A98" w:tentative="1">
      <w:start w:val="1"/>
      <w:numFmt w:val="bullet"/>
      <w:lvlText w:val=""/>
      <w:lvlJc w:val="left"/>
      <w:pPr>
        <w:ind w:left="5040" w:hanging="360"/>
      </w:pPr>
      <w:rPr>
        <w:rFonts w:ascii="Symbol" w:hAnsi="Symbol" w:hint="default"/>
      </w:rPr>
    </w:lvl>
    <w:lvl w:ilvl="7" w:tplc="8CB43950" w:tentative="1">
      <w:start w:val="1"/>
      <w:numFmt w:val="bullet"/>
      <w:lvlText w:val="o"/>
      <w:lvlJc w:val="left"/>
      <w:pPr>
        <w:ind w:left="5760" w:hanging="360"/>
      </w:pPr>
      <w:rPr>
        <w:rFonts w:ascii="Courier New" w:hAnsi="Courier New" w:cs="Courier New" w:hint="default"/>
      </w:rPr>
    </w:lvl>
    <w:lvl w:ilvl="8" w:tplc="39A010C8" w:tentative="1">
      <w:start w:val="1"/>
      <w:numFmt w:val="bullet"/>
      <w:lvlText w:val=""/>
      <w:lvlJc w:val="left"/>
      <w:pPr>
        <w:ind w:left="6480" w:hanging="360"/>
      </w:pPr>
      <w:rPr>
        <w:rFonts w:ascii="Wingdings" w:hAnsi="Wingdings" w:hint="default"/>
      </w:rPr>
    </w:lvl>
  </w:abstractNum>
  <w:num w:numId="1" w16cid:durableId="1161509249">
    <w:abstractNumId w:val="4"/>
  </w:num>
  <w:num w:numId="2" w16cid:durableId="1614053347">
    <w:abstractNumId w:val="8"/>
  </w:num>
  <w:num w:numId="3" w16cid:durableId="1744251537">
    <w:abstractNumId w:val="6"/>
  </w:num>
  <w:num w:numId="4" w16cid:durableId="815759076">
    <w:abstractNumId w:val="3"/>
  </w:num>
  <w:num w:numId="5" w16cid:durableId="1657882524">
    <w:abstractNumId w:val="7"/>
  </w:num>
  <w:num w:numId="6" w16cid:durableId="1125930303">
    <w:abstractNumId w:val="1"/>
  </w:num>
  <w:num w:numId="7" w16cid:durableId="2003507037">
    <w:abstractNumId w:val="9"/>
  </w:num>
  <w:num w:numId="8" w16cid:durableId="1806510973">
    <w:abstractNumId w:val="5"/>
  </w:num>
  <w:num w:numId="9" w16cid:durableId="60834424">
    <w:abstractNumId w:val="2"/>
  </w:num>
  <w:num w:numId="10" w16cid:durableId="1330598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221DF"/>
    <w:rsid w:val="0002643A"/>
    <w:rsid w:val="000609FA"/>
    <w:rsid w:val="00061971"/>
    <w:rsid w:val="00071D32"/>
    <w:rsid w:val="00082318"/>
    <w:rsid w:val="000A172E"/>
    <w:rsid w:val="000A2847"/>
    <w:rsid w:val="000B0558"/>
    <w:rsid w:val="000C021E"/>
    <w:rsid w:val="000C10CE"/>
    <w:rsid w:val="000E01E1"/>
    <w:rsid w:val="000E0A89"/>
    <w:rsid w:val="000E7D76"/>
    <w:rsid w:val="00117B6F"/>
    <w:rsid w:val="00133EF9"/>
    <w:rsid w:val="00136F8A"/>
    <w:rsid w:val="0016666C"/>
    <w:rsid w:val="00171F93"/>
    <w:rsid w:val="00174127"/>
    <w:rsid w:val="001761CE"/>
    <w:rsid w:val="00176D04"/>
    <w:rsid w:val="00192426"/>
    <w:rsid w:val="0019320C"/>
    <w:rsid w:val="001B117F"/>
    <w:rsid w:val="001C08F7"/>
    <w:rsid w:val="001E015B"/>
    <w:rsid w:val="002020D8"/>
    <w:rsid w:val="00213F2E"/>
    <w:rsid w:val="00220792"/>
    <w:rsid w:val="0022624A"/>
    <w:rsid w:val="002407C8"/>
    <w:rsid w:val="002431CD"/>
    <w:rsid w:val="00266D6C"/>
    <w:rsid w:val="00281E0E"/>
    <w:rsid w:val="00285DAF"/>
    <w:rsid w:val="002D08FC"/>
    <w:rsid w:val="00310624"/>
    <w:rsid w:val="00324FB3"/>
    <w:rsid w:val="0032602D"/>
    <w:rsid w:val="00332472"/>
    <w:rsid w:val="00334D76"/>
    <w:rsid w:val="0034427D"/>
    <w:rsid w:val="00353A97"/>
    <w:rsid w:val="003826E4"/>
    <w:rsid w:val="00386155"/>
    <w:rsid w:val="00387C5B"/>
    <w:rsid w:val="00391826"/>
    <w:rsid w:val="00392F63"/>
    <w:rsid w:val="003C17C2"/>
    <w:rsid w:val="003F092A"/>
    <w:rsid w:val="003F0DCA"/>
    <w:rsid w:val="0040185C"/>
    <w:rsid w:val="00414E60"/>
    <w:rsid w:val="00430734"/>
    <w:rsid w:val="00435350"/>
    <w:rsid w:val="00437386"/>
    <w:rsid w:val="00440854"/>
    <w:rsid w:val="004529FC"/>
    <w:rsid w:val="004728E1"/>
    <w:rsid w:val="00475B56"/>
    <w:rsid w:val="00485009"/>
    <w:rsid w:val="004A60A1"/>
    <w:rsid w:val="004C32F4"/>
    <w:rsid w:val="004C3C9D"/>
    <w:rsid w:val="004C7355"/>
    <w:rsid w:val="004D3201"/>
    <w:rsid w:val="00505433"/>
    <w:rsid w:val="00507638"/>
    <w:rsid w:val="00515299"/>
    <w:rsid w:val="005156E3"/>
    <w:rsid w:val="005444EF"/>
    <w:rsid w:val="00554B5C"/>
    <w:rsid w:val="005570FC"/>
    <w:rsid w:val="00567206"/>
    <w:rsid w:val="00573018"/>
    <w:rsid w:val="00581A53"/>
    <w:rsid w:val="005837BE"/>
    <w:rsid w:val="005A0089"/>
    <w:rsid w:val="005A41CB"/>
    <w:rsid w:val="005A6860"/>
    <w:rsid w:val="005B5417"/>
    <w:rsid w:val="005D4FF9"/>
    <w:rsid w:val="005F418D"/>
    <w:rsid w:val="006020E3"/>
    <w:rsid w:val="006027DC"/>
    <w:rsid w:val="00604DEE"/>
    <w:rsid w:val="0065001F"/>
    <w:rsid w:val="00654BC0"/>
    <w:rsid w:val="0066706C"/>
    <w:rsid w:val="00673893"/>
    <w:rsid w:val="006750FA"/>
    <w:rsid w:val="006818F1"/>
    <w:rsid w:val="006E1AC1"/>
    <w:rsid w:val="006E1B19"/>
    <w:rsid w:val="006F46D4"/>
    <w:rsid w:val="007056A1"/>
    <w:rsid w:val="007121DE"/>
    <w:rsid w:val="00715B22"/>
    <w:rsid w:val="00716444"/>
    <w:rsid w:val="00721D9A"/>
    <w:rsid w:val="00724D1C"/>
    <w:rsid w:val="00724E81"/>
    <w:rsid w:val="00744540"/>
    <w:rsid w:val="00747450"/>
    <w:rsid w:val="0079567D"/>
    <w:rsid w:val="007A4C52"/>
    <w:rsid w:val="007B1DCE"/>
    <w:rsid w:val="007C0159"/>
    <w:rsid w:val="007C15B1"/>
    <w:rsid w:val="007E3E14"/>
    <w:rsid w:val="007E5212"/>
    <w:rsid w:val="0080562D"/>
    <w:rsid w:val="00805A26"/>
    <w:rsid w:val="00810D2E"/>
    <w:rsid w:val="00820D3F"/>
    <w:rsid w:val="00826CEC"/>
    <w:rsid w:val="008448B7"/>
    <w:rsid w:val="008672A0"/>
    <w:rsid w:val="00893581"/>
    <w:rsid w:val="00897E74"/>
    <w:rsid w:val="008A30A6"/>
    <w:rsid w:val="008C2F48"/>
    <w:rsid w:val="008F3F3A"/>
    <w:rsid w:val="008F7CD3"/>
    <w:rsid w:val="00904673"/>
    <w:rsid w:val="0090795F"/>
    <w:rsid w:val="00913D35"/>
    <w:rsid w:val="0093386B"/>
    <w:rsid w:val="009430A6"/>
    <w:rsid w:val="00944408"/>
    <w:rsid w:val="00966B33"/>
    <w:rsid w:val="00977FA7"/>
    <w:rsid w:val="009810CE"/>
    <w:rsid w:val="00991677"/>
    <w:rsid w:val="00992BCE"/>
    <w:rsid w:val="00995012"/>
    <w:rsid w:val="009B0C8B"/>
    <w:rsid w:val="009B1C74"/>
    <w:rsid w:val="009B292A"/>
    <w:rsid w:val="009B2A72"/>
    <w:rsid w:val="009C0F06"/>
    <w:rsid w:val="009C5C05"/>
    <w:rsid w:val="009F2987"/>
    <w:rsid w:val="009F5BB8"/>
    <w:rsid w:val="009F6403"/>
    <w:rsid w:val="00A20B8A"/>
    <w:rsid w:val="00A302A9"/>
    <w:rsid w:val="00A367FE"/>
    <w:rsid w:val="00A47998"/>
    <w:rsid w:val="00A544BD"/>
    <w:rsid w:val="00A56B7B"/>
    <w:rsid w:val="00A60950"/>
    <w:rsid w:val="00A97C56"/>
    <w:rsid w:val="00AB2828"/>
    <w:rsid w:val="00AC5129"/>
    <w:rsid w:val="00AF3BC9"/>
    <w:rsid w:val="00AF5EA3"/>
    <w:rsid w:val="00B03A82"/>
    <w:rsid w:val="00B17038"/>
    <w:rsid w:val="00B40150"/>
    <w:rsid w:val="00B53DA3"/>
    <w:rsid w:val="00B61123"/>
    <w:rsid w:val="00B72072"/>
    <w:rsid w:val="00B925AF"/>
    <w:rsid w:val="00B976F9"/>
    <w:rsid w:val="00BB3FA5"/>
    <w:rsid w:val="00BC4BC6"/>
    <w:rsid w:val="00BC7258"/>
    <w:rsid w:val="00BC7654"/>
    <w:rsid w:val="00BD2CB9"/>
    <w:rsid w:val="00BD4991"/>
    <w:rsid w:val="00BE71AD"/>
    <w:rsid w:val="00C04508"/>
    <w:rsid w:val="00C11BCB"/>
    <w:rsid w:val="00C32F4B"/>
    <w:rsid w:val="00C419F6"/>
    <w:rsid w:val="00C41CBA"/>
    <w:rsid w:val="00C670B4"/>
    <w:rsid w:val="00C73207"/>
    <w:rsid w:val="00C82898"/>
    <w:rsid w:val="00C84F0F"/>
    <w:rsid w:val="00CA66F2"/>
    <w:rsid w:val="00CD36B7"/>
    <w:rsid w:val="00CD71D3"/>
    <w:rsid w:val="00CE3274"/>
    <w:rsid w:val="00CF5BA3"/>
    <w:rsid w:val="00D05069"/>
    <w:rsid w:val="00D05FB2"/>
    <w:rsid w:val="00D07FF5"/>
    <w:rsid w:val="00D1279A"/>
    <w:rsid w:val="00D1405E"/>
    <w:rsid w:val="00D1740F"/>
    <w:rsid w:val="00D20B79"/>
    <w:rsid w:val="00D27931"/>
    <w:rsid w:val="00D5306E"/>
    <w:rsid w:val="00D54AE0"/>
    <w:rsid w:val="00D55D12"/>
    <w:rsid w:val="00D67435"/>
    <w:rsid w:val="00D83FE5"/>
    <w:rsid w:val="00DA3AE8"/>
    <w:rsid w:val="00DB5F39"/>
    <w:rsid w:val="00DC0427"/>
    <w:rsid w:val="00DD0E06"/>
    <w:rsid w:val="00DF1306"/>
    <w:rsid w:val="00DF53EF"/>
    <w:rsid w:val="00DF5917"/>
    <w:rsid w:val="00E3673C"/>
    <w:rsid w:val="00E43A5B"/>
    <w:rsid w:val="00E63034"/>
    <w:rsid w:val="00E76C3F"/>
    <w:rsid w:val="00E91CD4"/>
    <w:rsid w:val="00E94E39"/>
    <w:rsid w:val="00F044CE"/>
    <w:rsid w:val="00F0505E"/>
    <w:rsid w:val="00F13016"/>
    <w:rsid w:val="00F2163C"/>
    <w:rsid w:val="00F2338F"/>
    <w:rsid w:val="00F26256"/>
    <w:rsid w:val="00F34FC5"/>
    <w:rsid w:val="00F41F4F"/>
    <w:rsid w:val="00F445E2"/>
    <w:rsid w:val="00F47081"/>
    <w:rsid w:val="00F66D65"/>
    <w:rsid w:val="00F71817"/>
    <w:rsid w:val="00F75E83"/>
    <w:rsid w:val="00F85C11"/>
    <w:rsid w:val="00FA2DB6"/>
    <w:rsid w:val="00FD0B0D"/>
    <w:rsid w:val="00FE0FAA"/>
    <w:rsid w:val="00FF1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15:docId w15:val="{E3AE3BE7-FC36-4B0D-8A24-93D04768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67FE"/>
    <w:pPr>
      <w:keepNext/>
      <w:keepLines/>
      <w:spacing w:before="40" w:after="0" w:line="259" w:lineRule="auto"/>
      <w:outlineLvl w:val="1"/>
    </w:pPr>
    <w:rPr>
      <w:rFonts w:asciiTheme="majorHAnsi" w:eastAsiaTheme="majorEastAsia" w:hAnsiTheme="majorHAnsi" w:cstheme="majorBidi"/>
      <w:color w:val="2F5496" w:themeColor="accent1" w:themeShade="BF"/>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character" w:customStyle="1" w:styleId="Heading2Char">
    <w:name w:val="Heading 2 Char"/>
    <w:basedOn w:val="DefaultParagraphFont"/>
    <w:link w:val="Heading2"/>
    <w:uiPriority w:val="9"/>
    <w:rsid w:val="00A367FE"/>
    <w:rPr>
      <w:rFonts w:asciiTheme="majorHAnsi" w:eastAsiaTheme="majorEastAsia" w:hAnsiTheme="majorHAnsi" w:cstheme="majorBidi"/>
      <w:color w:val="2F5496" w:themeColor="accent1" w:themeShade="BF"/>
      <w:kern w:val="2"/>
      <w:sz w:val="26"/>
      <w:szCs w:val="26"/>
      <w14:ligatures w14:val="standardContextual"/>
    </w:rPr>
  </w:style>
  <w:style w:type="paragraph" w:styleId="TOC1">
    <w:name w:val="toc 1"/>
    <w:basedOn w:val="Normal"/>
    <w:next w:val="Normal"/>
    <w:autoRedefine/>
    <w:uiPriority w:val="39"/>
    <w:unhideWhenUsed/>
    <w:rsid w:val="009B0C8B"/>
    <w:pPr>
      <w:tabs>
        <w:tab w:val="right" w:leader="dot" w:pos="9962"/>
      </w:tabs>
      <w:spacing w:after="240" w:line="360" w:lineRule="auto"/>
    </w:pPr>
    <w:rPr>
      <w:kern w:val="2"/>
      <w14:ligatures w14:val="standardContextual"/>
    </w:rPr>
  </w:style>
  <w:style w:type="paragraph" w:styleId="TOC2">
    <w:name w:val="toc 2"/>
    <w:basedOn w:val="Normal"/>
    <w:next w:val="Normal"/>
    <w:autoRedefine/>
    <w:uiPriority w:val="39"/>
    <w:unhideWhenUsed/>
    <w:rsid w:val="00A367FE"/>
    <w:pPr>
      <w:spacing w:after="100" w:line="259" w:lineRule="auto"/>
      <w:ind w:left="220"/>
    </w:pPr>
    <w:rPr>
      <w:kern w:val="2"/>
      <w14:ligatures w14:val="standardContextual"/>
    </w:rPr>
  </w:style>
  <w:style w:type="character" w:styleId="UnresolvedMention">
    <w:name w:val="Unresolved Mention"/>
    <w:basedOn w:val="DefaultParagraphFont"/>
    <w:uiPriority w:val="99"/>
    <w:semiHidden/>
    <w:unhideWhenUsed/>
    <w:rsid w:val="00DC0427"/>
    <w:rPr>
      <w:color w:val="605E5C"/>
      <w:shd w:val="clear" w:color="auto" w:fill="E1DFDD"/>
    </w:rPr>
  </w:style>
  <w:style w:type="paragraph" w:customStyle="1" w:styleId="TableParagraph">
    <w:name w:val="Table Paragraph"/>
    <w:basedOn w:val="Normal"/>
    <w:uiPriority w:val="1"/>
    <w:qFormat/>
    <w:rsid w:val="00F044CE"/>
    <w:pPr>
      <w:widowControl w:val="0"/>
      <w:autoSpaceDE w:val="0"/>
      <w:autoSpaceDN w:val="0"/>
      <w:spacing w:after="0" w:line="240" w:lineRule="auto"/>
      <w:ind w:left="110"/>
    </w:pPr>
    <w:rPr>
      <w:rFonts w:ascii="Arial" w:eastAsia="Arial" w:hAnsi="Arial" w:cs="Arial"/>
    </w:rPr>
  </w:style>
  <w:style w:type="paragraph" w:styleId="TOC3">
    <w:name w:val="toc 3"/>
    <w:basedOn w:val="Normal"/>
    <w:next w:val="Normal"/>
    <w:autoRedefine/>
    <w:uiPriority w:val="39"/>
    <w:unhideWhenUsed/>
    <w:rsid w:val="00430734"/>
    <w:pPr>
      <w:spacing w:after="100" w:line="259" w:lineRule="auto"/>
      <w:ind w:left="440"/>
    </w:pPr>
    <w:rPr>
      <w:rFonts w:eastAsiaTheme="minorEastAsia" w:cs="Times New Roman"/>
    </w:rPr>
  </w:style>
  <w:style w:type="table" w:styleId="TableGrid">
    <w:name w:val="Table Grid"/>
    <w:basedOn w:val="TableNormal"/>
    <w:uiPriority w:val="39"/>
    <w:rsid w:val="00F13016"/>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207182110">
      <w:bodyDiv w:val="1"/>
      <w:marLeft w:val="0"/>
      <w:marRight w:val="0"/>
      <w:marTop w:val="0"/>
      <w:marBottom w:val="0"/>
      <w:divBdr>
        <w:top w:val="none" w:sz="0" w:space="0" w:color="auto"/>
        <w:left w:val="none" w:sz="0" w:space="0" w:color="auto"/>
        <w:bottom w:val="none" w:sz="0" w:space="0" w:color="auto"/>
        <w:right w:val="none" w:sz="0" w:space="0" w:color="auto"/>
      </w:divBdr>
    </w:div>
    <w:div w:id="461315548">
      <w:bodyDiv w:val="1"/>
      <w:marLeft w:val="0"/>
      <w:marRight w:val="0"/>
      <w:marTop w:val="0"/>
      <w:marBottom w:val="0"/>
      <w:divBdr>
        <w:top w:val="none" w:sz="0" w:space="0" w:color="auto"/>
        <w:left w:val="none" w:sz="0" w:space="0" w:color="auto"/>
        <w:bottom w:val="none" w:sz="0" w:space="0" w:color="auto"/>
        <w:right w:val="none" w:sz="0" w:space="0" w:color="auto"/>
      </w:divBdr>
    </w:div>
    <w:div w:id="472987797">
      <w:bodyDiv w:val="1"/>
      <w:marLeft w:val="0"/>
      <w:marRight w:val="0"/>
      <w:marTop w:val="0"/>
      <w:marBottom w:val="0"/>
      <w:divBdr>
        <w:top w:val="none" w:sz="0" w:space="0" w:color="auto"/>
        <w:left w:val="none" w:sz="0" w:space="0" w:color="auto"/>
        <w:bottom w:val="none" w:sz="0" w:space="0" w:color="auto"/>
        <w:right w:val="none" w:sz="0" w:space="0" w:color="auto"/>
      </w:divBdr>
    </w:div>
    <w:div w:id="501625838">
      <w:bodyDiv w:val="1"/>
      <w:marLeft w:val="0"/>
      <w:marRight w:val="0"/>
      <w:marTop w:val="0"/>
      <w:marBottom w:val="0"/>
      <w:divBdr>
        <w:top w:val="none" w:sz="0" w:space="0" w:color="auto"/>
        <w:left w:val="none" w:sz="0" w:space="0" w:color="auto"/>
        <w:bottom w:val="none" w:sz="0" w:space="0" w:color="auto"/>
        <w:right w:val="none" w:sz="0" w:space="0" w:color="auto"/>
      </w:divBdr>
    </w:div>
    <w:div w:id="512451200">
      <w:bodyDiv w:val="1"/>
      <w:marLeft w:val="0"/>
      <w:marRight w:val="0"/>
      <w:marTop w:val="0"/>
      <w:marBottom w:val="0"/>
      <w:divBdr>
        <w:top w:val="none" w:sz="0" w:space="0" w:color="auto"/>
        <w:left w:val="none" w:sz="0" w:space="0" w:color="auto"/>
        <w:bottom w:val="none" w:sz="0" w:space="0" w:color="auto"/>
        <w:right w:val="none" w:sz="0" w:space="0" w:color="auto"/>
      </w:divBdr>
    </w:div>
    <w:div w:id="560217824">
      <w:bodyDiv w:val="1"/>
      <w:marLeft w:val="0"/>
      <w:marRight w:val="0"/>
      <w:marTop w:val="0"/>
      <w:marBottom w:val="0"/>
      <w:divBdr>
        <w:top w:val="none" w:sz="0" w:space="0" w:color="auto"/>
        <w:left w:val="none" w:sz="0" w:space="0" w:color="auto"/>
        <w:bottom w:val="none" w:sz="0" w:space="0" w:color="auto"/>
        <w:right w:val="none" w:sz="0" w:space="0" w:color="auto"/>
      </w:divBdr>
    </w:div>
    <w:div w:id="930048932">
      <w:bodyDiv w:val="1"/>
      <w:marLeft w:val="0"/>
      <w:marRight w:val="0"/>
      <w:marTop w:val="0"/>
      <w:marBottom w:val="0"/>
      <w:divBdr>
        <w:top w:val="none" w:sz="0" w:space="0" w:color="auto"/>
        <w:left w:val="none" w:sz="0" w:space="0" w:color="auto"/>
        <w:bottom w:val="none" w:sz="0" w:space="0" w:color="auto"/>
        <w:right w:val="none" w:sz="0" w:space="0" w:color="auto"/>
      </w:divBdr>
    </w:div>
    <w:div w:id="1135105185">
      <w:bodyDiv w:val="1"/>
      <w:marLeft w:val="0"/>
      <w:marRight w:val="0"/>
      <w:marTop w:val="0"/>
      <w:marBottom w:val="0"/>
      <w:divBdr>
        <w:top w:val="none" w:sz="0" w:space="0" w:color="auto"/>
        <w:left w:val="none" w:sz="0" w:space="0" w:color="auto"/>
        <w:bottom w:val="none" w:sz="0" w:space="0" w:color="auto"/>
        <w:right w:val="none" w:sz="0" w:space="0" w:color="auto"/>
      </w:divBdr>
    </w:div>
    <w:div w:id="1201044644">
      <w:bodyDiv w:val="1"/>
      <w:marLeft w:val="0"/>
      <w:marRight w:val="0"/>
      <w:marTop w:val="0"/>
      <w:marBottom w:val="0"/>
      <w:divBdr>
        <w:top w:val="none" w:sz="0" w:space="0" w:color="auto"/>
        <w:left w:val="none" w:sz="0" w:space="0" w:color="auto"/>
        <w:bottom w:val="none" w:sz="0" w:space="0" w:color="auto"/>
        <w:right w:val="none" w:sz="0" w:space="0" w:color="auto"/>
      </w:divBdr>
    </w:div>
    <w:div w:id="1253662143">
      <w:bodyDiv w:val="1"/>
      <w:marLeft w:val="0"/>
      <w:marRight w:val="0"/>
      <w:marTop w:val="0"/>
      <w:marBottom w:val="0"/>
      <w:divBdr>
        <w:top w:val="none" w:sz="0" w:space="0" w:color="auto"/>
        <w:left w:val="none" w:sz="0" w:space="0" w:color="auto"/>
        <w:bottom w:val="none" w:sz="0" w:space="0" w:color="auto"/>
        <w:right w:val="none" w:sz="0" w:space="0" w:color="auto"/>
      </w:divBdr>
    </w:div>
    <w:div w:id="1275553691">
      <w:bodyDiv w:val="1"/>
      <w:marLeft w:val="0"/>
      <w:marRight w:val="0"/>
      <w:marTop w:val="0"/>
      <w:marBottom w:val="0"/>
      <w:divBdr>
        <w:top w:val="none" w:sz="0" w:space="0" w:color="auto"/>
        <w:left w:val="none" w:sz="0" w:space="0" w:color="auto"/>
        <w:bottom w:val="none" w:sz="0" w:space="0" w:color="auto"/>
        <w:right w:val="none" w:sz="0" w:space="0" w:color="auto"/>
      </w:divBdr>
    </w:div>
    <w:div w:id="1396589712">
      <w:bodyDiv w:val="1"/>
      <w:marLeft w:val="0"/>
      <w:marRight w:val="0"/>
      <w:marTop w:val="0"/>
      <w:marBottom w:val="0"/>
      <w:divBdr>
        <w:top w:val="none" w:sz="0" w:space="0" w:color="auto"/>
        <w:left w:val="none" w:sz="0" w:space="0" w:color="auto"/>
        <w:bottom w:val="none" w:sz="0" w:space="0" w:color="auto"/>
        <w:right w:val="none" w:sz="0" w:space="0" w:color="auto"/>
      </w:divBdr>
    </w:div>
    <w:div w:id="1431047736">
      <w:bodyDiv w:val="1"/>
      <w:marLeft w:val="0"/>
      <w:marRight w:val="0"/>
      <w:marTop w:val="0"/>
      <w:marBottom w:val="0"/>
      <w:divBdr>
        <w:top w:val="none" w:sz="0" w:space="0" w:color="auto"/>
        <w:left w:val="none" w:sz="0" w:space="0" w:color="auto"/>
        <w:bottom w:val="none" w:sz="0" w:space="0" w:color="auto"/>
        <w:right w:val="none" w:sz="0" w:space="0" w:color="auto"/>
      </w:divBdr>
    </w:div>
    <w:div w:id="1541240867">
      <w:bodyDiv w:val="1"/>
      <w:marLeft w:val="0"/>
      <w:marRight w:val="0"/>
      <w:marTop w:val="0"/>
      <w:marBottom w:val="0"/>
      <w:divBdr>
        <w:top w:val="none" w:sz="0" w:space="0" w:color="auto"/>
        <w:left w:val="none" w:sz="0" w:space="0" w:color="auto"/>
        <w:bottom w:val="none" w:sz="0" w:space="0" w:color="auto"/>
        <w:right w:val="none" w:sz="0" w:space="0" w:color="auto"/>
      </w:divBdr>
    </w:div>
    <w:div w:id="1598370257">
      <w:bodyDiv w:val="1"/>
      <w:marLeft w:val="0"/>
      <w:marRight w:val="0"/>
      <w:marTop w:val="0"/>
      <w:marBottom w:val="0"/>
      <w:divBdr>
        <w:top w:val="none" w:sz="0" w:space="0" w:color="auto"/>
        <w:left w:val="none" w:sz="0" w:space="0" w:color="auto"/>
        <w:bottom w:val="none" w:sz="0" w:space="0" w:color="auto"/>
        <w:right w:val="none" w:sz="0" w:space="0" w:color="auto"/>
      </w:divBdr>
    </w:div>
    <w:div w:id="1658532729">
      <w:bodyDiv w:val="1"/>
      <w:marLeft w:val="0"/>
      <w:marRight w:val="0"/>
      <w:marTop w:val="0"/>
      <w:marBottom w:val="0"/>
      <w:divBdr>
        <w:top w:val="none" w:sz="0" w:space="0" w:color="auto"/>
        <w:left w:val="none" w:sz="0" w:space="0" w:color="auto"/>
        <w:bottom w:val="none" w:sz="0" w:space="0" w:color="auto"/>
        <w:right w:val="none" w:sz="0" w:space="0" w:color="auto"/>
      </w:divBdr>
    </w:div>
    <w:div w:id="1779761325">
      <w:bodyDiv w:val="1"/>
      <w:marLeft w:val="0"/>
      <w:marRight w:val="0"/>
      <w:marTop w:val="0"/>
      <w:marBottom w:val="0"/>
      <w:divBdr>
        <w:top w:val="none" w:sz="0" w:space="0" w:color="auto"/>
        <w:left w:val="none" w:sz="0" w:space="0" w:color="auto"/>
        <w:bottom w:val="none" w:sz="0" w:space="0" w:color="auto"/>
        <w:right w:val="none" w:sz="0" w:space="0" w:color="auto"/>
      </w:divBdr>
    </w:div>
    <w:div w:id="1795710204">
      <w:bodyDiv w:val="1"/>
      <w:marLeft w:val="0"/>
      <w:marRight w:val="0"/>
      <w:marTop w:val="0"/>
      <w:marBottom w:val="0"/>
      <w:divBdr>
        <w:top w:val="none" w:sz="0" w:space="0" w:color="auto"/>
        <w:left w:val="none" w:sz="0" w:space="0" w:color="auto"/>
        <w:bottom w:val="none" w:sz="0" w:space="0" w:color="auto"/>
        <w:right w:val="none" w:sz="0" w:space="0" w:color="auto"/>
      </w:divBdr>
    </w:div>
    <w:div w:id="1937786354">
      <w:bodyDiv w:val="1"/>
      <w:marLeft w:val="0"/>
      <w:marRight w:val="0"/>
      <w:marTop w:val="0"/>
      <w:marBottom w:val="0"/>
      <w:divBdr>
        <w:top w:val="none" w:sz="0" w:space="0" w:color="auto"/>
        <w:left w:val="none" w:sz="0" w:space="0" w:color="auto"/>
        <w:bottom w:val="none" w:sz="0" w:space="0" w:color="auto"/>
        <w:right w:val="none" w:sz="0" w:space="0" w:color="auto"/>
      </w:divBdr>
    </w:div>
    <w:div w:id="197166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Module Code: LCBB6000    Module Lead: Dr Babar Syed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Pages>
  <Words>1698</Words>
  <Characters>9684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Strategic Management and Sustainability</vt:lpstr>
    </vt:vector>
  </TitlesOfParts>
  <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The role of Copper Mining Companies in the Balkans in Supporting the EU Green Deal – ESG Indicators, Climate risk and Decarbonization Challenges</dc:title>
  <dc:subject/>
  <dc:creator/>
  <cp:lastModifiedBy>Administrator</cp:lastModifiedBy>
  <cp:revision>18</cp:revision>
  <dcterms:created xsi:type="dcterms:W3CDTF">2024-07-05T10:08:00Z</dcterms:created>
  <dcterms:modified xsi:type="dcterms:W3CDTF">2025-08-01T11:33:00Z</dcterms:modified>
  <cp:category>Student: Georgi Dimitrov                    Student number 2230344</cp:category>
</cp:coreProperties>
</file>