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78AE1" w14:textId="44A749B2" w:rsidR="00531550" w:rsidRPr="00D74898" w:rsidRDefault="00895238" w:rsidP="00895238">
      <w:pPr>
        <w:rPr>
          <w:rFonts w:ascii="Arial" w:hAnsi="Arial" w:cs="Arial"/>
        </w:rPr>
      </w:pPr>
      <w:r w:rsidRPr="00761119">
        <w:rPr>
          <w:noProof/>
        </w:rPr>
        <w:drawing>
          <wp:anchor distT="0" distB="0" distL="114300" distR="114300" simplePos="0" relativeHeight="251659267" behindDoc="1" locked="0" layoutInCell="1" allowOverlap="1" wp14:anchorId="2BB2C3AB" wp14:editId="2D0E6FB6">
            <wp:simplePos x="0" y="0"/>
            <wp:positionH relativeFrom="column">
              <wp:posOffset>4625340</wp:posOffset>
            </wp:positionH>
            <wp:positionV relativeFrom="paragraph">
              <wp:posOffset>-914400</wp:posOffset>
            </wp:positionV>
            <wp:extent cx="1453731" cy="1704975"/>
            <wp:effectExtent l="0" t="0" r="0" b="0"/>
            <wp:wrapNone/>
            <wp:docPr id="8352905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3731" cy="1704975"/>
                    </a:xfrm>
                    <a:prstGeom prst="rect">
                      <a:avLst/>
                    </a:prstGeom>
                    <a:noFill/>
                    <a:ln>
                      <a:noFill/>
                    </a:ln>
                  </pic:spPr>
                </pic:pic>
              </a:graphicData>
            </a:graphic>
          </wp:anchor>
        </w:drawing>
      </w:r>
    </w:p>
    <w:p w14:paraId="237027F7" w14:textId="77777777" w:rsidR="00761119" w:rsidRPr="00D74898" w:rsidRDefault="00761119" w:rsidP="00761119">
      <w:pPr>
        <w:rPr>
          <w:rFonts w:ascii="Arial" w:hAnsi="Arial" w:cs="Arial"/>
        </w:rPr>
      </w:pPr>
    </w:p>
    <w:p w14:paraId="16BD5634" w14:textId="77777777" w:rsidR="00761119" w:rsidRPr="00D74898" w:rsidRDefault="00761119" w:rsidP="00761119">
      <w:pPr>
        <w:rPr>
          <w:rFonts w:ascii="Arial" w:hAnsi="Arial" w:cs="Arial"/>
        </w:rPr>
      </w:pPr>
    </w:p>
    <w:p w14:paraId="4BB7592E" w14:textId="12B68A74" w:rsidR="00761119" w:rsidRPr="00D74898" w:rsidRDefault="00761119" w:rsidP="00761119">
      <w:pPr>
        <w:rPr>
          <w:rFonts w:ascii="Arial" w:hAnsi="Arial" w:cs="Arial"/>
        </w:rPr>
      </w:pPr>
    </w:p>
    <w:p w14:paraId="7DD232B0" w14:textId="77777777" w:rsidR="00591483" w:rsidRDefault="00591483" w:rsidP="00591483">
      <w:pPr>
        <w:rPr>
          <w:rFonts w:ascii="Arial" w:hAnsi="Arial" w:cs="Arial"/>
          <w:color w:val="2E74B5" w:themeColor="accent1" w:themeShade="BF"/>
          <w:sz w:val="28"/>
          <w:szCs w:val="28"/>
        </w:rPr>
      </w:pPr>
    </w:p>
    <w:p w14:paraId="1503F650" w14:textId="77777777" w:rsidR="00591483" w:rsidRDefault="00591483" w:rsidP="00591483">
      <w:pPr>
        <w:rPr>
          <w:rFonts w:ascii="Arial" w:hAnsi="Arial" w:cs="Arial"/>
          <w:color w:val="2E74B5" w:themeColor="accent1" w:themeShade="BF"/>
          <w:sz w:val="28"/>
          <w:szCs w:val="28"/>
        </w:rPr>
      </w:pPr>
    </w:p>
    <w:p w14:paraId="17C209F7" w14:textId="77777777" w:rsidR="00591483" w:rsidRDefault="00591483" w:rsidP="00591483">
      <w:pPr>
        <w:rPr>
          <w:rFonts w:ascii="Arial" w:hAnsi="Arial" w:cs="Arial"/>
          <w:color w:val="2E74B5" w:themeColor="accent1" w:themeShade="BF"/>
          <w:sz w:val="28"/>
          <w:szCs w:val="28"/>
        </w:rPr>
      </w:pPr>
    </w:p>
    <w:p w14:paraId="525ABB92" w14:textId="540D27F0" w:rsidR="00111A60" w:rsidRPr="00591483" w:rsidRDefault="00591483" w:rsidP="00591483">
      <w:pPr>
        <w:rPr>
          <w:rFonts w:ascii="Arial" w:hAnsi="Arial" w:cs="Arial"/>
          <w:color w:val="7F7F7F" w:themeColor="text1" w:themeTint="80"/>
          <w:sz w:val="28"/>
          <w:szCs w:val="28"/>
        </w:rPr>
      </w:pPr>
      <w:r w:rsidRPr="00591483">
        <w:rPr>
          <w:rFonts w:ascii="Arial" w:hAnsi="Arial" w:cs="Arial"/>
          <w:color w:val="7F7F7F" w:themeColor="text1" w:themeTint="80"/>
          <w:sz w:val="28"/>
          <w:szCs w:val="28"/>
        </w:rPr>
        <w:t>The Building Regulations 2010</w:t>
      </w:r>
    </w:p>
    <w:p w14:paraId="413FBC69" w14:textId="507C14E3" w:rsidR="00761119" w:rsidRPr="00D74898" w:rsidRDefault="00591483" w:rsidP="00761119">
      <w:pPr>
        <w:rPr>
          <w:rFonts w:ascii="Arial" w:hAnsi="Arial" w:cs="Arial"/>
          <w:color w:val="2E74B5" w:themeColor="accent1" w:themeShade="BF"/>
          <w:sz w:val="36"/>
          <w:szCs w:val="36"/>
        </w:rPr>
      </w:pPr>
      <w:r w:rsidRPr="00D74898">
        <w:rPr>
          <w:rFonts w:ascii="Arial" w:hAnsi="Arial" w:cs="Arial"/>
          <w:noProof/>
          <w:color w:val="2E74B5" w:themeColor="accent1" w:themeShade="BF"/>
          <w:sz w:val="40"/>
          <w:szCs w:val="40"/>
        </w:rPr>
        <mc:AlternateContent>
          <mc:Choice Requires="wps">
            <w:drawing>
              <wp:anchor distT="45720" distB="45720" distL="114300" distR="114300" simplePos="0" relativeHeight="251658241" behindDoc="0" locked="0" layoutInCell="1" allowOverlap="1" wp14:anchorId="6A14F22B" wp14:editId="1C177F6E">
                <wp:simplePos x="0" y="0"/>
                <wp:positionH relativeFrom="page">
                  <wp:align>left</wp:align>
                </wp:positionH>
                <wp:positionV relativeFrom="paragraph">
                  <wp:posOffset>381635</wp:posOffset>
                </wp:positionV>
                <wp:extent cx="5899785" cy="2228850"/>
                <wp:effectExtent l="0" t="0" r="24765" b="19050"/>
                <wp:wrapSquare wrapText="bothSides"/>
                <wp:docPr id="1479052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9785" cy="2228850"/>
                        </a:xfrm>
                        <a:prstGeom prst="rect">
                          <a:avLst/>
                        </a:prstGeom>
                        <a:solidFill>
                          <a:schemeClr val="accent5">
                            <a:lumMod val="75000"/>
                          </a:schemeClr>
                        </a:solidFill>
                        <a:ln w="9525">
                          <a:solidFill>
                            <a:schemeClr val="bg1"/>
                          </a:solidFill>
                          <a:miter lim="800000"/>
                          <a:headEnd/>
                          <a:tailEnd/>
                        </a:ln>
                      </wps:spPr>
                      <wps:txbx>
                        <w:txbxContent>
                          <w:p w14:paraId="67104B28" w14:textId="452CF91D" w:rsidR="00761119" w:rsidRPr="00111A60" w:rsidRDefault="00761119" w:rsidP="00094F99">
                            <w:pPr>
                              <w:rPr>
                                <w:rFonts w:ascii="Arial" w:hAnsi="Arial" w:cs="Arial"/>
                                <w:sz w:val="24"/>
                                <w:szCs w:val="24"/>
                              </w:rPr>
                            </w:pPr>
                            <w:r w:rsidRPr="00111A60">
                              <w:rPr>
                                <w:rFonts w:ascii="Arial" w:hAnsi="Arial" w:cs="Arial"/>
                                <w:color w:val="FFFFFF" w:themeColor="background1"/>
                                <w:sz w:val="72"/>
                                <w:szCs w:val="72"/>
                              </w:rPr>
                              <w:t>Approved</w:t>
                            </w:r>
                          </w:p>
                          <w:p w14:paraId="0A48FCBB" w14:textId="77777777" w:rsidR="00761119" w:rsidRPr="00111A60" w:rsidRDefault="00761119" w:rsidP="00094F99">
                            <w:pPr>
                              <w:rPr>
                                <w:rFonts w:ascii="Arial" w:hAnsi="Arial" w:cs="Arial"/>
                                <w:sz w:val="24"/>
                                <w:szCs w:val="24"/>
                              </w:rPr>
                            </w:pPr>
                            <w:r w:rsidRPr="00111A60">
                              <w:rPr>
                                <w:rFonts w:ascii="Arial" w:hAnsi="Arial" w:cs="Arial"/>
                                <w:color w:val="FFFFFF" w:themeColor="background1"/>
                                <w:sz w:val="72"/>
                                <w:szCs w:val="72"/>
                              </w:rPr>
                              <w:t>Document</w:t>
                            </w:r>
                          </w:p>
                          <w:p w14:paraId="18E555D9" w14:textId="7E2811A6" w:rsidR="00761119" w:rsidRPr="00111A60" w:rsidRDefault="00761119" w:rsidP="00094F99">
                            <w:pPr>
                              <w:rPr>
                                <w:rFonts w:ascii="Arial" w:hAnsi="Arial" w:cs="Arial"/>
                                <w:color w:val="FFFFFF" w:themeColor="background1"/>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14F22B" id="_x0000_t202" coordsize="21600,21600" o:spt="202" path="m,l,21600r21600,l21600,xe">
                <v:stroke joinstyle="miter"/>
                <v:path gradientshapeok="t" o:connecttype="rect"/>
              </v:shapetype>
              <v:shape id="Text Box 2" o:spid="_x0000_s1026" type="#_x0000_t202" style="position:absolute;margin-left:0;margin-top:30.05pt;width:464.55pt;height:175.5pt;z-index:251658241;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" fillcolor="#2f5496 [2408]" strokecolor="white [3212]">
                <v:textbox>
                  <w:txbxContent>
                    <w:p w14:paraId="67104B28" w14:textId="452CF91D" w:rsidR="00761119" w:rsidRPr="00111A60" w:rsidRDefault="00761119" w:rsidP="00094F99">
                      <w:pPr>
                        <w:rPr>
                          <w:rFonts w:ascii="Arial" w:hAnsi="Arial" w:cs="Arial"/>
                          <w:sz w:val="24"/>
                          <w:szCs w:val="24"/>
                        </w:rPr>
                      </w:pPr>
                      <w:r w:rsidRPr="00111A60">
                        <w:rPr>
                          <w:rFonts w:ascii="Arial" w:hAnsi="Arial" w:cs="Arial"/>
                          <w:color w:val="FFFFFF" w:themeColor="background1"/>
                          <w:sz w:val="72"/>
                          <w:szCs w:val="72"/>
                        </w:rPr>
                        <w:t>Approved</w:t>
                      </w:r>
                    </w:p>
                    <w:p w14:paraId="0A48FCBB" w14:textId="77777777" w:rsidR="00761119" w:rsidRPr="00111A60" w:rsidRDefault="00761119" w:rsidP="00094F99">
                      <w:pPr>
                        <w:rPr>
                          <w:rFonts w:ascii="Arial" w:hAnsi="Arial" w:cs="Arial"/>
                          <w:sz w:val="24"/>
                          <w:szCs w:val="24"/>
                        </w:rPr>
                      </w:pPr>
                      <w:r w:rsidRPr="00111A60">
                        <w:rPr>
                          <w:rFonts w:ascii="Arial" w:hAnsi="Arial" w:cs="Arial"/>
                          <w:color w:val="FFFFFF" w:themeColor="background1"/>
                          <w:sz w:val="72"/>
                          <w:szCs w:val="72"/>
                        </w:rPr>
                        <w:t>Document</w:t>
                      </w:r>
                    </w:p>
                    <w:p w14:paraId="18E555D9" w14:textId="7E2811A6" w:rsidR="00761119" w:rsidRPr="00111A60" w:rsidRDefault="00761119" w:rsidP="00094F99">
                      <w:pPr>
                        <w:rPr>
                          <w:rFonts w:ascii="Arial" w:hAnsi="Arial" w:cs="Arial"/>
                          <w:color w:val="FFFFFF" w:themeColor="background1"/>
                          <w:sz w:val="44"/>
                          <w:szCs w:val="44"/>
                        </w:rPr>
                      </w:pPr>
                    </w:p>
                  </w:txbxContent>
                </v:textbox>
                <w10:wrap type="square" anchorx="page"/>
              </v:shape>
            </w:pict>
          </mc:Fallback>
        </mc:AlternateContent>
      </w:r>
    </w:p>
    <w:p w14:paraId="62888D75" w14:textId="5A23989E" w:rsidR="00111A60" w:rsidRPr="00D74898" w:rsidRDefault="00111A60" w:rsidP="00761119">
      <w:pPr>
        <w:rPr>
          <w:rFonts w:ascii="Arial" w:hAnsi="Arial" w:cs="Arial"/>
          <w:color w:val="2E74B5" w:themeColor="accent1" w:themeShade="BF"/>
          <w:sz w:val="24"/>
          <w:szCs w:val="24"/>
        </w:rPr>
      </w:pPr>
      <w:r w:rsidRPr="00D74898">
        <w:rPr>
          <w:rFonts w:ascii="Arial" w:hAnsi="Arial" w:cs="Arial"/>
          <w:noProof/>
        </w:rPr>
        <mc:AlternateContent>
          <mc:Choice Requires="wps">
            <w:drawing>
              <wp:anchor distT="0" distB="0" distL="114300" distR="114300" simplePos="0" relativeHeight="251658243" behindDoc="0" locked="0" layoutInCell="1" allowOverlap="1" wp14:anchorId="128E7215" wp14:editId="64821916">
                <wp:simplePos x="0" y="0"/>
                <wp:positionH relativeFrom="column">
                  <wp:posOffset>2293620</wp:posOffset>
                </wp:positionH>
                <wp:positionV relativeFrom="paragraph">
                  <wp:posOffset>98425</wp:posOffset>
                </wp:positionV>
                <wp:extent cx="2529840" cy="1981200"/>
                <wp:effectExtent l="0" t="0" r="0" b="0"/>
                <wp:wrapNone/>
                <wp:docPr id="741115812" name="Text Box 1"/>
                <wp:cNvGraphicFramePr/>
                <a:graphic xmlns:a="http://schemas.openxmlformats.org/drawingml/2006/main">
                  <a:graphicData uri="http://schemas.microsoft.com/office/word/2010/wordprocessingShape">
                    <wps:wsp>
                      <wps:cNvSpPr txBox="1"/>
                      <wps:spPr>
                        <a:xfrm>
                          <a:off x="0" y="0"/>
                          <a:ext cx="2529840" cy="1981200"/>
                        </a:xfrm>
                        <a:prstGeom prst="rect">
                          <a:avLst/>
                        </a:prstGeom>
                        <a:noFill/>
                        <a:ln>
                          <a:noFill/>
                        </a:ln>
                      </wps:spPr>
                      <wps:txbx>
                        <w:txbxContent>
                          <w:p w14:paraId="54785228" w14:textId="777B3D00" w:rsidR="00033B9B" w:rsidRPr="00111A60" w:rsidRDefault="0094252D" w:rsidP="00033B9B">
                            <w:pPr>
                              <w:jc w:val="center"/>
                              <w:rPr>
                                <w:rFonts w:ascii="Arial" w:hAnsi="Arial" w:cs="Arial"/>
                                <w:color w:val="FFFFFF" w:themeColor="background1"/>
                                <w:sz w:val="240"/>
                                <w:szCs w:val="240"/>
                                <w14:textOutline w14:w="0" w14:cap="flat" w14:cmpd="sng" w14:algn="ctr">
                                  <w14:noFill/>
                                  <w14:prstDash w14:val="solid"/>
                                  <w14:round/>
                                </w14:textOutline>
                              </w:rPr>
                            </w:pPr>
                            <w:r>
                              <w:rPr>
                                <w:rFonts w:ascii="Arial" w:hAnsi="Arial" w:cs="Arial"/>
                                <w:color w:val="FFFFFF" w:themeColor="background1"/>
                                <w:sz w:val="240"/>
                                <w:szCs w:val="240"/>
                                <w14:textOutline w14:w="0" w14:cap="flat" w14:cmpd="sng" w14:algn="ctr">
                                  <w14:noFill/>
                                  <w14:prstDash w14:val="solid"/>
                                  <w14:round/>
                                </w14:textOutline>
                              </w:rPr>
                              <w:t>NZ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E7215" id="Text Box 1" o:spid="_x0000_s1027" type="#_x0000_t202" style="position:absolute;margin-left:180.6pt;margin-top:7.75pt;width:199.2pt;height:15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" filled="f" stroked="f">
                <v:textbox>
                  <w:txbxContent>
                    <w:p w14:paraId="54785228" w14:textId="777B3D00" w:rsidR="00033B9B" w:rsidRPr="00111A60" w:rsidRDefault="0094252D" w:rsidP="00033B9B">
                      <w:pPr>
                        <w:jc w:val="center"/>
                        <w:rPr>
                          <w:rFonts w:ascii="Arial" w:hAnsi="Arial" w:cs="Arial"/>
                          <w:color w:val="FFFFFF" w:themeColor="background1"/>
                          <w:sz w:val="240"/>
                          <w:szCs w:val="240"/>
                          <w14:textOutline w14:w="0" w14:cap="flat" w14:cmpd="sng" w14:algn="ctr">
                            <w14:noFill/>
                            <w14:prstDash w14:val="solid"/>
                            <w14:round/>
                          </w14:textOutline>
                        </w:rPr>
                      </w:pPr>
                      <w:r>
                        <w:rPr>
                          <w:rFonts w:ascii="Arial" w:hAnsi="Arial" w:cs="Arial"/>
                          <w:color w:val="FFFFFF" w:themeColor="background1"/>
                          <w:sz w:val="240"/>
                          <w:szCs w:val="240"/>
                          <w14:textOutline w14:w="0" w14:cap="flat" w14:cmpd="sng" w14:algn="ctr">
                            <w14:noFill/>
                            <w14:prstDash w14:val="solid"/>
                            <w14:round/>
                          </w14:textOutline>
                        </w:rPr>
                        <w:t>NZ</w:t>
                      </w:r>
                    </w:p>
                  </w:txbxContent>
                </v:textbox>
              </v:shape>
            </w:pict>
          </mc:Fallback>
        </mc:AlternateContent>
      </w:r>
    </w:p>
    <w:p w14:paraId="2200E573" w14:textId="0F200319" w:rsidR="00761119" w:rsidRPr="00D74898" w:rsidRDefault="00761119" w:rsidP="00761119">
      <w:pPr>
        <w:rPr>
          <w:rFonts w:ascii="Arial" w:hAnsi="Arial" w:cs="Arial"/>
          <w:color w:val="2E74B5" w:themeColor="accent1" w:themeShade="BF"/>
          <w:sz w:val="28"/>
          <w:szCs w:val="28"/>
        </w:rPr>
      </w:pPr>
    </w:p>
    <w:p w14:paraId="1F65B612" w14:textId="36484BEB" w:rsidR="00761119" w:rsidRPr="00D74898" w:rsidRDefault="00761119" w:rsidP="00761119">
      <w:pPr>
        <w:rPr>
          <w:rFonts w:ascii="Arial" w:hAnsi="Arial" w:cs="Arial"/>
          <w:color w:val="2E74B5" w:themeColor="accent1" w:themeShade="BF"/>
          <w:sz w:val="28"/>
          <w:szCs w:val="28"/>
        </w:rPr>
      </w:pPr>
    </w:p>
    <w:p w14:paraId="335BA72E" w14:textId="0263ADE8" w:rsidR="00761119" w:rsidRPr="00D74898" w:rsidRDefault="00761119" w:rsidP="00761119">
      <w:pPr>
        <w:rPr>
          <w:rFonts w:ascii="Arial" w:hAnsi="Arial" w:cs="Arial"/>
          <w:color w:val="2E74B5" w:themeColor="accent1" w:themeShade="BF"/>
          <w:sz w:val="28"/>
          <w:szCs w:val="28"/>
        </w:rPr>
      </w:pPr>
    </w:p>
    <w:p w14:paraId="72509F98" w14:textId="203A1BE2" w:rsidR="00761119" w:rsidRPr="00D74898" w:rsidRDefault="00761119" w:rsidP="00761119">
      <w:pPr>
        <w:rPr>
          <w:rFonts w:ascii="Arial" w:hAnsi="Arial" w:cs="Arial"/>
          <w:color w:val="2E74B5" w:themeColor="accent1" w:themeShade="BF"/>
          <w:sz w:val="28"/>
          <w:szCs w:val="28"/>
        </w:rPr>
      </w:pPr>
    </w:p>
    <w:p w14:paraId="2E254542" w14:textId="5DF604ED" w:rsidR="00761119" w:rsidRPr="00D74898" w:rsidRDefault="00761119" w:rsidP="00761119">
      <w:pPr>
        <w:rPr>
          <w:rFonts w:ascii="Arial" w:hAnsi="Arial" w:cs="Arial"/>
          <w:color w:val="2E74B5" w:themeColor="accent1" w:themeShade="BF"/>
          <w:sz w:val="28"/>
          <w:szCs w:val="28"/>
        </w:rPr>
      </w:pPr>
    </w:p>
    <w:p w14:paraId="5905F40F" w14:textId="77777777" w:rsidR="00761119" w:rsidRPr="00D74898" w:rsidRDefault="00761119" w:rsidP="00761119">
      <w:pPr>
        <w:rPr>
          <w:rFonts w:ascii="Arial" w:hAnsi="Arial" w:cs="Arial"/>
          <w:color w:val="2E74B5" w:themeColor="accent1" w:themeShade="BF"/>
          <w:sz w:val="28"/>
          <w:szCs w:val="28"/>
        </w:rPr>
      </w:pPr>
    </w:p>
    <w:p w14:paraId="79F42688" w14:textId="044671EC" w:rsidR="00761119" w:rsidRPr="00D74898" w:rsidRDefault="00111A60" w:rsidP="00761119">
      <w:pPr>
        <w:rPr>
          <w:rFonts w:ascii="Arial" w:hAnsi="Arial" w:cs="Arial"/>
          <w:color w:val="2E74B5" w:themeColor="accent1" w:themeShade="BF"/>
          <w:sz w:val="28"/>
          <w:szCs w:val="28"/>
        </w:rPr>
      </w:pPr>
      <w:r w:rsidRPr="00D74898">
        <w:rPr>
          <w:rFonts w:ascii="Arial" w:hAnsi="Arial" w:cs="Arial"/>
          <w:noProof/>
          <w:color w:val="2E74B5" w:themeColor="accent1" w:themeShade="BF"/>
          <w:sz w:val="28"/>
          <w:szCs w:val="28"/>
        </w:rPr>
        <mc:AlternateContent>
          <mc:Choice Requires="wps">
            <w:drawing>
              <wp:anchor distT="45720" distB="45720" distL="114300" distR="114300" simplePos="0" relativeHeight="251658242" behindDoc="0" locked="0" layoutInCell="1" allowOverlap="1" wp14:anchorId="425F4864" wp14:editId="0AF19A72">
                <wp:simplePos x="0" y="0"/>
                <wp:positionH relativeFrom="page">
                  <wp:align>left</wp:align>
                </wp:positionH>
                <wp:positionV relativeFrom="paragraph">
                  <wp:posOffset>372745</wp:posOffset>
                </wp:positionV>
                <wp:extent cx="5876925" cy="504825"/>
                <wp:effectExtent l="0" t="0" r="28575" b="28575"/>
                <wp:wrapSquare wrapText="bothSides"/>
                <wp:docPr id="17714854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504825"/>
                        </a:xfrm>
                        <a:prstGeom prst="rect">
                          <a:avLst/>
                        </a:prstGeom>
                        <a:solidFill>
                          <a:schemeClr val="accent5">
                            <a:lumMod val="75000"/>
                          </a:schemeClr>
                        </a:solidFill>
                        <a:ln w="9525">
                          <a:solidFill>
                            <a:schemeClr val="bg1"/>
                          </a:solidFill>
                          <a:miter lim="800000"/>
                          <a:headEnd/>
                          <a:tailEnd/>
                        </a:ln>
                      </wps:spPr>
                      <wps:txbx>
                        <w:txbxContent>
                          <w:p w14:paraId="7E7B625E" w14:textId="0963DD3C" w:rsidR="00761119" w:rsidRPr="00111A60" w:rsidRDefault="00AE678D" w:rsidP="00761119">
                            <w:pPr>
                              <w:rPr>
                                <w:rFonts w:ascii="Arial" w:hAnsi="Arial" w:cs="Arial"/>
                                <w:color w:val="FFFFFF" w:themeColor="background1"/>
                              </w:rPr>
                            </w:pPr>
                            <w:r>
                              <w:rPr>
                                <w:rFonts w:ascii="Arial" w:hAnsi="Arial" w:cs="Arial"/>
                                <w:color w:val="FFFFFF" w:themeColor="background1"/>
                              </w:rPr>
                              <w:t>Approved</w:t>
                            </w:r>
                            <w:r w:rsidR="0094252D">
                              <w:rPr>
                                <w:rFonts w:ascii="Arial" w:hAnsi="Arial" w:cs="Arial"/>
                                <w:color w:val="FFFFFF" w:themeColor="background1"/>
                              </w:rPr>
                              <w:t xml:space="preserve"> Document: NZ, Volume 1. (Net Zero)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5F4864" id="_x0000_s1028" type="#_x0000_t202" style="position:absolute;margin-left:0;margin-top:29.35pt;width:462.75pt;height:39.75pt;z-index:25165824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" fillcolor="#2f5496 [2408]" strokecolor="white [3212]">
                <v:textbox>
                  <w:txbxContent>
                    <w:p w14:paraId="7E7B625E" w14:textId="0963DD3C" w:rsidR="00761119" w:rsidRPr="00111A60" w:rsidRDefault="00AE678D" w:rsidP="00761119">
                      <w:pPr>
                        <w:rPr>
                          <w:rFonts w:ascii="Arial" w:hAnsi="Arial" w:cs="Arial"/>
                          <w:color w:val="FFFFFF" w:themeColor="background1"/>
                        </w:rPr>
                      </w:pPr>
                      <w:r>
                        <w:rPr>
                          <w:rFonts w:ascii="Arial" w:hAnsi="Arial" w:cs="Arial"/>
                          <w:color w:val="FFFFFF" w:themeColor="background1"/>
                        </w:rPr>
                        <w:t>Approved</w:t>
                      </w:r>
                      <w:r w:rsidR="0094252D">
                        <w:rPr>
                          <w:rFonts w:ascii="Arial" w:hAnsi="Arial" w:cs="Arial"/>
                          <w:color w:val="FFFFFF" w:themeColor="background1"/>
                        </w:rPr>
                        <w:t xml:space="preserve"> Document: NZ, Volume 1. (Net Zero)</w:t>
                      </w:r>
                    </w:p>
                  </w:txbxContent>
                </v:textbox>
                <w10:wrap type="square" anchorx="page"/>
              </v:shape>
            </w:pict>
          </mc:Fallback>
        </mc:AlternateContent>
      </w:r>
    </w:p>
    <w:p w14:paraId="26771B4E" w14:textId="63873F8E" w:rsidR="00761119" w:rsidRPr="00D74898" w:rsidRDefault="00761119" w:rsidP="00761119">
      <w:pPr>
        <w:rPr>
          <w:rFonts w:ascii="Arial" w:hAnsi="Arial" w:cs="Arial"/>
          <w:color w:val="2E74B5" w:themeColor="accent1" w:themeShade="BF"/>
          <w:sz w:val="28"/>
          <w:szCs w:val="28"/>
        </w:rPr>
      </w:pPr>
    </w:p>
    <w:p w14:paraId="38D15A60" w14:textId="3FA1EE32" w:rsidR="00761119" w:rsidRPr="00D74898" w:rsidRDefault="00761119" w:rsidP="00761119">
      <w:pPr>
        <w:rPr>
          <w:rFonts w:ascii="Arial" w:hAnsi="Arial" w:cs="Arial"/>
          <w:color w:val="2E74B5" w:themeColor="accent1" w:themeShade="BF"/>
          <w:sz w:val="28"/>
          <w:szCs w:val="28"/>
        </w:rPr>
      </w:pPr>
    </w:p>
    <w:p w14:paraId="5284DF34" w14:textId="6E4D85D8" w:rsidR="00761119" w:rsidRPr="00D74898" w:rsidRDefault="00761119" w:rsidP="00761119">
      <w:pPr>
        <w:rPr>
          <w:rFonts w:ascii="Arial" w:hAnsi="Arial" w:cs="Arial"/>
          <w:color w:val="2E74B5" w:themeColor="accent1" w:themeShade="BF"/>
          <w:sz w:val="28"/>
          <w:szCs w:val="28"/>
        </w:rPr>
      </w:pPr>
    </w:p>
    <w:p w14:paraId="470A7631" w14:textId="77777777" w:rsidR="00761119" w:rsidRPr="00D74898" w:rsidRDefault="00761119" w:rsidP="00761119">
      <w:pPr>
        <w:rPr>
          <w:rFonts w:ascii="Arial" w:hAnsi="Arial" w:cs="Arial"/>
          <w:color w:val="2E74B5" w:themeColor="accent1" w:themeShade="BF"/>
          <w:sz w:val="28"/>
          <w:szCs w:val="28"/>
        </w:rPr>
      </w:pPr>
    </w:p>
    <w:p w14:paraId="77650333" w14:textId="77777777" w:rsidR="00761119" w:rsidRPr="00D74898" w:rsidRDefault="00761119" w:rsidP="00761119">
      <w:pPr>
        <w:rPr>
          <w:rFonts w:ascii="Arial" w:hAnsi="Arial" w:cs="Arial"/>
          <w:color w:val="2E74B5" w:themeColor="accent1" w:themeShade="BF"/>
          <w:sz w:val="28"/>
          <w:szCs w:val="28"/>
        </w:rPr>
      </w:pPr>
    </w:p>
    <w:p w14:paraId="584A0D47" w14:textId="77777777" w:rsidR="00111A60" w:rsidRDefault="00111A60" w:rsidP="00761119">
      <w:pPr>
        <w:rPr>
          <w:rFonts w:ascii="Arial" w:hAnsi="Arial" w:cs="Arial"/>
          <w:color w:val="2E74B5" w:themeColor="accent1" w:themeShade="BF"/>
          <w:sz w:val="28"/>
          <w:szCs w:val="28"/>
        </w:rPr>
      </w:pPr>
    </w:p>
    <w:p w14:paraId="176CFA32" w14:textId="77777777" w:rsidR="00895238" w:rsidRDefault="00895238" w:rsidP="00761119">
      <w:pPr>
        <w:rPr>
          <w:rFonts w:ascii="Arial" w:hAnsi="Arial" w:cs="Arial"/>
          <w:color w:val="2E74B5" w:themeColor="accent1" w:themeShade="BF"/>
          <w:sz w:val="28"/>
          <w:szCs w:val="28"/>
        </w:rPr>
      </w:pPr>
    </w:p>
    <w:p w14:paraId="0958C7FF" w14:textId="77777777" w:rsidR="00591483" w:rsidRDefault="00591483" w:rsidP="00761119">
      <w:pPr>
        <w:rPr>
          <w:rFonts w:ascii="Arial" w:hAnsi="Arial" w:cs="Arial"/>
          <w:color w:val="2E74B5" w:themeColor="accent1" w:themeShade="BF"/>
          <w:sz w:val="28"/>
          <w:szCs w:val="28"/>
        </w:rPr>
      </w:pPr>
    </w:p>
    <w:p w14:paraId="6441FE58" w14:textId="77777777" w:rsidR="00591483" w:rsidRDefault="00591483" w:rsidP="00761119">
      <w:pPr>
        <w:rPr>
          <w:rFonts w:ascii="Arial" w:hAnsi="Arial" w:cs="Arial"/>
          <w:color w:val="2E74B5" w:themeColor="accent1" w:themeShade="BF"/>
          <w:sz w:val="28"/>
          <w:szCs w:val="28"/>
        </w:rPr>
      </w:pPr>
    </w:p>
    <w:p w14:paraId="48668F28" w14:textId="77777777" w:rsidR="00591483" w:rsidRDefault="00591483" w:rsidP="00761119">
      <w:pPr>
        <w:rPr>
          <w:rFonts w:ascii="Arial" w:hAnsi="Arial" w:cs="Arial"/>
          <w:color w:val="2E74B5" w:themeColor="accent1" w:themeShade="BF"/>
          <w:sz w:val="28"/>
          <w:szCs w:val="28"/>
        </w:rPr>
      </w:pPr>
    </w:p>
    <w:p w14:paraId="10AEAC68" w14:textId="70C6B137" w:rsidR="00591483" w:rsidRPr="00591483" w:rsidRDefault="00761119" w:rsidP="00761119">
      <w:pPr>
        <w:rPr>
          <w:rFonts w:ascii="Arial" w:hAnsi="Arial" w:cs="Arial"/>
          <w:color w:val="7F7F7F" w:themeColor="text1" w:themeTint="80"/>
          <w:sz w:val="24"/>
          <w:szCs w:val="24"/>
        </w:rPr>
      </w:pPr>
      <w:r w:rsidRPr="00591483">
        <w:rPr>
          <w:rFonts w:ascii="Arial" w:hAnsi="Arial" w:cs="Arial"/>
          <w:color w:val="7F7F7F" w:themeColor="text1" w:themeTint="80"/>
          <w:sz w:val="24"/>
          <w:szCs w:val="24"/>
        </w:rPr>
        <w:t>202</w:t>
      </w:r>
      <w:r w:rsidR="00856CB6" w:rsidRPr="00591483">
        <w:rPr>
          <w:rFonts w:ascii="Arial" w:hAnsi="Arial" w:cs="Arial"/>
          <w:color w:val="7F7F7F" w:themeColor="text1" w:themeTint="80"/>
          <w:sz w:val="24"/>
          <w:szCs w:val="24"/>
        </w:rPr>
        <w:t>6</w:t>
      </w:r>
      <w:r w:rsidRPr="00591483">
        <w:rPr>
          <w:rFonts w:ascii="Arial" w:hAnsi="Arial" w:cs="Arial"/>
          <w:color w:val="7F7F7F" w:themeColor="text1" w:themeTint="80"/>
          <w:sz w:val="24"/>
          <w:szCs w:val="24"/>
        </w:rPr>
        <w:t xml:space="preserve"> </w:t>
      </w:r>
      <w:r w:rsidR="00856CB6" w:rsidRPr="00591483">
        <w:rPr>
          <w:rFonts w:ascii="Arial" w:hAnsi="Arial" w:cs="Arial"/>
          <w:color w:val="7F7F7F" w:themeColor="text1" w:themeTint="80"/>
          <w:sz w:val="24"/>
          <w:szCs w:val="24"/>
        </w:rPr>
        <w:t>E</w:t>
      </w:r>
      <w:r w:rsidRPr="00591483">
        <w:rPr>
          <w:rFonts w:ascii="Arial" w:hAnsi="Arial" w:cs="Arial"/>
          <w:color w:val="7F7F7F" w:themeColor="text1" w:themeTint="80"/>
          <w:sz w:val="24"/>
          <w:szCs w:val="24"/>
        </w:rPr>
        <w:t>dition For use in Wales*</w:t>
      </w:r>
    </w:p>
    <w:sdt>
      <w:sdtPr>
        <w:rPr>
          <w:rFonts w:ascii="Arial" w:eastAsiaTheme="minorHAnsi" w:hAnsi="Arial" w:cs="Arial"/>
          <w:color w:val="auto"/>
          <w:kern w:val="2"/>
          <w:sz w:val="22"/>
          <w:szCs w:val="22"/>
          <w:lang w:eastAsia="en-US"/>
          <w14:ligatures w14:val="standardContextual"/>
        </w:rPr>
        <w:id w:val="-1425722197"/>
        <w:docPartObj>
          <w:docPartGallery w:val="Table of Contents"/>
          <w:docPartUnique/>
        </w:docPartObj>
      </w:sdtPr>
      <w:sdtEndPr>
        <w:rPr>
          <w:b/>
          <w:bCs/>
        </w:rPr>
      </w:sdtEndPr>
      <w:sdtContent>
        <w:p w14:paraId="10302423" w14:textId="0A82C316" w:rsidR="00226246" w:rsidRPr="00D74898" w:rsidRDefault="00226246">
          <w:pPr>
            <w:pStyle w:val="TOCHeading"/>
            <w:rPr>
              <w:rFonts w:ascii="Arial" w:hAnsi="Arial" w:cs="Arial"/>
              <w:b/>
              <w:bCs/>
              <w:sz w:val="28"/>
              <w:szCs w:val="28"/>
            </w:rPr>
          </w:pPr>
          <w:r w:rsidRPr="00D74898">
            <w:rPr>
              <w:rFonts w:ascii="Arial" w:hAnsi="Arial" w:cs="Arial"/>
              <w:b/>
              <w:bCs/>
              <w:sz w:val="28"/>
              <w:szCs w:val="28"/>
            </w:rPr>
            <w:t>Table of Contents</w:t>
          </w:r>
        </w:p>
        <w:p w14:paraId="1F4C0172" w14:textId="7C717800" w:rsidR="00181B9C" w:rsidRDefault="00226246">
          <w:pPr>
            <w:pStyle w:val="TOC1"/>
            <w:rPr>
              <w:rFonts w:eastAsiaTheme="minorEastAsia"/>
              <w:noProof/>
              <w:sz w:val="24"/>
              <w:szCs w:val="24"/>
              <w:lang w:eastAsia="en-GB"/>
            </w:rPr>
          </w:pPr>
          <w:r w:rsidRPr="00D74898">
            <w:rPr>
              <w:rFonts w:ascii="Arial" w:hAnsi="Arial" w:cs="Arial"/>
              <w:sz w:val="20"/>
              <w:szCs w:val="20"/>
            </w:rPr>
            <w:fldChar w:fldCharType="begin"/>
          </w:r>
          <w:r w:rsidRPr="00D74898">
            <w:rPr>
              <w:rFonts w:ascii="Arial" w:hAnsi="Arial" w:cs="Arial"/>
              <w:sz w:val="20"/>
              <w:szCs w:val="20"/>
            </w:rPr>
            <w:instrText xml:space="preserve"> TOC \o "1-3" \h \z \u </w:instrText>
          </w:r>
          <w:r w:rsidRPr="00D74898">
            <w:rPr>
              <w:rFonts w:ascii="Arial" w:hAnsi="Arial" w:cs="Arial"/>
              <w:sz w:val="20"/>
              <w:szCs w:val="20"/>
            </w:rPr>
            <w:fldChar w:fldCharType="separate"/>
          </w:r>
          <w:hyperlink w:anchor="_Toc233970826" w:history="1">
            <w:r w:rsidR="00181B9C" w:rsidRPr="001D0920">
              <w:rPr>
                <w:rStyle w:val="Hyperlink"/>
                <w:noProof/>
              </w:rPr>
              <w:t>Executive Summary</w:t>
            </w:r>
            <w:r w:rsidR="00181B9C">
              <w:rPr>
                <w:noProof/>
                <w:webHidden/>
              </w:rPr>
              <w:tab/>
            </w:r>
            <w:r w:rsidR="00181B9C">
              <w:rPr>
                <w:noProof/>
                <w:webHidden/>
              </w:rPr>
              <w:fldChar w:fldCharType="begin"/>
            </w:r>
            <w:r w:rsidR="00181B9C">
              <w:rPr>
                <w:noProof/>
                <w:webHidden/>
              </w:rPr>
              <w:instrText xml:space="preserve"> PAGEREF _Toc233970826 \h </w:instrText>
            </w:r>
            <w:r w:rsidR="00181B9C">
              <w:rPr>
                <w:noProof/>
                <w:webHidden/>
              </w:rPr>
            </w:r>
            <w:r w:rsidR="00181B9C">
              <w:rPr>
                <w:noProof/>
                <w:webHidden/>
              </w:rPr>
              <w:fldChar w:fldCharType="separate"/>
            </w:r>
            <w:r w:rsidR="00181B9C">
              <w:rPr>
                <w:noProof/>
                <w:webHidden/>
              </w:rPr>
              <w:t>2</w:t>
            </w:r>
            <w:r w:rsidR="00181B9C">
              <w:rPr>
                <w:noProof/>
                <w:webHidden/>
              </w:rPr>
              <w:fldChar w:fldCharType="end"/>
            </w:r>
          </w:hyperlink>
        </w:p>
        <w:p w14:paraId="41E04642" w14:textId="5E40A2DD" w:rsidR="00181B9C" w:rsidRDefault="00181B9C">
          <w:pPr>
            <w:pStyle w:val="TOC1"/>
            <w:rPr>
              <w:rFonts w:eastAsiaTheme="minorEastAsia"/>
              <w:noProof/>
              <w:sz w:val="24"/>
              <w:szCs w:val="24"/>
              <w:lang w:eastAsia="en-GB"/>
            </w:rPr>
          </w:pPr>
          <w:hyperlink w:anchor="_Toc233970827" w:history="1">
            <w:r w:rsidRPr="001D0920">
              <w:rPr>
                <w:rStyle w:val="Hyperlink"/>
                <w:noProof/>
              </w:rPr>
              <w:t>1.0 Introduction</w:t>
            </w:r>
            <w:r>
              <w:rPr>
                <w:noProof/>
                <w:webHidden/>
              </w:rPr>
              <w:tab/>
            </w:r>
            <w:r>
              <w:rPr>
                <w:noProof/>
                <w:webHidden/>
              </w:rPr>
              <w:fldChar w:fldCharType="begin"/>
            </w:r>
            <w:r>
              <w:rPr>
                <w:noProof/>
                <w:webHidden/>
              </w:rPr>
              <w:instrText xml:space="preserve"> PAGEREF _Toc233970827 \h </w:instrText>
            </w:r>
            <w:r>
              <w:rPr>
                <w:noProof/>
                <w:webHidden/>
              </w:rPr>
            </w:r>
            <w:r>
              <w:rPr>
                <w:noProof/>
                <w:webHidden/>
              </w:rPr>
              <w:fldChar w:fldCharType="separate"/>
            </w:r>
            <w:r>
              <w:rPr>
                <w:noProof/>
                <w:webHidden/>
              </w:rPr>
              <w:t>3</w:t>
            </w:r>
            <w:r>
              <w:rPr>
                <w:noProof/>
                <w:webHidden/>
              </w:rPr>
              <w:fldChar w:fldCharType="end"/>
            </w:r>
          </w:hyperlink>
        </w:p>
        <w:p w14:paraId="53F435A1" w14:textId="63D9C833" w:rsidR="00181B9C" w:rsidRDefault="00181B9C">
          <w:pPr>
            <w:pStyle w:val="TOC1"/>
            <w:rPr>
              <w:rFonts w:eastAsiaTheme="minorEastAsia"/>
              <w:noProof/>
              <w:sz w:val="24"/>
              <w:szCs w:val="24"/>
              <w:lang w:eastAsia="en-GB"/>
            </w:rPr>
          </w:pPr>
          <w:hyperlink w:anchor="_Toc233970828" w:history="1">
            <w:r w:rsidRPr="001D0920">
              <w:rPr>
                <w:rStyle w:val="Hyperlink"/>
                <w:noProof/>
              </w:rPr>
              <w:t>2.0 Schedule 1 Amendment (Part NZ)</w:t>
            </w:r>
            <w:r>
              <w:rPr>
                <w:noProof/>
                <w:webHidden/>
              </w:rPr>
              <w:tab/>
            </w:r>
            <w:r>
              <w:rPr>
                <w:noProof/>
                <w:webHidden/>
              </w:rPr>
              <w:fldChar w:fldCharType="begin"/>
            </w:r>
            <w:r>
              <w:rPr>
                <w:noProof/>
                <w:webHidden/>
              </w:rPr>
              <w:instrText xml:space="preserve"> PAGEREF _Toc233970828 \h </w:instrText>
            </w:r>
            <w:r>
              <w:rPr>
                <w:noProof/>
                <w:webHidden/>
              </w:rPr>
            </w:r>
            <w:r>
              <w:rPr>
                <w:noProof/>
                <w:webHidden/>
              </w:rPr>
              <w:fldChar w:fldCharType="separate"/>
            </w:r>
            <w:r>
              <w:rPr>
                <w:noProof/>
                <w:webHidden/>
              </w:rPr>
              <w:t>3</w:t>
            </w:r>
            <w:r>
              <w:rPr>
                <w:noProof/>
                <w:webHidden/>
              </w:rPr>
              <w:fldChar w:fldCharType="end"/>
            </w:r>
          </w:hyperlink>
        </w:p>
        <w:p w14:paraId="5ABA51A8" w14:textId="672B04AD" w:rsidR="00181B9C" w:rsidRDefault="00181B9C">
          <w:pPr>
            <w:pStyle w:val="TOC2"/>
            <w:tabs>
              <w:tab w:val="right" w:leader="dot" w:pos="9016"/>
            </w:tabs>
            <w:rPr>
              <w:rFonts w:eastAsiaTheme="minorEastAsia"/>
              <w:noProof/>
              <w:sz w:val="24"/>
              <w:szCs w:val="24"/>
              <w:lang w:eastAsia="en-GB"/>
            </w:rPr>
          </w:pPr>
          <w:hyperlink w:anchor="_Toc233970829" w:history="1">
            <w:r w:rsidRPr="001D0920">
              <w:rPr>
                <w:rStyle w:val="Hyperlink"/>
                <w:noProof/>
              </w:rPr>
              <w:t>2.1 Operational Carbon</w:t>
            </w:r>
            <w:r>
              <w:rPr>
                <w:noProof/>
                <w:webHidden/>
              </w:rPr>
              <w:tab/>
            </w:r>
            <w:r>
              <w:rPr>
                <w:noProof/>
                <w:webHidden/>
              </w:rPr>
              <w:fldChar w:fldCharType="begin"/>
            </w:r>
            <w:r>
              <w:rPr>
                <w:noProof/>
                <w:webHidden/>
              </w:rPr>
              <w:instrText xml:space="preserve"> PAGEREF _Toc233970829 \h </w:instrText>
            </w:r>
            <w:r>
              <w:rPr>
                <w:noProof/>
                <w:webHidden/>
              </w:rPr>
            </w:r>
            <w:r>
              <w:rPr>
                <w:noProof/>
                <w:webHidden/>
              </w:rPr>
              <w:fldChar w:fldCharType="separate"/>
            </w:r>
            <w:r>
              <w:rPr>
                <w:noProof/>
                <w:webHidden/>
              </w:rPr>
              <w:t>3</w:t>
            </w:r>
            <w:r>
              <w:rPr>
                <w:noProof/>
                <w:webHidden/>
              </w:rPr>
              <w:fldChar w:fldCharType="end"/>
            </w:r>
          </w:hyperlink>
        </w:p>
        <w:p w14:paraId="38DB70A6" w14:textId="7952787C" w:rsidR="00181B9C" w:rsidRDefault="00181B9C">
          <w:pPr>
            <w:pStyle w:val="TOC2"/>
            <w:tabs>
              <w:tab w:val="right" w:leader="dot" w:pos="9016"/>
            </w:tabs>
            <w:rPr>
              <w:rFonts w:eastAsiaTheme="minorEastAsia"/>
              <w:noProof/>
              <w:sz w:val="24"/>
              <w:szCs w:val="24"/>
              <w:lang w:eastAsia="en-GB"/>
            </w:rPr>
          </w:pPr>
          <w:hyperlink w:anchor="_Toc233970830" w:history="1">
            <w:r w:rsidRPr="001D0920">
              <w:rPr>
                <w:rStyle w:val="Hyperlink"/>
                <w:noProof/>
              </w:rPr>
              <w:t>2.2 Whole Life &amp; Embodied Carbon</w:t>
            </w:r>
            <w:r>
              <w:rPr>
                <w:noProof/>
                <w:webHidden/>
              </w:rPr>
              <w:tab/>
            </w:r>
            <w:r>
              <w:rPr>
                <w:noProof/>
                <w:webHidden/>
              </w:rPr>
              <w:fldChar w:fldCharType="begin"/>
            </w:r>
            <w:r>
              <w:rPr>
                <w:noProof/>
                <w:webHidden/>
              </w:rPr>
              <w:instrText xml:space="preserve"> PAGEREF _Toc233970830 \h </w:instrText>
            </w:r>
            <w:r>
              <w:rPr>
                <w:noProof/>
                <w:webHidden/>
              </w:rPr>
            </w:r>
            <w:r>
              <w:rPr>
                <w:noProof/>
                <w:webHidden/>
              </w:rPr>
              <w:fldChar w:fldCharType="separate"/>
            </w:r>
            <w:r>
              <w:rPr>
                <w:noProof/>
                <w:webHidden/>
              </w:rPr>
              <w:t>3</w:t>
            </w:r>
            <w:r>
              <w:rPr>
                <w:noProof/>
                <w:webHidden/>
              </w:rPr>
              <w:fldChar w:fldCharType="end"/>
            </w:r>
          </w:hyperlink>
        </w:p>
        <w:p w14:paraId="557D693E" w14:textId="5095D28D" w:rsidR="00181B9C" w:rsidRDefault="00181B9C">
          <w:pPr>
            <w:pStyle w:val="TOC1"/>
            <w:rPr>
              <w:rFonts w:eastAsiaTheme="minorEastAsia"/>
              <w:noProof/>
              <w:sz w:val="24"/>
              <w:szCs w:val="24"/>
              <w:lang w:eastAsia="en-GB"/>
            </w:rPr>
          </w:pPr>
          <w:hyperlink w:anchor="_Toc233970831" w:history="1">
            <w:r w:rsidRPr="001D0920">
              <w:rPr>
                <w:rStyle w:val="Hyperlink"/>
                <w:noProof/>
              </w:rPr>
              <w:t>3.0 Guidance</w:t>
            </w:r>
            <w:r>
              <w:rPr>
                <w:noProof/>
                <w:webHidden/>
              </w:rPr>
              <w:tab/>
            </w:r>
            <w:r>
              <w:rPr>
                <w:noProof/>
                <w:webHidden/>
              </w:rPr>
              <w:fldChar w:fldCharType="begin"/>
            </w:r>
            <w:r>
              <w:rPr>
                <w:noProof/>
                <w:webHidden/>
              </w:rPr>
              <w:instrText xml:space="preserve"> PAGEREF _Toc233970831 \h </w:instrText>
            </w:r>
            <w:r>
              <w:rPr>
                <w:noProof/>
                <w:webHidden/>
              </w:rPr>
            </w:r>
            <w:r>
              <w:rPr>
                <w:noProof/>
                <w:webHidden/>
              </w:rPr>
              <w:fldChar w:fldCharType="separate"/>
            </w:r>
            <w:r>
              <w:rPr>
                <w:noProof/>
                <w:webHidden/>
              </w:rPr>
              <w:t>4</w:t>
            </w:r>
            <w:r>
              <w:rPr>
                <w:noProof/>
                <w:webHidden/>
              </w:rPr>
              <w:fldChar w:fldCharType="end"/>
            </w:r>
          </w:hyperlink>
        </w:p>
        <w:p w14:paraId="473B60AA" w14:textId="10E24DA9" w:rsidR="00181B9C" w:rsidRDefault="00181B9C">
          <w:pPr>
            <w:pStyle w:val="TOC2"/>
            <w:tabs>
              <w:tab w:val="right" w:leader="dot" w:pos="9016"/>
            </w:tabs>
            <w:rPr>
              <w:rFonts w:eastAsiaTheme="minorEastAsia"/>
              <w:noProof/>
              <w:sz w:val="24"/>
              <w:szCs w:val="24"/>
              <w:lang w:eastAsia="en-GB"/>
            </w:rPr>
          </w:pPr>
          <w:hyperlink w:anchor="_Toc233970832" w:history="1">
            <w:r w:rsidRPr="001D0920">
              <w:rPr>
                <w:rStyle w:val="Hyperlink"/>
                <w:noProof/>
              </w:rPr>
              <w:t>3.1 How to meet the required compliance requirements</w:t>
            </w:r>
            <w:r>
              <w:rPr>
                <w:noProof/>
                <w:webHidden/>
              </w:rPr>
              <w:tab/>
            </w:r>
            <w:r>
              <w:rPr>
                <w:noProof/>
                <w:webHidden/>
              </w:rPr>
              <w:fldChar w:fldCharType="begin"/>
            </w:r>
            <w:r>
              <w:rPr>
                <w:noProof/>
                <w:webHidden/>
              </w:rPr>
              <w:instrText xml:space="preserve"> PAGEREF _Toc233970832 \h </w:instrText>
            </w:r>
            <w:r>
              <w:rPr>
                <w:noProof/>
                <w:webHidden/>
              </w:rPr>
            </w:r>
            <w:r>
              <w:rPr>
                <w:noProof/>
                <w:webHidden/>
              </w:rPr>
              <w:fldChar w:fldCharType="separate"/>
            </w:r>
            <w:r>
              <w:rPr>
                <w:noProof/>
                <w:webHidden/>
              </w:rPr>
              <w:t>4</w:t>
            </w:r>
            <w:r>
              <w:rPr>
                <w:noProof/>
                <w:webHidden/>
              </w:rPr>
              <w:fldChar w:fldCharType="end"/>
            </w:r>
          </w:hyperlink>
        </w:p>
        <w:p w14:paraId="4BF83E3C" w14:textId="660D8CCD" w:rsidR="00181B9C" w:rsidRDefault="00181B9C">
          <w:pPr>
            <w:pStyle w:val="TOC2"/>
            <w:tabs>
              <w:tab w:val="right" w:leader="dot" w:pos="9016"/>
            </w:tabs>
            <w:rPr>
              <w:rFonts w:eastAsiaTheme="minorEastAsia"/>
              <w:noProof/>
              <w:sz w:val="24"/>
              <w:szCs w:val="24"/>
              <w:lang w:eastAsia="en-GB"/>
            </w:rPr>
          </w:pPr>
          <w:hyperlink w:anchor="_Toc233970833" w:history="1">
            <w:r w:rsidRPr="001D0920">
              <w:rPr>
                <w:rStyle w:val="Hyperlink"/>
                <w:noProof/>
              </w:rPr>
              <w:t>3.2 Obtaining on site energy independence</w:t>
            </w:r>
            <w:r>
              <w:rPr>
                <w:noProof/>
                <w:webHidden/>
              </w:rPr>
              <w:tab/>
            </w:r>
            <w:r>
              <w:rPr>
                <w:noProof/>
                <w:webHidden/>
              </w:rPr>
              <w:fldChar w:fldCharType="begin"/>
            </w:r>
            <w:r>
              <w:rPr>
                <w:noProof/>
                <w:webHidden/>
              </w:rPr>
              <w:instrText xml:space="preserve"> PAGEREF _Toc233970833 \h </w:instrText>
            </w:r>
            <w:r>
              <w:rPr>
                <w:noProof/>
                <w:webHidden/>
              </w:rPr>
            </w:r>
            <w:r>
              <w:rPr>
                <w:noProof/>
                <w:webHidden/>
              </w:rPr>
              <w:fldChar w:fldCharType="separate"/>
            </w:r>
            <w:r>
              <w:rPr>
                <w:noProof/>
                <w:webHidden/>
              </w:rPr>
              <w:t>4</w:t>
            </w:r>
            <w:r>
              <w:rPr>
                <w:noProof/>
                <w:webHidden/>
              </w:rPr>
              <w:fldChar w:fldCharType="end"/>
            </w:r>
          </w:hyperlink>
        </w:p>
        <w:p w14:paraId="0D7873E5" w14:textId="08583090" w:rsidR="00181B9C" w:rsidRDefault="00181B9C">
          <w:pPr>
            <w:pStyle w:val="TOC2"/>
            <w:tabs>
              <w:tab w:val="right" w:leader="dot" w:pos="9016"/>
            </w:tabs>
            <w:rPr>
              <w:rFonts w:eastAsiaTheme="minorEastAsia"/>
              <w:noProof/>
              <w:sz w:val="24"/>
              <w:szCs w:val="24"/>
              <w:lang w:eastAsia="en-GB"/>
            </w:rPr>
          </w:pPr>
          <w:hyperlink w:anchor="_Toc233970834" w:history="1">
            <w:r w:rsidRPr="001D0920">
              <w:rPr>
                <w:rStyle w:val="Hyperlink"/>
                <w:noProof/>
              </w:rPr>
              <w:t>3.3 Balancing energy production</w:t>
            </w:r>
            <w:r>
              <w:rPr>
                <w:noProof/>
                <w:webHidden/>
              </w:rPr>
              <w:tab/>
            </w:r>
            <w:r>
              <w:rPr>
                <w:noProof/>
                <w:webHidden/>
              </w:rPr>
              <w:fldChar w:fldCharType="begin"/>
            </w:r>
            <w:r>
              <w:rPr>
                <w:noProof/>
                <w:webHidden/>
              </w:rPr>
              <w:instrText xml:space="preserve"> PAGEREF _Toc233970834 \h </w:instrText>
            </w:r>
            <w:r>
              <w:rPr>
                <w:noProof/>
                <w:webHidden/>
              </w:rPr>
            </w:r>
            <w:r>
              <w:rPr>
                <w:noProof/>
                <w:webHidden/>
              </w:rPr>
              <w:fldChar w:fldCharType="separate"/>
            </w:r>
            <w:r>
              <w:rPr>
                <w:noProof/>
                <w:webHidden/>
              </w:rPr>
              <w:t>4</w:t>
            </w:r>
            <w:r>
              <w:rPr>
                <w:noProof/>
                <w:webHidden/>
              </w:rPr>
              <w:fldChar w:fldCharType="end"/>
            </w:r>
          </w:hyperlink>
        </w:p>
        <w:p w14:paraId="6102C17A" w14:textId="0729C2CC" w:rsidR="00181B9C" w:rsidRDefault="00181B9C">
          <w:pPr>
            <w:pStyle w:val="TOC1"/>
            <w:rPr>
              <w:rFonts w:eastAsiaTheme="minorEastAsia"/>
              <w:noProof/>
              <w:sz w:val="24"/>
              <w:szCs w:val="24"/>
              <w:lang w:eastAsia="en-GB"/>
            </w:rPr>
          </w:pPr>
          <w:hyperlink w:anchor="_Toc233970835" w:history="1">
            <w:r w:rsidRPr="001D0920">
              <w:rPr>
                <w:rStyle w:val="Hyperlink"/>
                <w:noProof/>
              </w:rPr>
              <w:t>4.0 How Part: NZ will branch from existing building regulations</w:t>
            </w:r>
            <w:r>
              <w:rPr>
                <w:noProof/>
                <w:webHidden/>
              </w:rPr>
              <w:tab/>
            </w:r>
            <w:r>
              <w:rPr>
                <w:noProof/>
                <w:webHidden/>
              </w:rPr>
              <w:fldChar w:fldCharType="begin"/>
            </w:r>
            <w:r>
              <w:rPr>
                <w:noProof/>
                <w:webHidden/>
              </w:rPr>
              <w:instrText xml:space="preserve"> PAGEREF _Toc233970835 \h </w:instrText>
            </w:r>
            <w:r>
              <w:rPr>
                <w:noProof/>
                <w:webHidden/>
              </w:rPr>
            </w:r>
            <w:r>
              <w:rPr>
                <w:noProof/>
                <w:webHidden/>
              </w:rPr>
              <w:fldChar w:fldCharType="separate"/>
            </w:r>
            <w:r>
              <w:rPr>
                <w:noProof/>
                <w:webHidden/>
              </w:rPr>
              <w:t>5</w:t>
            </w:r>
            <w:r>
              <w:rPr>
                <w:noProof/>
                <w:webHidden/>
              </w:rPr>
              <w:fldChar w:fldCharType="end"/>
            </w:r>
          </w:hyperlink>
        </w:p>
        <w:p w14:paraId="41C54262" w14:textId="19E89A79" w:rsidR="00181B9C" w:rsidRDefault="00181B9C">
          <w:pPr>
            <w:pStyle w:val="TOC2"/>
            <w:tabs>
              <w:tab w:val="right" w:leader="dot" w:pos="9016"/>
            </w:tabs>
            <w:rPr>
              <w:rFonts w:eastAsiaTheme="minorEastAsia"/>
              <w:noProof/>
              <w:sz w:val="24"/>
              <w:szCs w:val="24"/>
              <w:lang w:eastAsia="en-GB"/>
            </w:rPr>
          </w:pPr>
          <w:hyperlink w:anchor="_Toc233970836" w:history="1">
            <w:r w:rsidRPr="001D0920">
              <w:rPr>
                <w:rStyle w:val="Hyperlink"/>
                <w:noProof/>
              </w:rPr>
              <w:t>4.1 Integration with Approved Document L (Conservation of Fuel and Power)</w:t>
            </w:r>
            <w:r>
              <w:rPr>
                <w:noProof/>
                <w:webHidden/>
              </w:rPr>
              <w:tab/>
            </w:r>
            <w:r>
              <w:rPr>
                <w:noProof/>
                <w:webHidden/>
              </w:rPr>
              <w:fldChar w:fldCharType="begin"/>
            </w:r>
            <w:r>
              <w:rPr>
                <w:noProof/>
                <w:webHidden/>
              </w:rPr>
              <w:instrText xml:space="preserve"> PAGEREF _Toc233970836 \h </w:instrText>
            </w:r>
            <w:r>
              <w:rPr>
                <w:noProof/>
                <w:webHidden/>
              </w:rPr>
            </w:r>
            <w:r>
              <w:rPr>
                <w:noProof/>
                <w:webHidden/>
              </w:rPr>
              <w:fldChar w:fldCharType="separate"/>
            </w:r>
            <w:r>
              <w:rPr>
                <w:noProof/>
                <w:webHidden/>
              </w:rPr>
              <w:t>5</w:t>
            </w:r>
            <w:r>
              <w:rPr>
                <w:noProof/>
                <w:webHidden/>
              </w:rPr>
              <w:fldChar w:fldCharType="end"/>
            </w:r>
          </w:hyperlink>
        </w:p>
        <w:p w14:paraId="47907401" w14:textId="04DC49FA" w:rsidR="00181B9C" w:rsidRDefault="00181B9C">
          <w:pPr>
            <w:pStyle w:val="TOC2"/>
            <w:tabs>
              <w:tab w:val="right" w:leader="dot" w:pos="9016"/>
            </w:tabs>
            <w:rPr>
              <w:rFonts w:eastAsiaTheme="minorEastAsia"/>
              <w:noProof/>
              <w:sz w:val="24"/>
              <w:szCs w:val="24"/>
              <w:lang w:eastAsia="en-GB"/>
            </w:rPr>
          </w:pPr>
          <w:hyperlink w:anchor="_Toc233970837" w:history="1">
            <w:r w:rsidRPr="001D0920">
              <w:rPr>
                <w:rStyle w:val="Hyperlink"/>
                <w:noProof/>
              </w:rPr>
              <w:t>4.2 Integration with Approved Document F (Ventilation)</w:t>
            </w:r>
            <w:r>
              <w:rPr>
                <w:noProof/>
                <w:webHidden/>
              </w:rPr>
              <w:tab/>
            </w:r>
            <w:r>
              <w:rPr>
                <w:noProof/>
                <w:webHidden/>
              </w:rPr>
              <w:fldChar w:fldCharType="begin"/>
            </w:r>
            <w:r>
              <w:rPr>
                <w:noProof/>
                <w:webHidden/>
              </w:rPr>
              <w:instrText xml:space="preserve"> PAGEREF _Toc233970837 \h </w:instrText>
            </w:r>
            <w:r>
              <w:rPr>
                <w:noProof/>
                <w:webHidden/>
              </w:rPr>
            </w:r>
            <w:r>
              <w:rPr>
                <w:noProof/>
                <w:webHidden/>
              </w:rPr>
              <w:fldChar w:fldCharType="separate"/>
            </w:r>
            <w:r>
              <w:rPr>
                <w:noProof/>
                <w:webHidden/>
              </w:rPr>
              <w:t>5</w:t>
            </w:r>
            <w:r>
              <w:rPr>
                <w:noProof/>
                <w:webHidden/>
              </w:rPr>
              <w:fldChar w:fldCharType="end"/>
            </w:r>
          </w:hyperlink>
        </w:p>
        <w:p w14:paraId="0BBF325E" w14:textId="58174BE7" w:rsidR="00181B9C" w:rsidRDefault="00181B9C">
          <w:pPr>
            <w:pStyle w:val="TOC2"/>
            <w:tabs>
              <w:tab w:val="right" w:leader="dot" w:pos="9016"/>
            </w:tabs>
            <w:rPr>
              <w:rFonts w:eastAsiaTheme="minorEastAsia"/>
              <w:noProof/>
              <w:sz w:val="24"/>
              <w:szCs w:val="24"/>
              <w:lang w:eastAsia="en-GB"/>
            </w:rPr>
          </w:pPr>
          <w:hyperlink w:anchor="_Toc233970838" w:history="1">
            <w:r w:rsidRPr="001D0920">
              <w:rPr>
                <w:rStyle w:val="Hyperlink"/>
                <w:noProof/>
              </w:rPr>
              <w:t>4.3 Integration with Approved Document O (Overheating)</w:t>
            </w:r>
            <w:r>
              <w:rPr>
                <w:noProof/>
                <w:webHidden/>
              </w:rPr>
              <w:tab/>
            </w:r>
            <w:r>
              <w:rPr>
                <w:noProof/>
                <w:webHidden/>
              </w:rPr>
              <w:fldChar w:fldCharType="begin"/>
            </w:r>
            <w:r>
              <w:rPr>
                <w:noProof/>
                <w:webHidden/>
              </w:rPr>
              <w:instrText xml:space="preserve"> PAGEREF _Toc233970838 \h </w:instrText>
            </w:r>
            <w:r>
              <w:rPr>
                <w:noProof/>
                <w:webHidden/>
              </w:rPr>
            </w:r>
            <w:r>
              <w:rPr>
                <w:noProof/>
                <w:webHidden/>
              </w:rPr>
              <w:fldChar w:fldCharType="separate"/>
            </w:r>
            <w:r>
              <w:rPr>
                <w:noProof/>
                <w:webHidden/>
              </w:rPr>
              <w:t>5</w:t>
            </w:r>
            <w:r>
              <w:rPr>
                <w:noProof/>
                <w:webHidden/>
              </w:rPr>
              <w:fldChar w:fldCharType="end"/>
            </w:r>
          </w:hyperlink>
        </w:p>
        <w:p w14:paraId="40FBF81F" w14:textId="58B54268" w:rsidR="00181B9C" w:rsidRDefault="00181B9C">
          <w:pPr>
            <w:pStyle w:val="TOC2"/>
            <w:tabs>
              <w:tab w:val="right" w:leader="dot" w:pos="9016"/>
            </w:tabs>
            <w:rPr>
              <w:rFonts w:eastAsiaTheme="minorEastAsia"/>
              <w:noProof/>
              <w:sz w:val="24"/>
              <w:szCs w:val="24"/>
              <w:lang w:eastAsia="en-GB"/>
            </w:rPr>
          </w:pPr>
          <w:hyperlink w:anchor="_Toc233970839" w:history="1">
            <w:r w:rsidRPr="001D0920">
              <w:rPr>
                <w:rStyle w:val="Hyperlink"/>
                <w:noProof/>
              </w:rPr>
              <w:t xml:space="preserve">4.4 Interaction with Approved Document G (Sanitation, Hot Water, and Water Efficiency) </w:t>
            </w:r>
            <w:r w:rsidRPr="001D0920">
              <w:rPr>
                <w:rStyle w:val="Hyperlink"/>
                <w:i/>
                <w:iCs/>
                <w:noProof/>
              </w:rPr>
              <w:t>Approved Document G: Sanitation, hot water and water efficiency (2025 edition)</w:t>
            </w:r>
            <w:r>
              <w:rPr>
                <w:noProof/>
                <w:webHidden/>
              </w:rPr>
              <w:tab/>
            </w:r>
            <w:r>
              <w:rPr>
                <w:noProof/>
                <w:webHidden/>
              </w:rPr>
              <w:fldChar w:fldCharType="begin"/>
            </w:r>
            <w:r>
              <w:rPr>
                <w:noProof/>
                <w:webHidden/>
              </w:rPr>
              <w:instrText xml:space="preserve"> PAGEREF _Toc233970839 \h </w:instrText>
            </w:r>
            <w:r>
              <w:rPr>
                <w:noProof/>
                <w:webHidden/>
              </w:rPr>
            </w:r>
            <w:r>
              <w:rPr>
                <w:noProof/>
                <w:webHidden/>
              </w:rPr>
              <w:fldChar w:fldCharType="separate"/>
            </w:r>
            <w:r>
              <w:rPr>
                <w:noProof/>
                <w:webHidden/>
              </w:rPr>
              <w:t>6</w:t>
            </w:r>
            <w:r>
              <w:rPr>
                <w:noProof/>
                <w:webHidden/>
              </w:rPr>
              <w:fldChar w:fldCharType="end"/>
            </w:r>
          </w:hyperlink>
        </w:p>
        <w:p w14:paraId="1D6A8B0A" w14:textId="6428BCFB" w:rsidR="00181B9C" w:rsidRDefault="00181B9C">
          <w:pPr>
            <w:pStyle w:val="TOC1"/>
            <w:rPr>
              <w:rFonts w:eastAsiaTheme="minorEastAsia"/>
              <w:noProof/>
              <w:sz w:val="24"/>
              <w:szCs w:val="24"/>
              <w:lang w:eastAsia="en-GB"/>
            </w:rPr>
          </w:pPr>
          <w:hyperlink w:anchor="_Toc233970840" w:history="1">
            <w:r w:rsidRPr="001D0920">
              <w:rPr>
                <w:rStyle w:val="Hyperlink"/>
                <w:noProof/>
              </w:rPr>
              <w:t>5.0 post-occupancy energy gap verification</w:t>
            </w:r>
            <w:r>
              <w:rPr>
                <w:noProof/>
                <w:webHidden/>
              </w:rPr>
              <w:tab/>
            </w:r>
            <w:r>
              <w:rPr>
                <w:noProof/>
                <w:webHidden/>
              </w:rPr>
              <w:fldChar w:fldCharType="begin"/>
            </w:r>
            <w:r>
              <w:rPr>
                <w:noProof/>
                <w:webHidden/>
              </w:rPr>
              <w:instrText xml:space="preserve"> PAGEREF _Toc233970840 \h </w:instrText>
            </w:r>
            <w:r>
              <w:rPr>
                <w:noProof/>
                <w:webHidden/>
              </w:rPr>
            </w:r>
            <w:r>
              <w:rPr>
                <w:noProof/>
                <w:webHidden/>
              </w:rPr>
              <w:fldChar w:fldCharType="separate"/>
            </w:r>
            <w:r>
              <w:rPr>
                <w:noProof/>
                <w:webHidden/>
              </w:rPr>
              <w:t>6</w:t>
            </w:r>
            <w:r>
              <w:rPr>
                <w:noProof/>
                <w:webHidden/>
              </w:rPr>
              <w:fldChar w:fldCharType="end"/>
            </w:r>
          </w:hyperlink>
        </w:p>
        <w:p w14:paraId="1B64C6F1" w14:textId="798618CA" w:rsidR="00181B9C" w:rsidRDefault="00181B9C">
          <w:pPr>
            <w:pStyle w:val="TOC2"/>
            <w:tabs>
              <w:tab w:val="right" w:leader="dot" w:pos="9016"/>
            </w:tabs>
            <w:rPr>
              <w:rFonts w:eastAsiaTheme="minorEastAsia"/>
              <w:noProof/>
              <w:sz w:val="24"/>
              <w:szCs w:val="24"/>
              <w:lang w:eastAsia="en-GB"/>
            </w:rPr>
          </w:pPr>
          <w:hyperlink w:anchor="_Toc233970841" w:history="1">
            <w:r w:rsidRPr="001D0920">
              <w:rPr>
                <w:rStyle w:val="Hyperlink"/>
                <w:noProof/>
              </w:rPr>
              <w:t>5.1 Enforcing embodied carbon figures</w:t>
            </w:r>
            <w:r>
              <w:rPr>
                <w:noProof/>
                <w:webHidden/>
              </w:rPr>
              <w:tab/>
            </w:r>
            <w:r>
              <w:rPr>
                <w:noProof/>
                <w:webHidden/>
              </w:rPr>
              <w:fldChar w:fldCharType="begin"/>
            </w:r>
            <w:r>
              <w:rPr>
                <w:noProof/>
                <w:webHidden/>
              </w:rPr>
              <w:instrText xml:space="preserve"> PAGEREF _Toc233970841 \h </w:instrText>
            </w:r>
            <w:r>
              <w:rPr>
                <w:noProof/>
                <w:webHidden/>
              </w:rPr>
            </w:r>
            <w:r>
              <w:rPr>
                <w:noProof/>
                <w:webHidden/>
              </w:rPr>
              <w:fldChar w:fldCharType="separate"/>
            </w:r>
            <w:r>
              <w:rPr>
                <w:noProof/>
                <w:webHidden/>
              </w:rPr>
              <w:t>6</w:t>
            </w:r>
            <w:r>
              <w:rPr>
                <w:noProof/>
                <w:webHidden/>
              </w:rPr>
              <w:fldChar w:fldCharType="end"/>
            </w:r>
          </w:hyperlink>
        </w:p>
        <w:p w14:paraId="0430C9E5" w14:textId="3898AF8D" w:rsidR="00181B9C" w:rsidRDefault="00181B9C">
          <w:pPr>
            <w:pStyle w:val="TOC2"/>
            <w:tabs>
              <w:tab w:val="right" w:leader="dot" w:pos="9016"/>
            </w:tabs>
            <w:rPr>
              <w:rFonts w:eastAsiaTheme="minorEastAsia"/>
              <w:noProof/>
              <w:sz w:val="24"/>
              <w:szCs w:val="24"/>
              <w:lang w:eastAsia="en-GB"/>
            </w:rPr>
          </w:pPr>
          <w:hyperlink w:anchor="_Toc233970842" w:history="1">
            <w:r w:rsidRPr="001D0920">
              <w:rPr>
                <w:rStyle w:val="Hyperlink"/>
                <w:noProof/>
              </w:rPr>
              <w:t>5.2 Issue with different building types</w:t>
            </w:r>
            <w:r>
              <w:rPr>
                <w:noProof/>
                <w:webHidden/>
              </w:rPr>
              <w:tab/>
            </w:r>
            <w:r>
              <w:rPr>
                <w:noProof/>
                <w:webHidden/>
              </w:rPr>
              <w:fldChar w:fldCharType="begin"/>
            </w:r>
            <w:r>
              <w:rPr>
                <w:noProof/>
                <w:webHidden/>
              </w:rPr>
              <w:instrText xml:space="preserve"> PAGEREF _Toc233970842 \h </w:instrText>
            </w:r>
            <w:r>
              <w:rPr>
                <w:noProof/>
                <w:webHidden/>
              </w:rPr>
            </w:r>
            <w:r>
              <w:rPr>
                <w:noProof/>
                <w:webHidden/>
              </w:rPr>
              <w:fldChar w:fldCharType="separate"/>
            </w:r>
            <w:r>
              <w:rPr>
                <w:noProof/>
                <w:webHidden/>
              </w:rPr>
              <w:t>6</w:t>
            </w:r>
            <w:r>
              <w:rPr>
                <w:noProof/>
                <w:webHidden/>
              </w:rPr>
              <w:fldChar w:fldCharType="end"/>
            </w:r>
          </w:hyperlink>
        </w:p>
        <w:p w14:paraId="5EBE0E76" w14:textId="388A9258" w:rsidR="00181B9C" w:rsidRDefault="00181B9C">
          <w:pPr>
            <w:pStyle w:val="TOC2"/>
            <w:tabs>
              <w:tab w:val="right" w:leader="dot" w:pos="9016"/>
            </w:tabs>
            <w:rPr>
              <w:rFonts w:eastAsiaTheme="minorEastAsia"/>
              <w:noProof/>
              <w:sz w:val="24"/>
              <w:szCs w:val="24"/>
              <w:lang w:eastAsia="en-GB"/>
            </w:rPr>
          </w:pPr>
          <w:hyperlink w:anchor="_Toc233970843" w:history="1">
            <w:r w:rsidRPr="001D0920">
              <w:rPr>
                <w:rStyle w:val="Hyperlink"/>
                <w:noProof/>
              </w:rPr>
              <w:t>5.3 The Retrofit Challenge (EnerPHit Adaptation)</w:t>
            </w:r>
            <w:r>
              <w:rPr>
                <w:noProof/>
                <w:webHidden/>
              </w:rPr>
              <w:tab/>
            </w:r>
            <w:r>
              <w:rPr>
                <w:noProof/>
                <w:webHidden/>
              </w:rPr>
              <w:fldChar w:fldCharType="begin"/>
            </w:r>
            <w:r>
              <w:rPr>
                <w:noProof/>
                <w:webHidden/>
              </w:rPr>
              <w:instrText xml:space="preserve"> PAGEREF _Toc233970843 \h </w:instrText>
            </w:r>
            <w:r>
              <w:rPr>
                <w:noProof/>
                <w:webHidden/>
              </w:rPr>
            </w:r>
            <w:r>
              <w:rPr>
                <w:noProof/>
                <w:webHidden/>
              </w:rPr>
              <w:fldChar w:fldCharType="separate"/>
            </w:r>
            <w:r>
              <w:rPr>
                <w:noProof/>
                <w:webHidden/>
              </w:rPr>
              <w:t>6</w:t>
            </w:r>
            <w:r>
              <w:rPr>
                <w:noProof/>
                <w:webHidden/>
              </w:rPr>
              <w:fldChar w:fldCharType="end"/>
            </w:r>
          </w:hyperlink>
        </w:p>
        <w:p w14:paraId="3C3DAE84" w14:textId="6F46381F" w:rsidR="00181B9C" w:rsidRDefault="00181B9C">
          <w:pPr>
            <w:pStyle w:val="TOC1"/>
            <w:rPr>
              <w:rFonts w:eastAsiaTheme="minorEastAsia"/>
              <w:noProof/>
              <w:sz w:val="24"/>
              <w:szCs w:val="24"/>
              <w:lang w:eastAsia="en-GB"/>
            </w:rPr>
          </w:pPr>
          <w:hyperlink w:anchor="_Toc233970844" w:history="1">
            <w:r w:rsidRPr="001D0920">
              <w:rPr>
                <w:rStyle w:val="Hyperlink"/>
                <w:noProof/>
              </w:rPr>
              <w:t>6.0 Conclusion</w:t>
            </w:r>
            <w:r>
              <w:rPr>
                <w:noProof/>
                <w:webHidden/>
              </w:rPr>
              <w:tab/>
            </w:r>
            <w:r>
              <w:rPr>
                <w:noProof/>
                <w:webHidden/>
              </w:rPr>
              <w:fldChar w:fldCharType="begin"/>
            </w:r>
            <w:r>
              <w:rPr>
                <w:noProof/>
                <w:webHidden/>
              </w:rPr>
              <w:instrText xml:space="preserve"> PAGEREF _Toc233970844 \h </w:instrText>
            </w:r>
            <w:r>
              <w:rPr>
                <w:noProof/>
                <w:webHidden/>
              </w:rPr>
            </w:r>
            <w:r>
              <w:rPr>
                <w:noProof/>
                <w:webHidden/>
              </w:rPr>
              <w:fldChar w:fldCharType="separate"/>
            </w:r>
            <w:r>
              <w:rPr>
                <w:noProof/>
                <w:webHidden/>
              </w:rPr>
              <w:t>7</w:t>
            </w:r>
            <w:r>
              <w:rPr>
                <w:noProof/>
                <w:webHidden/>
              </w:rPr>
              <w:fldChar w:fldCharType="end"/>
            </w:r>
          </w:hyperlink>
        </w:p>
        <w:p w14:paraId="255CDC24" w14:textId="0B51BDA3" w:rsidR="00181B9C" w:rsidRDefault="00181B9C">
          <w:pPr>
            <w:pStyle w:val="TOC1"/>
            <w:rPr>
              <w:rFonts w:eastAsiaTheme="minorEastAsia"/>
              <w:noProof/>
              <w:sz w:val="24"/>
              <w:szCs w:val="24"/>
              <w:lang w:eastAsia="en-GB"/>
            </w:rPr>
          </w:pPr>
          <w:hyperlink w:anchor="_Toc233970845" w:history="1">
            <w:r w:rsidRPr="001D0920">
              <w:rPr>
                <w:rStyle w:val="Hyperlink"/>
                <w:noProof/>
              </w:rPr>
              <w:t>7.0 Figure List</w:t>
            </w:r>
            <w:r>
              <w:rPr>
                <w:noProof/>
                <w:webHidden/>
              </w:rPr>
              <w:tab/>
            </w:r>
            <w:r>
              <w:rPr>
                <w:noProof/>
                <w:webHidden/>
              </w:rPr>
              <w:fldChar w:fldCharType="begin"/>
            </w:r>
            <w:r>
              <w:rPr>
                <w:noProof/>
                <w:webHidden/>
              </w:rPr>
              <w:instrText xml:space="preserve"> PAGEREF _Toc233970845 \h </w:instrText>
            </w:r>
            <w:r>
              <w:rPr>
                <w:noProof/>
                <w:webHidden/>
              </w:rPr>
            </w:r>
            <w:r>
              <w:rPr>
                <w:noProof/>
                <w:webHidden/>
              </w:rPr>
              <w:fldChar w:fldCharType="separate"/>
            </w:r>
            <w:r>
              <w:rPr>
                <w:noProof/>
                <w:webHidden/>
              </w:rPr>
              <w:t>8</w:t>
            </w:r>
            <w:r>
              <w:rPr>
                <w:noProof/>
                <w:webHidden/>
              </w:rPr>
              <w:fldChar w:fldCharType="end"/>
            </w:r>
          </w:hyperlink>
        </w:p>
        <w:p w14:paraId="767610EA" w14:textId="36FDF549" w:rsidR="00181B9C" w:rsidRDefault="00181B9C">
          <w:pPr>
            <w:pStyle w:val="TOC1"/>
            <w:rPr>
              <w:rFonts w:eastAsiaTheme="minorEastAsia"/>
              <w:noProof/>
              <w:sz w:val="24"/>
              <w:szCs w:val="24"/>
              <w:lang w:eastAsia="en-GB"/>
            </w:rPr>
          </w:pPr>
          <w:hyperlink w:anchor="_Toc233970846" w:history="1">
            <w:r w:rsidRPr="001D0920">
              <w:rPr>
                <w:rStyle w:val="Hyperlink"/>
                <w:noProof/>
              </w:rPr>
              <w:t>8.0 References</w:t>
            </w:r>
            <w:r>
              <w:rPr>
                <w:noProof/>
                <w:webHidden/>
              </w:rPr>
              <w:tab/>
            </w:r>
            <w:r>
              <w:rPr>
                <w:noProof/>
                <w:webHidden/>
              </w:rPr>
              <w:fldChar w:fldCharType="begin"/>
            </w:r>
            <w:r>
              <w:rPr>
                <w:noProof/>
                <w:webHidden/>
              </w:rPr>
              <w:instrText xml:space="preserve"> PAGEREF _Toc233970846 \h </w:instrText>
            </w:r>
            <w:r>
              <w:rPr>
                <w:noProof/>
                <w:webHidden/>
              </w:rPr>
            </w:r>
            <w:r>
              <w:rPr>
                <w:noProof/>
                <w:webHidden/>
              </w:rPr>
              <w:fldChar w:fldCharType="separate"/>
            </w:r>
            <w:r>
              <w:rPr>
                <w:noProof/>
                <w:webHidden/>
              </w:rPr>
              <w:t>8</w:t>
            </w:r>
            <w:r>
              <w:rPr>
                <w:noProof/>
                <w:webHidden/>
              </w:rPr>
              <w:fldChar w:fldCharType="end"/>
            </w:r>
          </w:hyperlink>
        </w:p>
        <w:p w14:paraId="21E70DC3" w14:textId="2A73D7EC" w:rsidR="00226246" w:rsidRPr="00D74898" w:rsidRDefault="00226246">
          <w:pPr>
            <w:rPr>
              <w:rFonts w:ascii="Arial" w:hAnsi="Arial" w:cs="Arial"/>
            </w:rPr>
          </w:pPr>
          <w:r w:rsidRPr="00D74898">
            <w:rPr>
              <w:rFonts w:ascii="Arial" w:hAnsi="Arial" w:cs="Arial"/>
              <w:b/>
              <w:bCs/>
              <w:sz w:val="20"/>
              <w:szCs w:val="20"/>
            </w:rPr>
            <w:fldChar w:fldCharType="end"/>
          </w:r>
        </w:p>
      </w:sdtContent>
    </w:sdt>
    <w:p w14:paraId="32D7A8E8" w14:textId="3DCE08AC" w:rsidR="000931D8" w:rsidRDefault="006D3BFD" w:rsidP="006D3BFD">
      <w:pPr>
        <w:pStyle w:val="Heading1"/>
        <w:rPr>
          <w:sz w:val="32"/>
          <w:szCs w:val="32"/>
        </w:rPr>
      </w:pPr>
      <w:bookmarkStart w:id="0" w:name="_Toc233970826"/>
      <w:r w:rsidRPr="006D3BFD">
        <w:rPr>
          <w:sz w:val="32"/>
          <w:szCs w:val="32"/>
        </w:rPr>
        <w:t>Executive Summary</w:t>
      </w:r>
      <w:bookmarkEnd w:id="0"/>
      <w:r w:rsidRPr="006D3BFD">
        <w:rPr>
          <w:sz w:val="32"/>
          <w:szCs w:val="32"/>
        </w:rPr>
        <w:t xml:space="preserve"> </w:t>
      </w:r>
    </w:p>
    <w:p w14:paraId="662FEB20" w14:textId="78806599" w:rsidR="006D3BFD" w:rsidRDefault="004913D5" w:rsidP="006D3BFD">
      <w:pPr>
        <w:rPr>
          <w:sz w:val="24"/>
          <w:szCs w:val="24"/>
        </w:rPr>
      </w:pPr>
      <w:r>
        <w:rPr>
          <w:sz w:val="24"/>
          <w:szCs w:val="24"/>
        </w:rPr>
        <w:t xml:space="preserve">As the former CEO of the world green building council pointed out, </w:t>
      </w:r>
      <w:r w:rsidR="0076117E">
        <w:rPr>
          <w:sz w:val="24"/>
          <w:szCs w:val="24"/>
        </w:rPr>
        <w:t xml:space="preserve">as a planet we need to scale up from the few thousand net-zero buildings to billions if we want to end sever climate change. Existing UK building regulations </w:t>
      </w:r>
      <w:r w:rsidR="00942892">
        <w:rPr>
          <w:sz w:val="24"/>
          <w:szCs w:val="24"/>
        </w:rPr>
        <w:t xml:space="preserve">ensure homes are safe and relatively </w:t>
      </w:r>
      <w:r w:rsidR="00E728AC">
        <w:rPr>
          <w:sz w:val="24"/>
          <w:szCs w:val="24"/>
        </w:rPr>
        <w:t>efficient,</w:t>
      </w:r>
      <w:r w:rsidR="00942892">
        <w:rPr>
          <w:sz w:val="24"/>
          <w:szCs w:val="24"/>
        </w:rPr>
        <w:t xml:space="preserve"> but they miss the UK’s legal target of hitting full net zero emissions by 2050. </w:t>
      </w:r>
      <w:r w:rsidR="00151AC8">
        <w:rPr>
          <w:sz w:val="24"/>
          <w:szCs w:val="24"/>
        </w:rPr>
        <w:t xml:space="preserve">There are no strict laws on limiting how much energy a building can use. </w:t>
      </w:r>
      <w:r w:rsidR="000F06AC">
        <w:rPr>
          <w:sz w:val="24"/>
          <w:szCs w:val="24"/>
        </w:rPr>
        <w:t xml:space="preserve">To fix this gap, this new building regulation imposes </w:t>
      </w:r>
      <w:r w:rsidR="00781BFB">
        <w:rPr>
          <w:sz w:val="24"/>
          <w:szCs w:val="24"/>
        </w:rPr>
        <w:t>new laws</w:t>
      </w:r>
      <w:r w:rsidR="00427BCC">
        <w:rPr>
          <w:sz w:val="24"/>
          <w:szCs w:val="24"/>
        </w:rPr>
        <w:t xml:space="preserve"> by taking the best rules from proven industry standards such as LETI, BREEAM and the UK net zero carbon buildings standard. This new </w:t>
      </w:r>
      <w:r w:rsidR="00281962">
        <w:rPr>
          <w:sz w:val="24"/>
          <w:szCs w:val="24"/>
        </w:rPr>
        <w:t xml:space="preserve">regulation (Part NZ, Net Zero) will force all new developments to generate as much clean energy as they consume. </w:t>
      </w:r>
      <w:r w:rsidR="00E728AC">
        <w:rPr>
          <w:sz w:val="24"/>
          <w:szCs w:val="24"/>
        </w:rPr>
        <w:t xml:space="preserve">Crucially, this regulation does not work in a sole vacuum, it is designed to pair with existing safety and ventilation laws so that new green building remains structurally sound and realistic in terms of costs. </w:t>
      </w:r>
    </w:p>
    <w:p w14:paraId="030DA525" w14:textId="77777777" w:rsidR="00435C25" w:rsidRPr="004913D5" w:rsidRDefault="00435C25" w:rsidP="006D3BFD">
      <w:pPr>
        <w:rPr>
          <w:sz w:val="24"/>
          <w:szCs w:val="24"/>
        </w:rPr>
      </w:pPr>
    </w:p>
    <w:p w14:paraId="435914A5" w14:textId="7354CBF6" w:rsidR="004550F8" w:rsidRDefault="0031656C" w:rsidP="00EA256F">
      <w:pPr>
        <w:pStyle w:val="Heading1"/>
        <w:rPr>
          <w:sz w:val="32"/>
          <w:szCs w:val="32"/>
        </w:rPr>
      </w:pPr>
      <w:bookmarkStart w:id="1" w:name="_Toc233970827"/>
      <w:r>
        <w:rPr>
          <w:sz w:val="32"/>
          <w:szCs w:val="32"/>
        </w:rPr>
        <w:lastRenderedPageBreak/>
        <w:t>1.0 Introduction</w:t>
      </w:r>
      <w:bookmarkEnd w:id="1"/>
    </w:p>
    <w:p w14:paraId="6B8211F9" w14:textId="597C92CB" w:rsidR="00AF6D02" w:rsidRPr="00AF6D02" w:rsidRDefault="00EA256F" w:rsidP="00AF6D02">
      <w:r>
        <w:t>Currently</w:t>
      </w:r>
      <w:r w:rsidR="00AF6D02">
        <w:t xml:space="preserve">, the UK building regs use a </w:t>
      </w:r>
      <w:r w:rsidR="0072649E">
        <w:t xml:space="preserve">‘relative’ system to measure energy efficiency. Under current Part L, a new buildings energy use is </w:t>
      </w:r>
      <w:r w:rsidR="00D040DA">
        <w:t xml:space="preserve">only compared to standard building of the same size and shape. This creates a </w:t>
      </w:r>
      <w:r>
        <w:t>loophole</w:t>
      </w:r>
      <w:r w:rsidR="00D040DA">
        <w:t xml:space="preserve"> where developers</w:t>
      </w:r>
      <w:r w:rsidR="00733F6F">
        <w:t xml:space="preserve"> only have to make minor improvements against this </w:t>
      </w:r>
      <w:r>
        <w:t>make-believe</w:t>
      </w:r>
      <w:r w:rsidR="00733F6F">
        <w:t xml:space="preserve"> base line</w:t>
      </w:r>
      <w:r w:rsidR="00343090">
        <w:t>, rather than actually cutting energy usage. Additionally, the current regs only look at</w:t>
      </w:r>
      <w:r w:rsidR="002B6F17">
        <w:t xml:space="preserve"> ‘operational emissions’ (the energy the building uses while running) while completely ignoring the huge carbon footprint created during the materials extraction, manufacturing and construction. </w:t>
      </w:r>
      <w:r w:rsidR="00423198">
        <w:t xml:space="preserve">To create a real system the </w:t>
      </w:r>
      <w:r>
        <w:t>laws,</w:t>
      </w:r>
      <w:r w:rsidR="00423198">
        <w:t xml:space="preserve"> need to shift away from these relative comparisons and focus on hard limits. This proposed new building regulation (Part:</w:t>
      </w:r>
      <w:r w:rsidR="000E2019">
        <w:t xml:space="preserve"> </w:t>
      </w:r>
      <w:r w:rsidR="00423198">
        <w:t xml:space="preserve">NZ) </w:t>
      </w:r>
      <w:r>
        <w:t>addresses these loopholes by setting str</w:t>
      </w:r>
      <w:r w:rsidR="008E3191">
        <w:t>i</w:t>
      </w:r>
      <w:r>
        <w:t xml:space="preserve">ct energy ceilings and mandating that buildings generate more clean energy than they intent to use. </w:t>
      </w:r>
    </w:p>
    <w:p w14:paraId="242660E5" w14:textId="6FF606DD" w:rsidR="004550F8" w:rsidRDefault="004550F8" w:rsidP="007F4CD2">
      <w:pPr>
        <w:pStyle w:val="Heading1"/>
        <w:rPr>
          <w:sz w:val="32"/>
          <w:szCs w:val="32"/>
        </w:rPr>
      </w:pPr>
      <w:bookmarkStart w:id="2" w:name="_Toc233970828"/>
      <w:r w:rsidRPr="007F4CD2">
        <w:rPr>
          <w:sz w:val="32"/>
          <w:szCs w:val="32"/>
        </w:rPr>
        <w:t>2.</w:t>
      </w:r>
      <w:r w:rsidR="0031656C">
        <w:rPr>
          <w:sz w:val="32"/>
          <w:szCs w:val="32"/>
        </w:rPr>
        <w:t>0</w:t>
      </w:r>
      <w:r w:rsidRPr="007F4CD2">
        <w:rPr>
          <w:sz w:val="32"/>
          <w:szCs w:val="32"/>
        </w:rPr>
        <w:t xml:space="preserve"> Schedule 1 Amendment (Part NZ)</w:t>
      </w:r>
      <w:bookmarkEnd w:id="2"/>
    </w:p>
    <w:p w14:paraId="7EF70247" w14:textId="6DEF0B19" w:rsidR="00F73952" w:rsidRPr="00F73952" w:rsidRDefault="00996639" w:rsidP="00F73952">
      <w:r>
        <w:t>To give this new regulation a legal standing, we need to officially change schedule 1 of the building regulations</w:t>
      </w:r>
      <w:r w:rsidR="003C3778">
        <w:t xml:space="preserve"> by the </w:t>
      </w:r>
      <w:r w:rsidR="003C3778" w:rsidRPr="00F41A97">
        <w:rPr>
          <w:i/>
          <w:iCs/>
          <w:sz w:val="20"/>
          <w:szCs w:val="20"/>
        </w:rPr>
        <w:t>HM Government. (2010).</w:t>
      </w:r>
      <w:r>
        <w:t xml:space="preserve"> to include the following </w:t>
      </w:r>
      <w:r w:rsidR="002B2CB0">
        <w:t>amended requirements</w:t>
      </w:r>
      <w:r w:rsidR="00F41A97">
        <w:t xml:space="preserve">. </w:t>
      </w:r>
      <w:r w:rsidR="00F41A97" w:rsidRPr="00F41A97">
        <w:rPr>
          <w:i/>
          <w:iCs/>
          <w:sz w:val="20"/>
          <w:szCs w:val="20"/>
        </w:rPr>
        <w:t xml:space="preserve">Gero, C. (2024). </w:t>
      </w:r>
    </w:p>
    <w:p w14:paraId="4E2D3646" w14:textId="64C40FD3" w:rsidR="004550F8" w:rsidRDefault="007D1CE6" w:rsidP="00F515D2">
      <w:pPr>
        <w:pStyle w:val="Heading2"/>
      </w:pPr>
      <w:bookmarkStart w:id="3" w:name="_Toc233970829"/>
      <w:r>
        <w:t xml:space="preserve">2.1 </w:t>
      </w:r>
      <w:r w:rsidR="004550F8" w:rsidRPr="007F4CD2">
        <w:t>Operational Carbon</w:t>
      </w:r>
      <w:bookmarkEnd w:id="3"/>
      <w:r w:rsidR="004550F8" w:rsidRPr="007F4CD2">
        <w:t xml:space="preserve"> </w:t>
      </w:r>
    </w:p>
    <w:p w14:paraId="2C2943D2" w14:textId="0F58B7AB" w:rsidR="002B2CB0" w:rsidRDefault="002B2CB0">
      <w:pPr>
        <w:pStyle w:val="ListParagraph"/>
        <w:numPr>
          <w:ilvl w:val="0"/>
          <w:numId w:val="1"/>
        </w:numPr>
      </w:pPr>
      <w:r>
        <w:t>New developments must be designed to stay under str</w:t>
      </w:r>
      <w:r w:rsidR="008E3191">
        <w:t>i</w:t>
      </w:r>
      <w:r>
        <w:t xml:space="preserve">ct limits for total energy </w:t>
      </w:r>
      <w:r w:rsidR="000074B4">
        <w:t>usage</w:t>
      </w:r>
      <w:r>
        <w:t xml:space="preserve">. Cutting out fossil fuels. </w:t>
      </w:r>
    </w:p>
    <w:p w14:paraId="0A908F85" w14:textId="2F46CB62" w:rsidR="002B2CB0" w:rsidRPr="002B2CB0" w:rsidRDefault="002B2CB0">
      <w:pPr>
        <w:pStyle w:val="ListParagraph"/>
        <w:numPr>
          <w:ilvl w:val="0"/>
          <w:numId w:val="1"/>
        </w:numPr>
      </w:pPr>
      <w:r>
        <w:t xml:space="preserve">Over the course </w:t>
      </w:r>
      <w:r w:rsidR="000074B4">
        <w:t xml:space="preserve">one year, the building must generate at least as much renewable energy on its own as it consumes from the grid. </w:t>
      </w:r>
    </w:p>
    <w:p w14:paraId="0D70935E" w14:textId="2DB06FF7" w:rsidR="004550F8" w:rsidRDefault="007D1CE6" w:rsidP="00F515D2">
      <w:pPr>
        <w:pStyle w:val="Heading2"/>
      </w:pPr>
      <w:bookmarkStart w:id="4" w:name="_Toc233970830"/>
      <w:r>
        <w:t xml:space="preserve">2.2 </w:t>
      </w:r>
      <w:r w:rsidR="004550F8" w:rsidRPr="007F4CD2">
        <w:t>Whole Life &amp; Embodied Carbon</w:t>
      </w:r>
      <w:bookmarkEnd w:id="4"/>
    </w:p>
    <w:p w14:paraId="7776C649" w14:textId="7347D078" w:rsidR="000074B4" w:rsidRDefault="001272FE" w:rsidP="000074B4">
      <w:r>
        <w:t>The upfront and lifetime carbon footprint of all building materials used must be calculated</w:t>
      </w:r>
      <w:r w:rsidR="00C250A1">
        <w:t xml:space="preserve"> in accordance with RICS whole life carbon assessment</w:t>
      </w:r>
      <w:r w:rsidR="00C276BC">
        <w:t xml:space="preserve"> (WLCA</w:t>
      </w:r>
      <w:r w:rsidR="00E875BA">
        <w:t>)</w:t>
      </w:r>
      <w:r w:rsidR="00E875BA" w:rsidRPr="00E875BA">
        <w:rPr>
          <w:i/>
          <w:iCs/>
          <w:sz w:val="20"/>
          <w:szCs w:val="20"/>
        </w:rPr>
        <w:t xml:space="preserve"> (RICS 2023)</w:t>
      </w:r>
      <w:r w:rsidR="00C276BC" w:rsidRPr="00E875BA">
        <w:rPr>
          <w:i/>
          <w:iCs/>
          <w:sz w:val="20"/>
          <w:szCs w:val="20"/>
        </w:rPr>
        <w:t xml:space="preserve"> </w:t>
      </w:r>
      <w:r w:rsidR="00C276BC">
        <w:t>to ensure emissions are kept as low as possible</w:t>
      </w:r>
      <w:r>
        <w:t xml:space="preserve">. </w:t>
      </w:r>
      <w:r w:rsidR="00DC51FA">
        <w:t xml:space="preserve">These will be under strict limits based on the buildings total internal floor area. </w:t>
      </w:r>
    </w:p>
    <w:p w14:paraId="674FE41B" w14:textId="77777777" w:rsidR="0053331D" w:rsidRDefault="0053331D" w:rsidP="000074B4"/>
    <w:p w14:paraId="5C86DC5B" w14:textId="77777777" w:rsidR="0053331D" w:rsidRDefault="0053331D" w:rsidP="000074B4"/>
    <w:p w14:paraId="2B6C0B69" w14:textId="77777777" w:rsidR="0053331D" w:rsidRDefault="0053331D" w:rsidP="000074B4"/>
    <w:p w14:paraId="71958B7D" w14:textId="77777777" w:rsidR="0053331D" w:rsidRDefault="0053331D" w:rsidP="000074B4"/>
    <w:p w14:paraId="3B7BCC77" w14:textId="77777777" w:rsidR="0053331D" w:rsidRDefault="0053331D" w:rsidP="000074B4"/>
    <w:p w14:paraId="6998D2F5" w14:textId="77777777" w:rsidR="0053331D" w:rsidRDefault="0053331D" w:rsidP="000074B4"/>
    <w:p w14:paraId="0A46C2A7" w14:textId="77777777" w:rsidR="0053331D" w:rsidRDefault="0053331D" w:rsidP="000074B4"/>
    <w:p w14:paraId="0CBEBC41" w14:textId="77777777" w:rsidR="0053331D" w:rsidRDefault="0053331D" w:rsidP="000074B4"/>
    <w:p w14:paraId="0F4EF865" w14:textId="77777777" w:rsidR="0053331D" w:rsidRPr="000074B4" w:rsidRDefault="0053331D" w:rsidP="000074B4"/>
    <w:p w14:paraId="03158EA3" w14:textId="26BB0686" w:rsidR="003A4CA9" w:rsidRPr="005D6145" w:rsidRDefault="004550F8" w:rsidP="005D6145">
      <w:pPr>
        <w:pStyle w:val="Heading1"/>
        <w:rPr>
          <w:sz w:val="32"/>
          <w:szCs w:val="32"/>
        </w:rPr>
      </w:pPr>
      <w:bookmarkStart w:id="5" w:name="_Toc233970831"/>
      <w:r w:rsidRPr="007F4CD2">
        <w:rPr>
          <w:sz w:val="32"/>
          <w:szCs w:val="32"/>
        </w:rPr>
        <w:lastRenderedPageBreak/>
        <w:t>3.</w:t>
      </w:r>
      <w:r w:rsidR="0031656C">
        <w:rPr>
          <w:sz w:val="32"/>
          <w:szCs w:val="32"/>
        </w:rPr>
        <w:t>0</w:t>
      </w:r>
      <w:r w:rsidRPr="007F4CD2">
        <w:rPr>
          <w:sz w:val="32"/>
          <w:szCs w:val="32"/>
        </w:rPr>
        <w:t xml:space="preserve"> </w:t>
      </w:r>
      <w:r w:rsidR="007D1CE6">
        <w:rPr>
          <w:sz w:val="32"/>
          <w:szCs w:val="32"/>
        </w:rPr>
        <w:t>Guidance</w:t>
      </w:r>
      <w:bookmarkEnd w:id="5"/>
    </w:p>
    <w:p w14:paraId="7BBE6437" w14:textId="7E9C5D3E" w:rsidR="004550F8" w:rsidRDefault="004550F8" w:rsidP="007F4CD2">
      <w:pPr>
        <w:pStyle w:val="Heading2"/>
      </w:pPr>
      <w:bookmarkStart w:id="6" w:name="_Toc233970832"/>
      <w:r w:rsidRPr="007F4CD2">
        <w:t xml:space="preserve">3.1 </w:t>
      </w:r>
      <w:r w:rsidR="003D5DBE">
        <w:t xml:space="preserve">How to </w:t>
      </w:r>
      <w:r w:rsidR="007D1CE6">
        <w:t>meet the required compliance requirements</w:t>
      </w:r>
      <w:bookmarkEnd w:id="6"/>
    </w:p>
    <w:p w14:paraId="4DDD538B" w14:textId="0499DCB1" w:rsidR="005D6145" w:rsidRPr="005D6145" w:rsidRDefault="005D6145" w:rsidP="005D6145">
      <w:r>
        <w:t xml:space="preserve">Rather than making a whole new set of rules, this new BR will take the best targets from todays existing industry standards and will turn them into legal requirements. </w:t>
      </w:r>
      <w:r w:rsidR="00D25027">
        <w:t xml:space="preserve"> This means that all </w:t>
      </w:r>
      <w:r w:rsidR="00141C49">
        <w:t xml:space="preserve">parties involved will have to adhere to these standards. </w:t>
      </w:r>
    </w:p>
    <w:p w14:paraId="038DA939" w14:textId="5613BC98" w:rsidR="00297C24" w:rsidRDefault="003D2C25" w:rsidP="0053331D">
      <w:pPr>
        <w:jc w:val="center"/>
        <w:rPr>
          <w:b/>
          <w:bCs/>
        </w:rPr>
      </w:pPr>
      <w:r w:rsidRPr="003D2C25">
        <w:rPr>
          <w:noProof/>
        </w:rPr>
        <w:drawing>
          <wp:inline distT="0" distB="0" distL="0" distR="0" wp14:anchorId="0BF77BE5" wp14:editId="0CA49105">
            <wp:extent cx="6082385" cy="2333625"/>
            <wp:effectExtent l="0" t="0" r="0" b="0"/>
            <wp:docPr id="3696144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82791" cy="2333781"/>
                    </a:xfrm>
                    <a:prstGeom prst="rect">
                      <a:avLst/>
                    </a:prstGeom>
                    <a:noFill/>
                    <a:ln>
                      <a:noFill/>
                    </a:ln>
                  </pic:spPr>
                </pic:pic>
              </a:graphicData>
            </a:graphic>
          </wp:inline>
        </w:drawing>
      </w:r>
    </w:p>
    <w:p w14:paraId="510A9A08" w14:textId="4A562CBE" w:rsidR="00905FBE" w:rsidRPr="00AE678D" w:rsidRDefault="00AE678D" w:rsidP="00905FBE">
      <w:pPr>
        <w:rPr>
          <w:i/>
          <w:iCs/>
          <w:sz w:val="20"/>
          <w:szCs w:val="20"/>
        </w:rPr>
      </w:pPr>
      <w:r w:rsidRPr="00AE678D">
        <w:rPr>
          <w:i/>
          <w:iCs/>
          <w:sz w:val="20"/>
          <w:szCs w:val="20"/>
        </w:rPr>
        <w:t>F Gale (2026)</w:t>
      </w:r>
    </w:p>
    <w:p w14:paraId="560BC20D" w14:textId="77777777" w:rsidR="005D6145" w:rsidRDefault="005D6145" w:rsidP="00807879">
      <w:pPr>
        <w:pStyle w:val="NormalWeb"/>
        <w:spacing w:before="0" w:beforeAutospacing="0"/>
        <w:rPr>
          <w:rFonts w:ascii="Arial" w:hAnsi="Arial" w:cs="Arial"/>
          <w:highlight w:val="yellow"/>
        </w:rPr>
      </w:pPr>
    </w:p>
    <w:p w14:paraId="20DD6A58" w14:textId="0CDF5ECA" w:rsidR="005D6145" w:rsidRDefault="005D6145" w:rsidP="007449EA">
      <w:r w:rsidRPr="007449EA">
        <w:t xml:space="preserve">To ensure a </w:t>
      </w:r>
      <w:r w:rsidR="007449EA" w:rsidRPr="007449EA">
        <w:t xml:space="preserve">sustainable framework that lines with the criteria requested in the brief, this BR will establish strict baselines for resources management. </w:t>
      </w:r>
    </w:p>
    <w:p w14:paraId="7B1CEB5D" w14:textId="766C9018" w:rsidR="007449EA" w:rsidRDefault="007449EA">
      <w:pPr>
        <w:pStyle w:val="ListParagraph"/>
        <w:numPr>
          <w:ilvl w:val="0"/>
          <w:numId w:val="2"/>
        </w:numPr>
      </w:pPr>
      <w:r>
        <w:t xml:space="preserve">Water management. All new developments are subject to a maximum water consumption cap of 80 litres </w:t>
      </w:r>
      <w:r w:rsidR="00D21206">
        <w:t xml:space="preserve">per person per day. To meet this target and </w:t>
      </w:r>
      <w:r w:rsidR="00563344">
        <w:t>achieve BREEAM’s</w:t>
      </w:r>
      <w:r w:rsidR="00D21206">
        <w:t xml:space="preserve"> </w:t>
      </w:r>
      <w:r w:rsidR="002B7DD4">
        <w:t>accreditations</w:t>
      </w:r>
      <w:r w:rsidR="00F61A49">
        <w:t>, designs must in</w:t>
      </w:r>
      <w:r w:rsidR="002B7DD4">
        <w:t>c</w:t>
      </w:r>
      <w:r w:rsidR="00387995">
        <w:t xml:space="preserve">lude </w:t>
      </w:r>
      <w:r w:rsidR="002B7DD4">
        <w:t>low flowing plumbing and dedicated grey water harvesting systems</w:t>
      </w:r>
      <w:r w:rsidR="00563344">
        <w:t>.</w:t>
      </w:r>
    </w:p>
    <w:p w14:paraId="26040A22" w14:textId="07F2B70A" w:rsidR="002B7DD4" w:rsidRPr="007449EA" w:rsidRDefault="002B7DD4">
      <w:pPr>
        <w:pStyle w:val="ListParagraph"/>
        <w:numPr>
          <w:ilvl w:val="0"/>
          <w:numId w:val="2"/>
        </w:numPr>
      </w:pPr>
      <w:r>
        <w:t xml:space="preserve">Waste &amp; resources. To reduce material lifecycle impacts, developers will be required to legally </w:t>
      </w:r>
      <w:r w:rsidR="00695791">
        <w:t>divert at least 95% of its non-hazardous waste away from landfills. There will be surveys to ensure contractors adhere to these limitations.</w:t>
      </w:r>
    </w:p>
    <w:p w14:paraId="406C8406" w14:textId="2F2B1B67" w:rsidR="004550F8" w:rsidRDefault="004550F8" w:rsidP="007F4CD2">
      <w:pPr>
        <w:pStyle w:val="Heading2"/>
      </w:pPr>
      <w:bookmarkStart w:id="7" w:name="_Toc233970833"/>
      <w:r w:rsidRPr="007F4CD2">
        <w:t xml:space="preserve">3.2 </w:t>
      </w:r>
      <w:r w:rsidR="003D5DBE">
        <w:t xml:space="preserve">Obtaining on site energy </w:t>
      </w:r>
      <w:r w:rsidR="007D1CE6">
        <w:t>independence</w:t>
      </w:r>
      <w:bookmarkEnd w:id="7"/>
    </w:p>
    <w:p w14:paraId="6A34A66E" w14:textId="730B5A7F" w:rsidR="0012051E" w:rsidRPr="0012051E" w:rsidRDefault="0012051E" w:rsidP="0012051E">
      <w:r>
        <w:t>To meet requirement NZ</w:t>
      </w:r>
      <w:r w:rsidR="00B26026">
        <w:t>2, every building needs to act as its own mini power station. The design must be proven to carry out its generation to usage ratio is 1.0 or higher, meaning it is making at least the amount it uses. This is shown in the equation below:</w:t>
      </w:r>
    </w:p>
    <w:p w14:paraId="6B9A0E55" w14:textId="7D27F42C" w:rsidR="00260510" w:rsidRDefault="00B26026" w:rsidP="005C264E">
      <w:pPr>
        <w:rPr>
          <w:highlight w:val="yellow"/>
        </w:rPr>
      </w:pPr>
      <w:r w:rsidRPr="00B26026">
        <w:rPr>
          <w:noProof/>
        </w:rPr>
        <w:drawing>
          <wp:inline distT="0" distB="0" distL="0" distR="0" wp14:anchorId="78DC0A97" wp14:editId="41AAFF25">
            <wp:extent cx="5731510" cy="542925"/>
            <wp:effectExtent l="0" t="0" r="0" b="0"/>
            <wp:docPr id="17492733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42925"/>
                    </a:xfrm>
                    <a:prstGeom prst="rect">
                      <a:avLst/>
                    </a:prstGeom>
                    <a:noFill/>
                    <a:ln>
                      <a:noFill/>
                    </a:ln>
                  </pic:spPr>
                </pic:pic>
              </a:graphicData>
            </a:graphic>
          </wp:inline>
        </w:drawing>
      </w:r>
    </w:p>
    <w:p w14:paraId="75B7C6E3" w14:textId="77777777" w:rsidR="00AE678D" w:rsidRPr="00AE678D" w:rsidRDefault="00AE678D" w:rsidP="00AE678D">
      <w:pPr>
        <w:rPr>
          <w:i/>
          <w:iCs/>
          <w:sz w:val="20"/>
          <w:szCs w:val="20"/>
        </w:rPr>
      </w:pPr>
      <w:r w:rsidRPr="00AE678D">
        <w:rPr>
          <w:i/>
          <w:iCs/>
          <w:sz w:val="20"/>
          <w:szCs w:val="20"/>
        </w:rPr>
        <w:t>F Gale (2026)</w:t>
      </w:r>
    </w:p>
    <w:p w14:paraId="7484E957" w14:textId="2C136307" w:rsidR="00B26026" w:rsidRDefault="00B26026" w:rsidP="00B26026">
      <w:pPr>
        <w:pStyle w:val="Heading2"/>
      </w:pPr>
      <w:bookmarkStart w:id="8" w:name="_Toc233970834"/>
      <w:r w:rsidRPr="00B26026">
        <w:lastRenderedPageBreak/>
        <w:t xml:space="preserve">3.3 </w:t>
      </w:r>
      <w:r w:rsidR="003D5DBE">
        <w:t>Balancing energy production</w:t>
      </w:r>
      <w:bookmarkEnd w:id="8"/>
      <w:r w:rsidR="003D5DBE">
        <w:t xml:space="preserve"> </w:t>
      </w:r>
    </w:p>
    <w:p w14:paraId="395E23A9" w14:textId="7F6735E3" w:rsidR="00B26026" w:rsidRDefault="00B26026" w:rsidP="00B26026">
      <w:r>
        <w:t xml:space="preserve">1. Solar cover area. For standard domestic </w:t>
      </w:r>
      <w:r w:rsidR="009A7224">
        <w:t>and low commercial buildings</w:t>
      </w:r>
      <w:r>
        <w:t xml:space="preserve">, solar PV panels must cover </w:t>
      </w:r>
      <w:r w:rsidR="009A7224">
        <w:t>at least</w:t>
      </w:r>
      <w:r>
        <w:t xml:space="preserve"> 60% of its total roof area. For tall</w:t>
      </w:r>
      <w:r w:rsidR="009A7224">
        <w:t xml:space="preserve">, high density commercial buildings with smaller roofs, the solar PV panels must be directly </w:t>
      </w:r>
      <w:r w:rsidR="00B365FC">
        <w:t xml:space="preserve">constructed into the wall structure and fenestration. </w:t>
      </w:r>
    </w:p>
    <w:p w14:paraId="0C09BA34" w14:textId="66D0B098" w:rsidR="00B365FC" w:rsidRPr="00B26026" w:rsidRDefault="00B365FC" w:rsidP="00B26026">
      <w:r>
        <w:t xml:space="preserve">2. </w:t>
      </w:r>
      <w:r w:rsidR="009757D8">
        <w:t xml:space="preserve">Smart storage. If too much power is sent back to the grid at one, it can cause local imbalances. To prevent this, new builds must install on-site storage to house excess energy that has been generate. </w:t>
      </w:r>
      <w:r w:rsidR="00FA78FD">
        <w:t xml:space="preserve">Sizes of storage facilities will ultimately depend on the size of the building. </w:t>
      </w:r>
    </w:p>
    <w:p w14:paraId="707C2705" w14:textId="53956E73" w:rsidR="004550F8" w:rsidRDefault="004550F8" w:rsidP="007F4CD2">
      <w:pPr>
        <w:pStyle w:val="Heading1"/>
        <w:rPr>
          <w:sz w:val="32"/>
          <w:szCs w:val="32"/>
        </w:rPr>
      </w:pPr>
      <w:bookmarkStart w:id="9" w:name="_Toc233970835"/>
      <w:r w:rsidRPr="007F4CD2">
        <w:rPr>
          <w:sz w:val="32"/>
          <w:szCs w:val="32"/>
        </w:rPr>
        <w:t>4.</w:t>
      </w:r>
      <w:r w:rsidR="0031656C">
        <w:rPr>
          <w:sz w:val="32"/>
          <w:szCs w:val="32"/>
        </w:rPr>
        <w:t>0</w:t>
      </w:r>
      <w:r w:rsidRPr="007F4CD2">
        <w:rPr>
          <w:sz w:val="32"/>
          <w:szCs w:val="32"/>
        </w:rPr>
        <w:t xml:space="preserve"> </w:t>
      </w:r>
      <w:r w:rsidR="00E501E5">
        <w:rPr>
          <w:sz w:val="32"/>
          <w:szCs w:val="32"/>
        </w:rPr>
        <w:t>How Part: NZ will branch from existing building regulations</w:t>
      </w:r>
      <w:bookmarkEnd w:id="9"/>
    </w:p>
    <w:p w14:paraId="42245030" w14:textId="5C9DF872" w:rsidR="00D83E50" w:rsidRPr="000E207B" w:rsidRDefault="00403460" w:rsidP="004550F8">
      <w:r>
        <w:t>To allow for a smoother transition for this new building regulation</w:t>
      </w:r>
      <w:r w:rsidR="0000252F">
        <w:t xml:space="preserve"> and to ensure that these new standards do not cause major failures in other sections of a buildings design, Approved Document NZ will be directly linked with</w:t>
      </w:r>
      <w:r w:rsidR="001112A4">
        <w:t xml:space="preserve"> four</w:t>
      </w:r>
      <w:r w:rsidR="0000252F">
        <w:t xml:space="preserve"> other regulations. As per below:</w:t>
      </w:r>
    </w:p>
    <w:p w14:paraId="2E0ABB0A" w14:textId="77777777" w:rsidR="004550F8" w:rsidRDefault="004550F8" w:rsidP="007F4CD2">
      <w:pPr>
        <w:pStyle w:val="Heading2"/>
      </w:pPr>
      <w:bookmarkStart w:id="10" w:name="_Toc233970836"/>
      <w:r w:rsidRPr="007F4CD2">
        <w:t>4.1 Integration with Approved Document L (Conservation of Fuel and Power)</w:t>
      </w:r>
      <w:bookmarkEnd w:id="10"/>
    </w:p>
    <w:p w14:paraId="2FFDF035" w14:textId="56EA52C7" w:rsidR="000E207B" w:rsidRPr="000E207B" w:rsidRDefault="001112A4" w:rsidP="000E207B">
      <w:r>
        <w:t>Rather than replacing Part L entirely, NZ acts as a mandatory ceiling cap. Keeping Part L’s original job of providing the official calculating methods, such as the Home Energy Model (HEM) for houses and SBEM for commercial buildings</w:t>
      </w:r>
      <w:r w:rsidR="000254FC">
        <w:t xml:space="preserve">, </w:t>
      </w:r>
      <w:r w:rsidR="000254FC" w:rsidRPr="00890F01">
        <w:rPr>
          <w:i/>
          <w:iCs/>
          <w:sz w:val="20"/>
          <w:szCs w:val="20"/>
        </w:rPr>
        <w:t>Building Research Establishment (BRE). (2022</w:t>
      </w:r>
      <w:proofErr w:type="gramStart"/>
      <w:r w:rsidR="000254FC" w:rsidRPr="00890F01">
        <w:rPr>
          <w:i/>
          <w:iCs/>
          <w:sz w:val="20"/>
          <w:szCs w:val="20"/>
        </w:rPr>
        <w:t>).</w:t>
      </w:r>
      <w:r>
        <w:t>.</w:t>
      </w:r>
      <w:proofErr w:type="gramEnd"/>
      <w:r>
        <w:t xml:space="preserve"> However, this new reg will remove the ‘Notional Building’ loophole. To pass BC (Building Control), developers must use the standard Part L software to obtain absolute energy data providing these figures site below the now hard limits of 35kwh/sqm per year for houses and 70kwh/sqm per year for commercial buildings. </w:t>
      </w:r>
    </w:p>
    <w:p w14:paraId="239A8E96" w14:textId="77777777" w:rsidR="004550F8" w:rsidRDefault="004550F8" w:rsidP="007F4CD2">
      <w:pPr>
        <w:pStyle w:val="Heading2"/>
      </w:pPr>
      <w:bookmarkStart w:id="11" w:name="_Toc233970837"/>
      <w:r w:rsidRPr="007F4CD2">
        <w:t>4.2 Integration with Approved Document F (Ventilation)</w:t>
      </w:r>
      <w:bookmarkEnd w:id="11"/>
    </w:p>
    <w:p w14:paraId="467BFB31" w14:textId="4DCE3106" w:rsidR="001112A4" w:rsidRPr="000254FC" w:rsidRDefault="001112A4" w:rsidP="001112A4">
      <w:pPr>
        <w:rPr>
          <w:i/>
          <w:iCs/>
          <w:sz w:val="20"/>
          <w:szCs w:val="20"/>
        </w:rPr>
      </w:pPr>
      <w:r>
        <w:t>To lower the space heating demand down to the required 15kwh/s</w:t>
      </w:r>
      <w:r w:rsidR="007D1CE6">
        <w:t>q</w:t>
      </w:r>
      <w:r>
        <w:t xml:space="preserve">m per year, buildings must be built with an airtight envelope while hitting an air permeability </w:t>
      </w:r>
      <w:r w:rsidR="00C41F80">
        <w:t>(</w:t>
      </w:r>
      <w:r w:rsidR="00636A30">
        <w:t xml:space="preserve">rate at which air passes through a material or building envelope) </w:t>
      </w:r>
      <w:r>
        <w:t xml:space="preserve">limit </w:t>
      </w:r>
      <w:r w:rsidRPr="00193837">
        <w:t>of 1.0</w:t>
      </w:r>
      <w:r w:rsidR="00193837" w:rsidRPr="00193837">
        <w:t>m</w:t>
      </w:r>
      <w:r w:rsidR="00193837" w:rsidRPr="00193837">
        <w:rPr>
          <w:rFonts w:ascii="Arial" w:hAnsi="Arial" w:cs="Arial"/>
        </w:rPr>
        <w:t>³</w:t>
      </w:r>
      <w:r w:rsidRPr="00193837">
        <w:t xml:space="preserve"> @ 50 </w:t>
      </w:r>
      <w:r w:rsidR="00F8569A">
        <w:t>Pascals</w:t>
      </w:r>
      <w:r w:rsidR="000254FC">
        <w:t xml:space="preserve">, </w:t>
      </w:r>
      <w:r w:rsidR="000254FC" w:rsidRPr="00A41B30">
        <w:rPr>
          <w:i/>
          <w:iCs/>
          <w:sz w:val="20"/>
          <w:szCs w:val="20"/>
        </w:rPr>
        <w:t>HM Government. (2021b). Approved Document F: Ventilation, Volume 1</w:t>
      </w:r>
      <w:r>
        <w:t xml:space="preserve">. As the building envelope is now tightly sealed, traditional passive ventilation methods (such as trickle vents) will not cut it. This will now create issues such as poor indoor air quality, mould growth and potentially structurally affecting moisture build up. </w:t>
      </w:r>
    </w:p>
    <w:p w14:paraId="5218F852" w14:textId="126966E4" w:rsidR="00720A93" w:rsidRDefault="00720A93" w:rsidP="001112A4">
      <w:r>
        <w:t xml:space="preserve">To protect tenant health and </w:t>
      </w:r>
      <w:r w:rsidR="007D4848">
        <w:t>well-being,</w:t>
      </w:r>
      <w:r>
        <w:t xml:space="preserve"> this new reg will link directly with Part F (Ventilation), with the below </w:t>
      </w:r>
      <w:r w:rsidR="007D4848">
        <w:t>requirements:</w:t>
      </w:r>
    </w:p>
    <w:p w14:paraId="4FAC37CD" w14:textId="23B1F3ED" w:rsidR="007D4848" w:rsidRDefault="007D4848">
      <w:pPr>
        <w:pStyle w:val="ListParagraph"/>
        <w:numPr>
          <w:ilvl w:val="0"/>
          <w:numId w:val="3"/>
        </w:numPr>
      </w:pPr>
      <w:r>
        <w:t xml:space="preserve">MVHR (Mechanical ventilation with heat recovery). Legal requirement for all compliant buildings, this system will bring in fresh air required to meet Part F while maintaining a minimum heat recovery efficiency of 90%. </w:t>
      </w:r>
    </w:p>
    <w:p w14:paraId="5D2E02AD" w14:textId="286472AD" w:rsidR="007D4848" w:rsidRDefault="00927A3A">
      <w:pPr>
        <w:pStyle w:val="ListParagraph"/>
        <w:numPr>
          <w:ilvl w:val="0"/>
          <w:numId w:val="3"/>
        </w:numPr>
      </w:pPr>
      <w:r>
        <w:t>Before the building can be signed off – the building must pass on site testing</w:t>
      </w:r>
      <w:r w:rsidR="00AE35DD">
        <w:t xml:space="preserve"> in the method of physical monitoring to prove that formaldehyde and CO2 levels sit within the safe parameters. </w:t>
      </w:r>
    </w:p>
    <w:p w14:paraId="2A0D2D79" w14:textId="77777777" w:rsidR="006952DA" w:rsidRPr="004550F8" w:rsidRDefault="006952DA" w:rsidP="004550F8">
      <w:pPr>
        <w:rPr>
          <w:rFonts w:ascii="Arial" w:hAnsi="Arial" w:cs="Arial"/>
          <w:color w:val="2E74B5" w:themeColor="accent1" w:themeShade="BF"/>
          <w:sz w:val="28"/>
          <w:szCs w:val="28"/>
          <w:highlight w:val="yellow"/>
        </w:rPr>
      </w:pPr>
    </w:p>
    <w:p w14:paraId="2862B140" w14:textId="77777777" w:rsidR="004550F8" w:rsidRDefault="004550F8" w:rsidP="007F4CD2">
      <w:pPr>
        <w:pStyle w:val="Heading2"/>
      </w:pPr>
      <w:bookmarkStart w:id="12" w:name="_Toc233970838"/>
      <w:r w:rsidRPr="007F4CD2">
        <w:lastRenderedPageBreak/>
        <w:t>4.3 Integration with Approved Document O (Overheating)</w:t>
      </w:r>
      <w:bookmarkEnd w:id="12"/>
    </w:p>
    <w:p w14:paraId="23168ABD" w14:textId="28403A2C" w:rsidR="00AE35DD" w:rsidRDefault="00281CAF" w:rsidP="00AE35DD">
      <w:r>
        <w:t>To hit the net positive energy balance using solar PV architects often design buildings with large south facing windows to capture solar heat, however, this creates a major risk of summer period overheating. Since Part O</w:t>
      </w:r>
      <w:r w:rsidR="00A21442">
        <w:t xml:space="preserve"> (</w:t>
      </w:r>
      <w:r w:rsidR="000254FC" w:rsidRPr="00A41B30">
        <w:rPr>
          <w:i/>
          <w:iCs/>
          <w:sz w:val="20"/>
          <w:szCs w:val="20"/>
        </w:rPr>
        <w:t>HM Government. 2021c)</w:t>
      </w:r>
      <w:r w:rsidR="000254FC">
        <w:rPr>
          <w:i/>
          <w:iCs/>
          <w:sz w:val="20"/>
          <w:szCs w:val="20"/>
        </w:rPr>
        <w:t xml:space="preserve">, </w:t>
      </w:r>
      <w:r>
        <w:t xml:space="preserve">strictly limits the use of mechanical air conditioning, this thermal issue will have to be sorted naturally. </w:t>
      </w:r>
    </w:p>
    <w:p w14:paraId="5E9CC09F" w14:textId="6A504D37" w:rsidR="00281CAF" w:rsidRPr="00AE35DD" w:rsidRDefault="00281CAF" w:rsidP="00AE35DD">
      <w:r>
        <w:t>As per this new building regulation, before any solar PV proposals are approved, the building in question must pass Part O’s dynamic thermal modelling tests using CIBSE TM59/</w:t>
      </w:r>
      <w:proofErr w:type="gramStart"/>
      <w:r>
        <w:t>52</w:t>
      </w:r>
      <w:r w:rsidR="000254FC">
        <w:t xml:space="preserve">  </w:t>
      </w:r>
      <w:r w:rsidR="000254FC" w:rsidRPr="00A41B30">
        <w:rPr>
          <w:i/>
          <w:iCs/>
          <w:sz w:val="20"/>
          <w:szCs w:val="20"/>
        </w:rPr>
        <w:t>(</w:t>
      </w:r>
      <w:proofErr w:type="gramEnd"/>
      <w:r w:rsidR="000254FC" w:rsidRPr="00A41B30">
        <w:rPr>
          <w:i/>
          <w:iCs/>
          <w:sz w:val="20"/>
          <w:szCs w:val="20"/>
        </w:rPr>
        <w:t>CIBSE</w:t>
      </w:r>
      <w:r w:rsidR="00A21442">
        <w:rPr>
          <w:i/>
          <w:iCs/>
          <w:sz w:val="20"/>
          <w:szCs w:val="20"/>
        </w:rPr>
        <w:t xml:space="preserve"> </w:t>
      </w:r>
      <w:r w:rsidR="000254FC" w:rsidRPr="00A41B30">
        <w:rPr>
          <w:i/>
          <w:iCs/>
          <w:sz w:val="20"/>
          <w:szCs w:val="20"/>
        </w:rPr>
        <w:t>2013)</w:t>
      </w:r>
      <w:r w:rsidR="000254FC">
        <w:rPr>
          <w:i/>
          <w:iCs/>
          <w:sz w:val="20"/>
          <w:szCs w:val="20"/>
        </w:rPr>
        <w:t xml:space="preserve"> </w:t>
      </w:r>
      <w:r>
        <w:t>methods. Any solar heat gains must be managed through the structural design layout described in Part O</w:t>
      </w:r>
      <w:r w:rsidR="000254FC">
        <w:t xml:space="preserve"> (</w:t>
      </w:r>
      <w:r w:rsidR="000254FC" w:rsidRPr="00A41B30">
        <w:rPr>
          <w:i/>
          <w:iCs/>
          <w:sz w:val="20"/>
          <w:szCs w:val="20"/>
        </w:rPr>
        <w:t>Approved Document O: Overheating (2021 edition)</w:t>
      </w:r>
      <w:r>
        <w:t xml:space="preserve"> such as moving louvres, roof overhangs and natural cooling ventilation loops. This is in place to ensure the building does not accidently overheat during the summer months and burn through any stored energy to cool down</w:t>
      </w:r>
      <w:r w:rsidR="000254FC">
        <w:t xml:space="preserve">. </w:t>
      </w:r>
    </w:p>
    <w:p w14:paraId="2527FAED" w14:textId="77777777" w:rsidR="001C350E" w:rsidRPr="001C350E" w:rsidRDefault="001C350E" w:rsidP="001C350E"/>
    <w:p w14:paraId="37B3813F" w14:textId="2D314FA2" w:rsidR="008A4686" w:rsidRDefault="008A4686" w:rsidP="008A4686">
      <w:pPr>
        <w:pStyle w:val="Heading2"/>
      </w:pPr>
      <w:bookmarkStart w:id="13" w:name="_Toc233970839"/>
      <w:r w:rsidRPr="008A4686">
        <w:t>4.</w:t>
      </w:r>
      <w:r w:rsidR="000E31CB">
        <w:t xml:space="preserve">4 </w:t>
      </w:r>
      <w:r w:rsidRPr="008A4686">
        <w:t>Interaction with Approved Document G (Sanitation, Hot Water, and Water Efficiency)</w:t>
      </w:r>
      <w:r w:rsidR="00A21442">
        <w:t xml:space="preserve"> </w:t>
      </w:r>
      <w:r w:rsidR="00A21442" w:rsidRPr="00A41B30">
        <w:rPr>
          <w:i/>
          <w:iCs/>
          <w:sz w:val="20"/>
          <w:szCs w:val="20"/>
        </w:rPr>
        <w:t>Approved Document G: Sanitation, hot water and water efficiency (2025 edition)</w:t>
      </w:r>
      <w:bookmarkEnd w:id="13"/>
    </w:p>
    <w:p w14:paraId="34850D85" w14:textId="159B9D92" w:rsidR="0053331D" w:rsidRPr="0053331D" w:rsidRDefault="00BD076D" w:rsidP="0053331D">
      <w:r>
        <w:t>Water infrastructure usage accounts for a large chunk of a building’s operational energy usage. To cut this, Approved Document NZ mandates the installation of a Wastewater Heat Recovery System (WWHRS) for showers. This system captures h</w:t>
      </w:r>
      <w:r w:rsidR="00A8051E">
        <w:t>e</w:t>
      </w:r>
      <w:r>
        <w:t xml:space="preserve">at from warm water running down the drain and uses to pre-heat the incoming cold mains water. </w:t>
      </w:r>
      <w:r w:rsidR="00A41B30">
        <w:t xml:space="preserve"> </w:t>
      </w:r>
    </w:p>
    <w:p w14:paraId="65F7C80F" w14:textId="5104E199" w:rsidR="007B3DB7" w:rsidRPr="007D1CE6" w:rsidRDefault="007B3DB7" w:rsidP="007D1CE6">
      <w:pPr>
        <w:pStyle w:val="Heading1"/>
        <w:rPr>
          <w:sz w:val="32"/>
          <w:szCs w:val="32"/>
        </w:rPr>
      </w:pPr>
      <w:bookmarkStart w:id="14" w:name="_Toc233970840"/>
      <w:r w:rsidRPr="007B3DB7">
        <w:rPr>
          <w:sz w:val="32"/>
          <w:szCs w:val="32"/>
        </w:rPr>
        <w:t>5</w:t>
      </w:r>
      <w:r w:rsidR="007D1CE6">
        <w:rPr>
          <w:sz w:val="32"/>
          <w:szCs w:val="32"/>
        </w:rPr>
        <w:t>.</w:t>
      </w:r>
      <w:r w:rsidR="0031656C">
        <w:rPr>
          <w:sz w:val="32"/>
          <w:szCs w:val="32"/>
        </w:rPr>
        <w:t>0</w:t>
      </w:r>
      <w:r w:rsidRPr="007B3DB7">
        <w:rPr>
          <w:sz w:val="32"/>
          <w:szCs w:val="32"/>
        </w:rPr>
        <w:t xml:space="preserve"> </w:t>
      </w:r>
      <w:r w:rsidR="005C00F5" w:rsidRPr="007B3DB7">
        <w:rPr>
          <w:sz w:val="32"/>
          <w:szCs w:val="32"/>
        </w:rPr>
        <w:t>post-occupancy</w:t>
      </w:r>
      <w:r w:rsidRPr="007B3DB7">
        <w:rPr>
          <w:sz w:val="32"/>
          <w:szCs w:val="32"/>
        </w:rPr>
        <w:t xml:space="preserve"> </w:t>
      </w:r>
      <w:r w:rsidR="00E501E5" w:rsidRPr="007D1CE6">
        <w:rPr>
          <w:sz w:val="32"/>
          <w:szCs w:val="32"/>
        </w:rPr>
        <w:t>energy gap verification</w:t>
      </w:r>
      <w:bookmarkEnd w:id="14"/>
    </w:p>
    <w:p w14:paraId="4636B74F" w14:textId="164B5579" w:rsidR="00397CF4" w:rsidRPr="00397CF4" w:rsidRDefault="00397CF4" w:rsidP="00397CF4">
      <w:r>
        <w:t xml:space="preserve">Standard building control approvals are traditionally granted before anyone moves in which can often hide the real-world energy usage and its issues. NZ will fix </w:t>
      </w:r>
      <w:r w:rsidR="00B04FD9">
        <w:t>t</w:t>
      </w:r>
      <w:r>
        <w:t xml:space="preserve">his by ensuring a final certification, over a mandatory 12-month period will evaluate using a smart meter all date and ensure that the actual energy operation matches the design model. If a building fails this, it is due to some sort of construction defect which will have to be rectified. </w:t>
      </w:r>
    </w:p>
    <w:p w14:paraId="66A5C136" w14:textId="3D2F1D3D" w:rsidR="007B3DB7" w:rsidRDefault="007B3DB7" w:rsidP="007B3DB7">
      <w:pPr>
        <w:pStyle w:val="Heading2"/>
      </w:pPr>
      <w:bookmarkStart w:id="15" w:name="_Toc233970841"/>
      <w:r>
        <w:t>5.</w:t>
      </w:r>
      <w:r w:rsidR="00397CF4">
        <w:t>1</w:t>
      </w:r>
      <w:r>
        <w:t xml:space="preserve"> </w:t>
      </w:r>
      <w:r w:rsidR="00C116D6">
        <w:t>Enforcing embodied carbon figures</w:t>
      </w:r>
      <w:bookmarkEnd w:id="15"/>
    </w:p>
    <w:p w14:paraId="33C1A869" w14:textId="60B72FA1" w:rsidR="00B02DFA" w:rsidRPr="00B02DFA" w:rsidRDefault="001F3C09" w:rsidP="00B02DFA">
      <w:r>
        <w:t>To prevent developers from falsifying or under reporting their carbon usage with their subsequent building. Building control will implement a two-stage compliance check. 1</w:t>
      </w:r>
      <w:r w:rsidRPr="001F3C09">
        <w:rPr>
          <w:vertAlign w:val="superscript"/>
        </w:rPr>
        <w:t>st</w:t>
      </w:r>
      <w:r>
        <w:t>- (design), carbon assessment alongside their initial building regulations application. Once handover and final snagging have been carried out, they must submit stage two. 2</w:t>
      </w:r>
      <w:r w:rsidRPr="001F3C09">
        <w:rPr>
          <w:vertAlign w:val="superscript"/>
        </w:rPr>
        <w:t>nd</w:t>
      </w:r>
      <w:r>
        <w:t xml:space="preserve"> (As built), a carbon declaration calculated using approved software databases. A final completion cert will not be issues unless the 2</w:t>
      </w:r>
      <w:r w:rsidRPr="001F3C09">
        <w:rPr>
          <w:vertAlign w:val="superscript"/>
        </w:rPr>
        <w:t>nd</w:t>
      </w:r>
      <w:r>
        <w:t xml:space="preserve"> (as built) figures stay below the maximum thresholds of carbon usage</w:t>
      </w:r>
      <w:r w:rsidR="000323FF">
        <w:t xml:space="preserve"> outlined by </w:t>
      </w:r>
      <w:r w:rsidR="004B3D7F" w:rsidRPr="004B3D7F">
        <w:rPr>
          <w:i/>
          <w:iCs/>
          <w:sz w:val="20"/>
          <w:szCs w:val="20"/>
        </w:rPr>
        <w:t>Bienert, S. (2023).</w:t>
      </w:r>
    </w:p>
    <w:p w14:paraId="08C1BAE6" w14:textId="4EE908F4" w:rsidR="007B3DB7" w:rsidRDefault="007B3DB7" w:rsidP="007B3DB7">
      <w:pPr>
        <w:pStyle w:val="Heading2"/>
      </w:pPr>
      <w:bookmarkStart w:id="16" w:name="_Toc233970842"/>
      <w:r>
        <w:t>5.</w:t>
      </w:r>
      <w:r w:rsidR="00397CF4">
        <w:t>2</w:t>
      </w:r>
      <w:r>
        <w:t xml:space="preserve"> </w:t>
      </w:r>
      <w:r w:rsidR="00E501E5">
        <w:t>Issue with different building types</w:t>
      </w:r>
      <w:bookmarkEnd w:id="16"/>
    </w:p>
    <w:p w14:paraId="38EBA757" w14:textId="29A2F115" w:rsidR="001F3C09" w:rsidRPr="001F3C09" w:rsidRDefault="00C116D6" w:rsidP="001F3C09">
      <w:r>
        <w:t xml:space="preserve">An issue arises when these new requirements are attempted to be fitted on a </w:t>
      </w:r>
      <w:r w:rsidR="00D44962">
        <w:t>high-rise</w:t>
      </w:r>
      <w:r>
        <w:t xml:space="preserve"> urban development. A </w:t>
      </w:r>
      <w:r w:rsidR="00D44962">
        <w:t>15-story</w:t>
      </w:r>
      <w:r>
        <w:t xml:space="preserve"> block of flats will not have the same roof area compared to a small same bed size bungalow. To solve this equality issue – large tower blocks like this will be permitted to hit their generational target by </w:t>
      </w:r>
      <w:r w:rsidR="00D44962">
        <w:t>tying</w:t>
      </w:r>
      <w:r>
        <w:t xml:space="preserve"> to a separate infrastructure </w:t>
      </w:r>
      <w:r w:rsidR="00DC1377">
        <w:t xml:space="preserve">which can generate the required energy. This will need to be within a </w:t>
      </w:r>
      <w:r w:rsidR="00D44962">
        <w:t>5-mile</w:t>
      </w:r>
      <w:r w:rsidR="00DC1377">
        <w:t xml:space="preserve"> radius of the property and could be in the terms of a carpark with Solar PV panels </w:t>
      </w:r>
      <w:r w:rsidR="00D44962">
        <w:t xml:space="preserve">as a ‘roof’. </w:t>
      </w:r>
    </w:p>
    <w:p w14:paraId="2678BF2B" w14:textId="79CD98CC" w:rsidR="007B3DB7" w:rsidRDefault="007B3DB7" w:rsidP="007B3DB7">
      <w:pPr>
        <w:pStyle w:val="Heading2"/>
      </w:pPr>
      <w:bookmarkStart w:id="17" w:name="_Toc233970843"/>
      <w:r>
        <w:lastRenderedPageBreak/>
        <w:t>5.</w:t>
      </w:r>
      <w:r w:rsidR="00397CF4">
        <w:t>3</w:t>
      </w:r>
      <w:r>
        <w:t xml:space="preserve"> </w:t>
      </w:r>
      <w:r w:rsidRPr="007B3DB7">
        <w:t>The Retrofit Challenge (EnerPHit Adaptation)</w:t>
      </w:r>
      <w:bookmarkEnd w:id="17"/>
    </w:p>
    <w:p w14:paraId="0025EC7D" w14:textId="412A652E" w:rsidR="00836D9C" w:rsidRPr="003768A1" w:rsidRDefault="00AD06A2" w:rsidP="00836D9C">
      <w:r>
        <w:t>While the proposed regulations are relatively simple for new builds, applying them to</w:t>
      </w:r>
      <w:r w:rsidR="009A3BD9">
        <w:t xml:space="preserve"> a renovation or refurbishment poses a much larger challenge. To keep this regulation legal for </w:t>
      </w:r>
      <w:r w:rsidR="00C97935">
        <w:t xml:space="preserve">remedial works, Part: NZ will have a more relaxed ceiling of 50 kwh/sqm per year for domestic retrofits. This </w:t>
      </w:r>
      <w:r w:rsidR="00666CA8">
        <w:t xml:space="preserve">will assist and acknowledge building contractors for local councils etc who are attempting to insulate older heritage buildings while still demanding energy cuts that </w:t>
      </w:r>
      <w:r w:rsidR="00A50C4F">
        <w:t>hopefully align with the united kingdoms net zero 20</w:t>
      </w:r>
      <w:r w:rsidR="002C1C40">
        <w:t>50</w:t>
      </w:r>
      <w:r w:rsidR="00A50C4F">
        <w:t xml:space="preserve"> goals. </w:t>
      </w:r>
    </w:p>
    <w:p w14:paraId="18EA421A" w14:textId="37E135AA" w:rsidR="004550F8" w:rsidRDefault="004550F8" w:rsidP="007F4CD2">
      <w:pPr>
        <w:pStyle w:val="Heading1"/>
        <w:rPr>
          <w:sz w:val="32"/>
          <w:szCs w:val="32"/>
        </w:rPr>
      </w:pPr>
      <w:bookmarkStart w:id="18" w:name="_Toc233970844"/>
      <w:r w:rsidRPr="007F4CD2">
        <w:rPr>
          <w:sz w:val="32"/>
          <w:szCs w:val="32"/>
        </w:rPr>
        <w:t>6.</w:t>
      </w:r>
      <w:r w:rsidR="0031656C">
        <w:rPr>
          <w:sz w:val="32"/>
          <w:szCs w:val="32"/>
        </w:rPr>
        <w:t>0</w:t>
      </w:r>
      <w:r w:rsidRPr="007F4CD2">
        <w:rPr>
          <w:sz w:val="32"/>
          <w:szCs w:val="32"/>
        </w:rPr>
        <w:t xml:space="preserve"> Conclusion</w:t>
      </w:r>
      <w:bookmarkEnd w:id="18"/>
    </w:p>
    <w:p w14:paraId="06683B42" w14:textId="7EB3BEF4" w:rsidR="0002718E" w:rsidRDefault="00966E1A" w:rsidP="0002718E">
      <w:r>
        <w:t xml:space="preserve">The new proposed Part: NZ represents a large shift within the UK’s outdated energy compliance models by moving toward a more absolute and enforceable standard. </w:t>
      </w:r>
      <w:r w:rsidR="00546456">
        <w:t xml:space="preserve">By introducing rigid operational ceilings for energy consumption and eliminating the notional building </w:t>
      </w:r>
      <w:r w:rsidR="008357D6">
        <w:t>loophole</w:t>
      </w:r>
      <w:r w:rsidR="00546456">
        <w:t xml:space="preserve"> with approved document L</w:t>
      </w:r>
      <w:r w:rsidR="005B6D66">
        <w:t>,</w:t>
      </w:r>
      <w:r w:rsidR="005C25BE">
        <w:t xml:space="preserve"> ensuring that new builds achieve on site energy independence</w:t>
      </w:r>
      <w:r w:rsidR="005B6D66">
        <w:t>, we will push the countries building stock to its goals of net zero by 2050.</w:t>
      </w:r>
    </w:p>
    <w:p w14:paraId="5030424B" w14:textId="40352476" w:rsidR="008514D8" w:rsidRDefault="008514D8" w:rsidP="0002718E">
      <w:r>
        <w:t xml:space="preserve">Importantly, Part: NZ (Net Zero) does not </w:t>
      </w:r>
      <w:r w:rsidR="009E2119">
        <w:t>operate</w:t>
      </w:r>
      <w:r>
        <w:t xml:space="preserve"> in isolation. It will function </w:t>
      </w:r>
      <w:r w:rsidR="009E2119">
        <w:t>simultaneously</w:t>
      </w:r>
      <w:r w:rsidR="00E81059">
        <w:t xml:space="preserve"> with different existing building regulations. Part F to ensure</w:t>
      </w:r>
      <w:r w:rsidR="00B96130">
        <w:t xml:space="preserve"> mandatory</w:t>
      </w:r>
      <w:r w:rsidR="00E81059">
        <w:t xml:space="preserve"> indoor air quality is </w:t>
      </w:r>
      <w:r w:rsidR="00B96130">
        <w:t xml:space="preserve">compliant through mechanical ventilation. Part O to </w:t>
      </w:r>
      <w:r w:rsidR="009E2119">
        <w:t>reduce</w:t>
      </w:r>
      <w:r w:rsidR="00B96130">
        <w:t xml:space="preserve"> overheating during hotter months</w:t>
      </w:r>
      <w:r w:rsidR="00CB40BA">
        <w:t xml:space="preserve"> via structural design methods, and Part G to capture wastewater energy</w:t>
      </w:r>
      <w:r w:rsidR="009E2119">
        <w:t xml:space="preserve"> heat recovery system. </w:t>
      </w:r>
    </w:p>
    <w:p w14:paraId="0026CD23" w14:textId="1F453708" w:rsidR="009E2119" w:rsidRDefault="00736081" w:rsidP="0002718E">
      <w:r>
        <w:t xml:space="preserve">Additionally, by introducing a 2-stage compliance check for any embodied carbon with a 12-month post occupancy period to check the figures. </w:t>
      </w:r>
      <w:r w:rsidR="003D039A">
        <w:t xml:space="preserve">This will help </w:t>
      </w:r>
      <w:r w:rsidR="002B3311">
        <w:t xml:space="preserve">bridge the </w:t>
      </w:r>
      <w:r w:rsidR="0031656C">
        <w:t>real-world</w:t>
      </w:r>
      <w:r w:rsidR="002B3311">
        <w:t xml:space="preserve"> performance </w:t>
      </w:r>
      <w:r w:rsidR="00AD710D">
        <w:t xml:space="preserve">and the projected data while holding the developers accountable for a building </w:t>
      </w:r>
      <w:r w:rsidR="0008243D">
        <w:t>entire lifecycle’s emission</w:t>
      </w:r>
      <w:r w:rsidR="00AD710D">
        <w:t xml:space="preserve">. </w:t>
      </w:r>
    </w:p>
    <w:p w14:paraId="0C9E5894" w14:textId="3D16442D" w:rsidR="00F05801" w:rsidRPr="0002718E" w:rsidRDefault="001C110F" w:rsidP="0002718E">
      <w:r>
        <w:t xml:space="preserve">On this basis, Part: NZ ensuring contractors and developers adhere to the new laws. Will transform buildings from passive energy consumption into their individual mini power stations </w:t>
      </w:r>
      <w:r w:rsidR="0031656C">
        <w:t xml:space="preserve">able to run on their own power, essentially off grid. This provides a realistic and structural base plate for the future of British construction. </w:t>
      </w:r>
    </w:p>
    <w:p w14:paraId="7F781CDB" w14:textId="77777777" w:rsidR="00107F52" w:rsidRDefault="00107F52" w:rsidP="00761119">
      <w:pPr>
        <w:rPr>
          <w:rFonts w:ascii="Arial" w:hAnsi="Arial" w:cs="Arial"/>
          <w:color w:val="2E74B5" w:themeColor="accent1" w:themeShade="BF"/>
          <w:sz w:val="28"/>
          <w:szCs w:val="28"/>
        </w:rPr>
      </w:pPr>
    </w:p>
    <w:p w14:paraId="2F815B4D" w14:textId="77777777" w:rsidR="0031656C" w:rsidRDefault="0031656C" w:rsidP="00761119">
      <w:pPr>
        <w:rPr>
          <w:rFonts w:ascii="Arial" w:hAnsi="Arial" w:cs="Arial"/>
          <w:color w:val="2E74B5" w:themeColor="accent1" w:themeShade="BF"/>
          <w:sz w:val="28"/>
          <w:szCs w:val="28"/>
        </w:rPr>
      </w:pPr>
    </w:p>
    <w:p w14:paraId="40B3672E" w14:textId="77777777" w:rsidR="0031656C" w:rsidRDefault="0031656C" w:rsidP="00761119">
      <w:pPr>
        <w:rPr>
          <w:rFonts w:ascii="Arial" w:hAnsi="Arial" w:cs="Arial"/>
          <w:color w:val="2E74B5" w:themeColor="accent1" w:themeShade="BF"/>
          <w:sz w:val="28"/>
          <w:szCs w:val="28"/>
        </w:rPr>
      </w:pPr>
    </w:p>
    <w:p w14:paraId="75A89794" w14:textId="77777777" w:rsidR="0031656C" w:rsidRDefault="0031656C" w:rsidP="00761119">
      <w:pPr>
        <w:rPr>
          <w:rFonts w:ascii="Arial" w:hAnsi="Arial" w:cs="Arial"/>
          <w:color w:val="2E74B5" w:themeColor="accent1" w:themeShade="BF"/>
          <w:sz w:val="28"/>
          <w:szCs w:val="28"/>
        </w:rPr>
      </w:pPr>
    </w:p>
    <w:p w14:paraId="2D8471AD" w14:textId="77777777" w:rsidR="0031656C" w:rsidRDefault="0031656C" w:rsidP="00761119">
      <w:pPr>
        <w:rPr>
          <w:rFonts w:ascii="Arial" w:hAnsi="Arial" w:cs="Arial"/>
          <w:color w:val="2E74B5" w:themeColor="accent1" w:themeShade="BF"/>
          <w:sz w:val="28"/>
          <w:szCs w:val="28"/>
        </w:rPr>
      </w:pPr>
    </w:p>
    <w:p w14:paraId="0DBFF077" w14:textId="77777777" w:rsidR="0031656C" w:rsidRDefault="0031656C" w:rsidP="00761119">
      <w:pPr>
        <w:rPr>
          <w:rFonts w:ascii="Arial" w:hAnsi="Arial" w:cs="Arial"/>
          <w:color w:val="2E74B5" w:themeColor="accent1" w:themeShade="BF"/>
          <w:sz w:val="28"/>
          <w:szCs w:val="28"/>
        </w:rPr>
      </w:pPr>
    </w:p>
    <w:p w14:paraId="0E979AD1" w14:textId="77777777" w:rsidR="0031656C" w:rsidRDefault="0031656C" w:rsidP="00761119">
      <w:pPr>
        <w:rPr>
          <w:rFonts w:ascii="Arial" w:hAnsi="Arial" w:cs="Arial"/>
          <w:color w:val="2E74B5" w:themeColor="accent1" w:themeShade="BF"/>
          <w:sz w:val="28"/>
          <w:szCs w:val="28"/>
        </w:rPr>
      </w:pPr>
    </w:p>
    <w:p w14:paraId="49B4A60C" w14:textId="77777777" w:rsidR="0031656C" w:rsidRDefault="0031656C" w:rsidP="00761119">
      <w:pPr>
        <w:rPr>
          <w:rFonts w:ascii="Arial" w:hAnsi="Arial" w:cs="Arial"/>
          <w:color w:val="2E74B5" w:themeColor="accent1" w:themeShade="BF"/>
          <w:sz w:val="28"/>
          <w:szCs w:val="28"/>
        </w:rPr>
      </w:pPr>
    </w:p>
    <w:p w14:paraId="585807FD" w14:textId="77777777" w:rsidR="00EE19F9" w:rsidRDefault="00EE19F9" w:rsidP="00761119">
      <w:pPr>
        <w:rPr>
          <w:rFonts w:ascii="Arial" w:hAnsi="Arial" w:cs="Arial"/>
          <w:color w:val="2E74B5" w:themeColor="accent1" w:themeShade="BF"/>
          <w:sz w:val="28"/>
          <w:szCs w:val="28"/>
        </w:rPr>
      </w:pPr>
    </w:p>
    <w:p w14:paraId="7F811995" w14:textId="77777777" w:rsidR="004B3D7F" w:rsidRDefault="004B3D7F" w:rsidP="00761119">
      <w:pPr>
        <w:rPr>
          <w:rFonts w:ascii="Arial" w:hAnsi="Arial" w:cs="Arial"/>
          <w:color w:val="2E74B5" w:themeColor="accent1" w:themeShade="BF"/>
          <w:sz w:val="28"/>
          <w:szCs w:val="28"/>
        </w:rPr>
      </w:pPr>
    </w:p>
    <w:p w14:paraId="456A13F5" w14:textId="77777777" w:rsidR="004B3D7F" w:rsidRDefault="004B3D7F" w:rsidP="00761119">
      <w:pPr>
        <w:rPr>
          <w:rFonts w:ascii="Arial" w:hAnsi="Arial" w:cs="Arial"/>
          <w:color w:val="2E74B5" w:themeColor="accent1" w:themeShade="BF"/>
          <w:sz w:val="28"/>
          <w:szCs w:val="28"/>
        </w:rPr>
      </w:pPr>
    </w:p>
    <w:p w14:paraId="1C9ACB9B" w14:textId="77777777" w:rsidR="004B3D7F" w:rsidRPr="00D74898" w:rsidRDefault="004B3D7F" w:rsidP="00761119">
      <w:pPr>
        <w:rPr>
          <w:rFonts w:ascii="Arial" w:hAnsi="Arial" w:cs="Arial"/>
          <w:color w:val="2E74B5" w:themeColor="accent1" w:themeShade="BF"/>
          <w:sz w:val="28"/>
          <w:szCs w:val="28"/>
        </w:rPr>
      </w:pPr>
    </w:p>
    <w:p w14:paraId="6AB2DF58" w14:textId="3BEF661D" w:rsidR="00226246" w:rsidRPr="0031656C" w:rsidRDefault="0031656C" w:rsidP="0031656C">
      <w:pPr>
        <w:pStyle w:val="Heading1"/>
        <w:rPr>
          <w:sz w:val="32"/>
          <w:szCs w:val="32"/>
        </w:rPr>
      </w:pPr>
      <w:bookmarkStart w:id="19" w:name="_Toc233970845"/>
      <w:r w:rsidRPr="0031656C">
        <w:rPr>
          <w:sz w:val="32"/>
          <w:szCs w:val="32"/>
        </w:rPr>
        <w:t xml:space="preserve">7.0 </w:t>
      </w:r>
      <w:r w:rsidR="00226246" w:rsidRPr="0031656C">
        <w:rPr>
          <w:sz w:val="32"/>
          <w:szCs w:val="32"/>
        </w:rPr>
        <w:t>Figure List</w:t>
      </w:r>
      <w:bookmarkEnd w:id="19"/>
    </w:p>
    <w:p w14:paraId="62868418" w14:textId="171F0083" w:rsidR="00A51DDA" w:rsidRDefault="00C018E5" w:rsidP="00F3763C">
      <w:pPr>
        <w:pStyle w:val="ListParagraph"/>
        <w:numPr>
          <w:ilvl w:val="0"/>
          <w:numId w:val="4"/>
        </w:numPr>
      </w:pPr>
      <w:r w:rsidRPr="00F3763C">
        <w:t xml:space="preserve">F Gale (2026). </w:t>
      </w:r>
      <w:r w:rsidR="00F3763C" w:rsidRPr="00F3763C">
        <w:t xml:space="preserve">Calculation formula to show energy generation &amp; usage. </w:t>
      </w:r>
    </w:p>
    <w:p w14:paraId="49C133B7" w14:textId="73CDBC99" w:rsidR="00F3763C" w:rsidRPr="00F3763C" w:rsidRDefault="00F3763C" w:rsidP="00F3763C">
      <w:pPr>
        <w:pStyle w:val="ListParagraph"/>
        <w:numPr>
          <w:ilvl w:val="0"/>
          <w:numId w:val="4"/>
        </w:numPr>
      </w:pPr>
      <w:r>
        <w:t xml:space="preserve">F Gale (2026). Table showing generation methods and previous standards. </w:t>
      </w:r>
    </w:p>
    <w:p w14:paraId="7C896E89" w14:textId="38433484" w:rsidR="008F69A3" w:rsidRPr="0031656C" w:rsidRDefault="0031656C" w:rsidP="008F69A3">
      <w:pPr>
        <w:pStyle w:val="Heading1"/>
        <w:rPr>
          <w:sz w:val="32"/>
          <w:szCs w:val="32"/>
        </w:rPr>
      </w:pPr>
      <w:bookmarkStart w:id="20" w:name="_Toc233970846"/>
      <w:r w:rsidRPr="0031656C">
        <w:rPr>
          <w:sz w:val="32"/>
          <w:szCs w:val="32"/>
        </w:rPr>
        <w:t xml:space="preserve">8.0 </w:t>
      </w:r>
      <w:r w:rsidR="008F69A3" w:rsidRPr="0031656C">
        <w:rPr>
          <w:sz w:val="32"/>
          <w:szCs w:val="32"/>
        </w:rPr>
        <w:t>References</w:t>
      </w:r>
      <w:bookmarkEnd w:id="20"/>
    </w:p>
    <w:p w14:paraId="6C9DE073" w14:textId="0153723B" w:rsidR="002B3888" w:rsidRDefault="002B5277" w:rsidP="00441DF0">
      <w:pPr>
        <w:pStyle w:val="ListParagraph"/>
        <w:numPr>
          <w:ilvl w:val="0"/>
          <w:numId w:val="4"/>
        </w:numPr>
      </w:pPr>
      <w:r w:rsidRPr="00B34FFB">
        <w:t xml:space="preserve">Bienert, S. (2023). Embodied carbon of retrofits: Balancing embodied carbon measures against operational savings. Carbon Risk Real Estate Monitor (CRREM). Available at: </w:t>
      </w:r>
      <w:r w:rsidR="00B34FFB">
        <w:t xml:space="preserve"> </w:t>
      </w:r>
      <w:hyperlink r:id="rId11" w:history="1">
        <w:r w:rsidR="00B34FFB" w:rsidRPr="007E4126">
          <w:rPr>
            <w:rStyle w:val="Hyperlink"/>
          </w:rPr>
          <w:t>https://www.crrem.eu</w:t>
        </w:r>
      </w:hyperlink>
      <w:r w:rsidR="008B2C74" w:rsidRPr="00B34FFB">
        <w:t xml:space="preserve"> </w:t>
      </w:r>
      <w:r w:rsidRPr="00B34FFB">
        <w:t xml:space="preserve"> [Accessed 26 June 2026].</w:t>
      </w:r>
    </w:p>
    <w:p w14:paraId="26F6B2AF" w14:textId="77777777" w:rsidR="008904EB" w:rsidRPr="00B34FFB" w:rsidRDefault="008904EB" w:rsidP="008904EB">
      <w:pPr>
        <w:pStyle w:val="ListParagraph"/>
      </w:pPr>
    </w:p>
    <w:p w14:paraId="6C86A1F1" w14:textId="52C97C27" w:rsidR="00F00747" w:rsidRPr="00B34FFB" w:rsidRDefault="00715661" w:rsidP="00441DF0">
      <w:pPr>
        <w:pStyle w:val="ListParagraph"/>
        <w:numPr>
          <w:ilvl w:val="0"/>
          <w:numId w:val="4"/>
        </w:numPr>
      </w:pPr>
      <w:r w:rsidRPr="00B34FFB">
        <w:t xml:space="preserve">Building Research Establishment (BRE). (2022). The Home Energy Model (HEM): Replacement for the Standard Assessment Procedure (SAP). Department for Energy Security and Net Zero. Available at: </w:t>
      </w:r>
      <w:hyperlink r:id="rId12" w:history="1">
        <w:r w:rsidR="00B34FFB" w:rsidRPr="007E4126">
          <w:rPr>
            <w:rStyle w:val="Hyperlink"/>
          </w:rPr>
          <w:t>https://www.gov.uk/government/publications/</w:t>
        </w:r>
      </w:hyperlink>
      <w:r w:rsidR="00B34FFB">
        <w:t xml:space="preserve"> </w:t>
      </w:r>
      <w:r w:rsidR="00B34FFB" w:rsidRPr="00B34FFB">
        <w:t xml:space="preserve"> [</w:t>
      </w:r>
      <w:r w:rsidRPr="00B34FFB">
        <w:t>Accessed 29 June 2026].</w:t>
      </w:r>
    </w:p>
    <w:p w14:paraId="1C347642" w14:textId="77777777" w:rsidR="002B1803" w:rsidRDefault="002B1803" w:rsidP="002B1803">
      <w:pPr>
        <w:pStyle w:val="ListParagraph"/>
      </w:pPr>
    </w:p>
    <w:p w14:paraId="1656E293" w14:textId="505CDF18" w:rsidR="00A362BB" w:rsidRPr="00B34FFB" w:rsidRDefault="001E0F26" w:rsidP="007E1DC5">
      <w:pPr>
        <w:pStyle w:val="ListParagraph"/>
        <w:numPr>
          <w:ilvl w:val="0"/>
          <w:numId w:val="4"/>
        </w:numPr>
      </w:pPr>
      <w:r w:rsidRPr="001E0F26">
        <w:t>TM52: The Limits of Thermal Comfort: Avoiding overheating in European buildings | CIBSE</w:t>
      </w:r>
      <w:r>
        <w:t xml:space="preserve"> (no date). </w:t>
      </w:r>
      <w:hyperlink r:id="rId13" w:history="1">
        <w:r w:rsidRPr="007E4126">
          <w:rPr>
            <w:rStyle w:val="Hyperlink"/>
          </w:rPr>
          <w:t>https://www.cibse.org/knowledge-research/knowledge-portal/tm52-the-limits-of-thermal-comfort-avoiding-overheating-in-european-buildings</w:t>
        </w:r>
      </w:hyperlink>
      <w:r>
        <w:t xml:space="preserve"> </w:t>
      </w:r>
      <w:r w:rsidRPr="00B34FFB">
        <w:t xml:space="preserve"> [</w:t>
      </w:r>
      <w:r w:rsidR="00B34FFB" w:rsidRPr="00B34FFB">
        <w:t>Accessed 29 June 2026].</w:t>
      </w:r>
      <w:r w:rsidR="00A362BB" w:rsidRPr="00B34FFB">
        <w:br/>
      </w:r>
    </w:p>
    <w:p w14:paraId="7E750818" w14:textId="743E2C3B" w:rsidR="00427120" w:rsidRPr="00B34FFB" w:rsidRDefault="00427120" w:rsidP="00441DF0">
      <w:pPr>
        <w:pStyle w:val="ListParagraph"/>
        <w:numPr>
          <w:ilvl w:val="0"/>
          <w:numId w:val="4"/>
        </w:numPr>
      </w:pPr>
      <w:r w:rsidRPr="00B34FFB">
        <w:t xml:space="preserve">Gero, C. (2024). An investigation of scalable solutions to mitigate against overheating in new build homes in the UK. PhD thesis. Birmingham City University. Available at: </w:t>
      </w:r>
      <w:r w:rsidR="00B34FFB">
        <w:t xml:space="preserve"> </w:t>
      </w:r>
      <w:hyperlink r:id="rId14" w:history="1">
        <w:r w:rsidR="00B34FFB" w:rsidRPr="007E4126">
          <w:rPr>
            <w:rStyle w:val="Hyperlink"/>
          </w:rPr>
          <w:t>https://www.bcu.ac.uk/repository</w:t>
        </w:r>
      </w:hyperlink>
      <w:r w:rsidR="008B2C74" w:rsidRPr="00B34FFB">
        <w:t xml:space="preserve"> </w:t>
      </w:r>
      <w:r w:rsidRPr="00B34FFB">
        <w:t xml:space="preserve"> [Accessed 30 June 2026].</w:t>
      </w:r>
      <w:r w:rsidRPr="00B34FFB">
        <w:br/>
      </w:r>
    </w:p>
    <w:p w14:paraId="6194A3B8" w14:textId="21A21EA4" w:rsidR="007B6DE6" w:rsidRPr="00B34FFB" w:rsidRDefault="007B6DE6" w:rsidP="00441DF0">
      <w:pPr>
        <w:pStyle w:val="ListParagraph"/>
        <w:numPr>
          <w:ilvl w:val="0"/>
          <w:numId w:val="4"/>
        </w:numPr>
      </w:pPr>
      <w:r w:rsidRPr="00B34FFB">
        <w:t xml:space="preserve">HM Government. (2010). The Building Regulations 2010: Schedule 1. London: Parliamentary Digital Services. Available at: </w:t>
      </w:r>
      <w:hyperlink r:id="rId15" w:history="1">
        <w:r w:rsidR="00B34FFB" w:rsidRPr="007E4126">
          <w:rPr>
            <w:rStyle w:val="Hyperlink"/>
          </w:rPr>
          <w:t>https://www.legislation.gov.uk/</w:t>
        </w:r>
      </w:hyperlink>
      <w:r w:rsidR="008B2C74" w:rsidRPr="00B34FFB">
        <w:t xml:space="preserve"> </w:t>
      </w:r>
      <w:r w:rsidRPr="00B34FFB">
        <w:t xml:space="preserve"> [Accessed 1 July 2026].</w:t>
      </w:r>
      <w:r w:rsidRPr="00B34FFB">
        <w:br/>
      </w:r>
    </w:p>
    <w:p w14:paraId="5E77B0F9" w14:textId="0A074B5A" w:rsidR="00B866F9" w:rsidRPr="00B34FFB" w:rsidRDefault="00B866F9" w:rsidP="00441DF0">
      <w:pPr>
        <w:pStyle w:val="ListParagraph"/>
        <w:numPr>
          <w:ilvl w:val="0"/>
          <w:numId w:val="4"/>
        </w:numPr>
      </w:pPr>
      <w:r w:rsidRPr="00B34FFB">
        <w:t xml:space="preserve">HM Government. (2021a). Approved Document L: Conservation of fuel and power, Volume 1: Dwellings (2021 edition). Ministry of Housing, Communities &amp; Local Government. Available at: </w:t>
      </w:r>
      <w:hyperlink r:id="rId16" w:history="1">
        <w:r w:rsidR="00B34FFB" w:rsidRPr="007E4126">
          <w:rPr>
            <w:rStyle w:val="Hyperlink"/>
          </w:rPr>
          <w:t>https://www.gov.uk/guidance/</w:t>
        </w:r>
      </w:hyperlink>
      <w:r w:rsidR="008B2C74" w:rsidRPr="00B34FFB">
        <w:t xml:space="preserve"> </w:t>
      </w:r>
      <w:r w:rsidRPr="00B34FFB">
        <w:t xml:space="preserve"> [Accessed 2 July 2026].</w:t>
      </w:r>
      <w:r w:rsidRPr="00B34FFB">
        <w:br/>
      </w:r>
    </w:p>
    <w:p w14:paraId="4A3B6D71" w14:textId="2E45183E" w:rsidR="004119E6" w:rsidRPr="00B34FFB" w:rsidRDefault="00517180" w:rsidP="00517180">
      <w:pPr>
        <w:pStyle w:val="ListParagraph"/>
        <w:numPr>
          <w:ilvl w:val="0"/>
          <w:numId w:val="4"/>
        </w:numPr>
      </w:pPr>
      <w:r>
        <w:t xml:space="preserve">Ministry of Housing, Communities and Local Government (2022) </w:t>
      </w:r>
      <w:r>
        <w:rPr>
          <w:i/>
          <w:iCs/>
        </w:rPr>
        <w:t xml:space="preserve">Ventilation: </w:t>
      </w:r>
      <w:r w:rsidRPr="00517180">
        <w:t>Approved</w:t>
      </w:r>
      <w:r>
        <w:rPr>
          <w:i/>
          <w:iCs/>
        </w:rPr>
        <w:t xml:space="preserve"> Document f</w:t>
      </w:r>
      <w:r>
        <w:t xml:space="preserve">. </w:t>
      </w:r>
      <w:hyperlink r:id="rId17" w:history="1">
        <w:r w:rsidRPr="007E4126">
          <w:rPr>
            <w:rStyle w:val="Hyperlink"/>
          </w:rPr>
          <w:t>https://www.gov.uk/government/publications/ventilation-approved-document-f</w:t>
        </w:r>
      </w:hyperlink>
      <w:r>
        <w:t xml:space="preserve">.  </w:t>
      </w:r>
      <w:r w:rsidRPr="00B34FFB">
        <w:t>[Accessed 1 July 2026].</w:t>
      </w:r>
      <w:r w:rsidR="004119E6" w:rsidRPr="00B34FFB">
        <w:br/>
      </w:r>
    </w:p>
    <w:p w14:paraId="30DC2EA9" w14:textId="5C8EC74C" w:rsidR="00DF4FFF" w:rsidRPr="00B34FFB" w:rsidRDefault="00A23512" w:rsidP="00517180">
      <w:pPr>
        <w:pStyle w:val="ListParagraph"/>
        <w:numPr>
          <w:ilvl w:val="0"/>
          <w:numId w:val="4"/>
        </w:numPr>
      </w:pPr>
      <w:r w:rsidRPr="00B34FFB">
        <w:t xml:space="preserve">HM Government. (2025). Approved Document G: Sanitation, hot water and water efficiency (2025 edition). Ministry of Housing, Communities &amp; Local Government. Available at: </w:t>
      </w:r>
      <w:hyperlink r:id="rId18" w:history="1">
        <w:r w:rsidR="00B34FFB" w:rsidRPr="007E4126">
          <w:rPr>
            <w:rStyle w:val="Hyperlink"/>
          </w:rPr>
          <w:t>https://www.gov.uk/guidance/</w:t>
        </w:r>
      </w:hyperlink>
      <w:r w:rsidR="008B2C74" w:rsidRPr="00B34FFB">
        <w:t xml:space="preserve"> </w:t>
      </w:r>
      <w:r w:rsidRPr="00B34FFB">
        <w:t xml:space="preserve"> [Accessed 3 July 2026].</w:t>
      </w:r>
      <w:r w:rsidR="00DF4FFF" w:rsidRPr="00B34FFB">
        <w:br/>
      </w:r>
    </w:p>
    <w:p w14:paraId="494BC36B" w14:textId="79DBECAF" w:rsidR="00F73867" w:rsidRPr="00B34FFB" w:rsidRDefault="00F73867" w:rsidP="00441DF0">
      <w:pPr>
        <w:pStyle w:val="ListParagraph"/>
        <w:numPr>
          <w:ilvl w:val="0"/>
          <w:numId w:val="4"/>
        </w:numPr>
      </w:pPr>
      <w:r w:rsidRPr="00B34FFB">
        <w:t xml:space="preserve">Karampour, K. (2022). Net zero ready new build housing: Benefits and barriers to delivery. Department of Land Economy, University of Cambridge Working Papers. </w:t>
      </w:r>
      <w:r w:rsidRPr="00B34FFB">
        <w:lastRenderedPageBreak/>
        <w:t xml:space="preserve">Available at: </w:t>
      </w:r>
      <w:hyperlink r:id="rId19" w:history="1">
        <w:r w:rsidR="00B34FFB" w:rsidRPr="007E4126">
          <w:rPr>
            <w:rStyle w:val="Hyperlink"/>
          </w:rPr>
          <w:t>https://www.landecon.cam.ac.uk/</w:t>
        </w:r>
      </w:hyperlink>
      <w:r w:rsidR="008B2C74" w:rsidRPr="00B34FFB">
        <w:t xml:space="preserve"> </w:t>
      </w:r>
      <w:r w:rsidRPr="00B34FFB">
        <w:t xml:space="preserve"> [Accessed 27 June 2026].</w:t>
      </w:r>
      <w:r w:rsidRPr="00B34FFB">
        <w:br/>
      </w:r>
    </w:p>
    <w:p w14:paraId="7778904F" w14:textId="634B8898" w:rsidR="00DB13E6" w:rsidRPr="00B34FFB" w:rsidRDefault="00F469C2" w:rsidP="00586855">
      <w:pPr>
        <w:pStyle w:val="ListParagraph"/>
        <w:numPr>
          <w:ilvl w:val="0"/>
          <w:numId w:val="4"/>
        </w:numPr>
      </w:pPr>
      <w:r w:rsidRPr="00B34FFB">
        <w:t xml:space="preserve">London Energy Transformation Initiative (LETI). (2020). LETI Climate Emergency Design Guide: How new buildings can meet UK climate change targets. LETI. Available at: </w:t>
      </w:r>
      <w:hyperlink r:id="rId20" w:history="1">
        <w:r w:rsidR="00B34FFB" w:rsidRPr="007E4126">
          <w:rPr>
            <w:rStyle w:val="Hyperlink"/>
          </w:rPr>
          <w:t>https://www.leti.uk/</w:t>
        </w:r>
      </w:hyperlink>
      <w:r w:rsidR="008B2C74" w:rsidRPr="00B34FFB">
        <w:t xml:space="preserve"> </w:t>
      </w:r>
      <w:r w:rsidRPr="00B34FFB">
        <w:t xml:space="preserve"> [Accessed 28 June 2026].</w:t>
      </w:r>
      <w:r w:rsidRPr="00B34FFB">
        <w:br/>
      </w:r>
    </w:p>
    <w:p w14:paraId="7E865275" w14:textId="77777777" w:rsidR="008904EB" w:rsidRPr="00B34FFB" w:rsidRDefault="008904EB" w:rsidP="00586855">
      <w:pPr>
        <w:ind w:left="360"/>
      </w:pPr>
    </w:p>
    <w:p w14:paraId="166CCA15" w14:textId="340A137E" w:rsidR="008904EB" w:rsidRPr="00B34FFB" w:rsidRDefault="00AF17FE" w:rsidP="00AF17FE">
      <w:pPr>
        <w:pStyle w:val="ListParagraph"/>
        <w:numPr>
          <w:ilvl w:val="0"/>
          <w:numId w:val="4"/>
        </w:numPr>
      </w:pPr>
      <w:r>
        <w:t xml:space="preserve">Passive House Institute GmbH (no date) </w:t>
      </w:r>
      <w:r w:rsidRPr="00AF17FE">
        <w:t>Home PHI</w:t>
      </w:r>
      <w:r>
        <w:t xml:space="preserve">. </w:t>
      </w:r>
      <w:hyperlink r:id="rId21" w:history="1">
        <w:r w:rsidRPr="007E4126">
          <w:rPr>
            <w:rStyle w:val="Hyperlink"/>
          </w:rPr>
          <w:t>https://passivehouse.com/en/home/</w:t>
        </w:r>
      </w:hyperlink>
      <w:r>
        <w:t xml:space="preserve">. </w:t>
      </w:r>
      <w:r w:rsidRPr="00B34FFB">
        <w:t xml:space="preserve"> [</w:t>
      </w:r>
      <w:r w:rsidR="00441DF0" w:rsidRPr="00B34FFB">
        <w:t>Accessed 27 June 2026].</w:t>
      </w:r>
      <w:r w:rsidR="006A51D1" w:rsidRPr="00B34FFB">
        <w:br/>
      </w:r>
    </w:p>
    <w:p w14:paraId="08BFE878" w14:textId="59B92B6D" w:rsidR="008904EB" w:rsidRPr="00B34FFB" w:rsidRDefault="000B27C2" w:rsidP="008904EB">
      <w:pPr>
        <w:pStyle w:val="ListParagraph"/>
        <w:numPr>
          <w:ilvl w:val="0"/>
          <w:numId w:val="4"/>
        </w:numPr>
      </w:pPr>
      <w:r w:rsidRPr="00B34FFB">
        <w:t xml:space="preserve">UK Green Building Council (UKGBC). (2024). The UK Net Zero Carbon Buildings Standard (Version 1.0). UKGBC. Available at: </w:t>
      </w:r>
      <w:hyperlink r:id="rId22" w:history="1">
        <w:r w:rsidR="00441DF0" w:rsidRPr="007E4126">
          <w:rPr>
            <w:rStyle w:val="Hyperlink"/>
          </w:rPr>
          <w:t>https://www.ukgbc.org/</w:t>
        </w:r>
      </w:hyperlink>
      <w:r w:rsidR="00B34FFB" w:rsidRPr="00B34FFB">
        <w:t xml:space="preserve"> </w:t>
      </w:r>
      <w:r w:rsidRPr="00B34FFB">
        <w:t xml:space="preserve"> [Accessed 30 June 2026]</w:t>
      </w:r>
    </w:p>
    <w:p w14:paraId="08BECEBD" w14:textId="77777777" w:rsidR="008904EB" w:rsidRDefault="008904EB" w:rsidP="008904EB">
      <w:pPr>
        <w:pStyle w:val="ListParagraph"/>
      </w:pPr>
    </w:p>
    <w:p w14:paraId="4495BA65" w14:textId="77777777" w:rsidR="00E875BA" w:rsidRDefault="00A550B1" w:rsidP="00441DF0">
      <w:pPr>
        <w:pStyle w:val="ListParagraph"/>
        <w:numPr>
          <w:ilvl w:val="0"/>
          <w:numId w:val="4"/>
        </w:numPr>
      </w:pPr>
      <w:r w:rsidRPr="00B34FFB">
        <w:t>World Green Building Council (</w:t>
      </w:r>
      <w:r w:rsidR="002C0C2B" w:rsidRPr="00B34FFB">
        <w:t>World</w:t>
      </w:r>
      <w:r w:rsidRPr="00B34FFB">
        <w:t xml:space="preserve">). (2022). Advancing Net Zero: Whole life carbon vision. </w:t>
      </w:r>
      <w:r w:rsidR="002C0C2B" w:rsidRPr="00B34FFB">
        <w:t>World</w:t>
      </w:r>
      <w:r w:rsidRPr="00B34FFB">
        <w:t xml:space="preserve">. Available at: </w:t>
      </w:r>
      <w:hyperlink r:id="rId23" w:history="1">
        <w:r w:rsidR="00441DF0" w:rsidRPr="007E4126">
          <w:rPr>
            <w:rStyle w:val="Hyperlink"/>
          </w:rPr>
          <w:t>https://worldgbc.org/</w:t>
        </w:r>
      </w:hyperlink>
      <w:r w:rsidR="00B34FFB" w:rsidRPr="00B34FFB">
        <w:t xml:space="preserve"> </w:t>
      </w:r>
      <w:r w:rsidRPr="00B34FFB">
        <w:t xml:space="preserve"> [Accessed 2 July 2026].</w:t>
      </w:r>
    </w:p>
    <w:p w14:paraId="3F1C83D1" w14:textId="77777777" w:rsidR="00E875BA" w:rsidRDefault="00E875BA" w:rsidP="00E875BA">
      <w:pPr>
        <w:pStyle w:val="ListParagraph"/>
      </w:pPr>
    </w:p>
    <w:p w14:paraId="2696EC81" w14:textId="3379827D" w:rsidR="00A550B1" w:rsidRPr="003F20AF" w:rsidRDefault="003F20AF" w:rsidP="00441DF0">
      <w:pPr>
        <w:pStyle w:val="ListParagraph"/>
        <w:numPr>
          <w:ilvl w:val="0"/>
          <w:numId w:val="4"/>
        </w:numPr>
      </w:pPr>
      <w:r w:rsidRPr="003F20AF">
        <w:t>Royal Institution of Chartered Surveyors (RICS) (2023). Whole life carbon assessment for the built environment.</w:t>
      </w:r>
      <w:r>
        <w:t xml:space="preserve"> </w:t>
      </w:r>
      <w:hyperlink r:id="rId24" w:history="1">
        <w:r w:rsidRPr="008C6B33">
          <w:rPr>
            <w:rStyle w:val="Hyperlink"/>
          </w:rPr>
          <w:t>https://www.rics.org/content/dam/ricsglobal/documents/standards/Whole_life_carbon_assessment_PS_Sept23.pdf</w:t>
        </w:r>
      </w:hyperlink>
      <w:r>
        <w:t xml:space="preserve"> Accessed on 08/07/2026</w:t>
      </w:r>
      <w:r w:rsidR="00A550B1" w:rsidRPr="003F20AF">
        <w:br/>
      </w:r>
    </w:p>
    <w:sectPr w:rsidR="00A550B1" w:rsidRPr="003F20AF">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F7731" w14:textId="77777777" w:rsidR="00147D6C" w:rsidRDefault="00147D6C" w:rsidP="00761119">
      <w:pPr>
        <w:spacing w:after="0" w:line="240" w:lineRule="auto"/>
      </w:pPr>
      <w:r>
        <w:separator/>
      </w:r>
    </w:p>
  </w:endnote>
  <w:endnote w:type="continuationSeparator" w:id="0">
    <w:p w14:paraId="2C9C610D" w14:textId="77777777" w:rsidR="00147D6C" w:rsidRDefault="00147D6C" w:rsidP="00761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6604724"/>
      <w:docPartObj>
        <w:docPartGallery w:val="Page Numbers (Bottom of Page)"/>
        <w:docPartUnique/>
      </w:docPartObj>
    </w:sdtPr>
    <w:sdtContent>
      <w:sdt>
        <w:sdtPr>
          <w:id w:val="-1705238520"/>
          <w:docPartObj>
            <w:docPartGallery w:val="Page Numbers (Top of Page)"/>
            <w:docPartUnique/>
          </w:docPartObj>
        </w:sdtPr>
        <w:sdtContent>
          <w:p w14:paraId="2DC3EE84" w14:textId="75BC9550" w:rsidR="00761119" w:rsidRDefault="00761119">
            <w:pPr>
              <w:pStyle w:val="Foo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4BB9930F" w14:textId="77777777" w:rsidR="00761119" w:rsidRDefault="007611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E7D01" w14:textId="77777777" w:rsidR="00147D6C" w:rsidRDefault="00147D6C" w:rsidP="00761119">
      <w:pPr>
        <w:spacing w:after="0" w:line="240" w:lineRule="auto"/>
      </w:pPr>
      <w:r>
        <w:separator/>
      </w:r>
    </w:p>
  </w:footnote>
  <w:footnote w:type="continuationSeparator" w:id="0">
    <w:p w14:paraId="4240AAE0" w14:textId="77777777" w:rsidR="00147D6C" w:rsidRDefault="00147D6C" w:rsidP="007611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67C99"/>
    <w:multiLevelType w:val="hybridMultilevel"/>
    <w:tmpl w:val="6D327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F61DD3"/>
    <w:multiLevelType w:val="hybridMultilevel"/>
    <w:tmpl w:val="5F2219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690455"/>
    <w:multiLevelType w:val="hybridMultilevel"/>
    <w:tmpl w:val="BCACA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B713A1"/>
    <w:multiLevelType w:val="hybridMultilevel"/>
    <w:tmpl w:val="7E40BE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3919419">
    <w:abstractNumId w:val="0"/>
  </w:num>
  <w:num w:numId="2" w16cid:durableId="1854801364">
    <w:abstractNumId w:val="3"/>
  </w:num>
  <w:num w:numId="3" w16cid:durableId="1904023837">
    <w:abstractNumId w:val="1"/>
  </w:num>
  <w:num w:numId="4" w16cid:durableId="342243406">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ECF"/>
    <w:rsid w:val="0000252F"/>
    <w:rsid w:val="000029BE"/>
    <w:rsid w:val="00004D4A"/>
    <w:rsid w:val="000074B4"/>
    <w:rsid w:val="000125A3"/>
    <w:rsid w:val="00012A24"/>
    <w:rsid w:val="00013A14"/>
    <w:rsid w:val="00014E23"/>
    <w:rsid w:val="0001557A"/>
    <w:rsid w:val="00017F3F"/>
    <w:rsid w:val="00021840"/>
    <w:rsid w:val="000226D1"/>
    <w:rsid w:val="00024FC3"/>
    <w:rsid w:val="000254FC"/>
    <w:rsid w:val="00026832"/>
    <w:rsid w:val="0002718E"/>
    <w:rsid w:val="000323FF"/>
    <w:rsid w:val="00033B9B"/>
    <w:rsid w:val="00052C43"/>
    <w:rsid w:val="00054DE3"/>
    <w:rsid w:val="00055592"/>
    <w:rsid w:val="000669DE"/>
    <w:rsid w:val="000735B1"/>
    <w:rsid w:val="00074BB4"/>
    <w:rsid w:val="00076212"/>
    <w:rsid w:val="000767FA"/>
    <w:rsid w:val="0007694C"/>
    <w:rsid w:val="000823B1"/>
    <w:rsid w:val="0008243D"/>
    <w:rsid w:val="000871BD"/>
    <w:rsid w:val="00087B64"/>
    <w:rsid w:val="00090A7C"/>
    <w:rsid w:val="000931D8"/>
    <w:rsid w:val="00093D0F"/>
    <w:rsid w:val="00094F99"/>
    <w:rsid w:val="00096947"/>
    <w:rsid w:val="000B1AFA"/>
    <w:rsid w:val="000B27C2"/>
    <w:rsid w:val="000B2E90"/>
    <w:rsid w:val="000B4B2D"/>
    <w:rsid w:val="000B571C"/>
    <w:rsid w:val="000C5332"/>
    <w:rsid w:val="000D0DCB"/>
    <w:rsid w:val="000D36CC"/>
    <w:rsid w:val="000E2019"/>
    <w:rsid w:val="000E207B"/>
    <w:rsid w:val="000E2796"/>
    <w:rsid w:val="000E31CB"/>
    <w:rsid w:val="000E34A4"/>
    <w:rsid w:val="000E79F4"/>
    <w:rsid w:val="000F046C"/>
    <w:rsid w:val="000F06AC"/>
    <w:rsid w:val="0010074A"/>
    <w:rsid w:val="001064EB"/>
    <w:rsid w:val="00106B43"/>
    <w:rsid w:val="00107F52"/>
    <w:rsid w:val="001112A4"/>
    <w:rsid w:val="00111A60"/>
    <w:rsid w:val="00115154"/>
    <w:rsid w:val="00116652"/>
    <w:rsid w:val="0012051E"/>
    <w:rsid w:val="001226EF"/>
    <w:rsid w:val="00122F3F"/>
    <w:rsid w:val="00125D19"/>
    <w:rsid w:val="00126863"/>
    <w:rsid w:val="001269A2"/>
    <w:rsid w:val="00126ED9"/>
    <w:rsid w:val="001272FE"/>
    <w:rsid w:val="0012742F"/>
    <w:rsid w:val="00132EA1"/>
    <w:rsid w:val="00134668"/>
    <w:rsid w:val="001355D8"/>
    <w:rsid w:val="001358C7"/>
    <w:rsid w:val="00141C49"/>
    <w:rsid w:val="00147D6C"/>
    <w:rsid w:val="00150320"/>
    <w:rsid w:val="00151AC8"/>
    <w:rsid w:val="00154742"/>
    <w:rsid w:val="001674E0"/>
    <w:rsid w:val="00172BF8"/>
    <w:rsid w:val="00174B18"/>
    <w:rsid w:val="00180FFB"/>
    <w:rsid w:val="00181B9C"/>
    <w:rsid w:val="00181E07"/>
    <w:rsid w:val="001831C7"/>
    <w:rsid w:val="00187739"/>
    <w:rsid w:val="001933DD"/>
    <w:rsid w:val="00193837"/>
    <w:rsid w:val="00194928"/>
    <w:rsid w:val="00195B3A"/>
    <w:rsid w:val="001A4675"/>
    <w:rsid w:val="001B4222"/>
    <w:rsid w:val="001B6091"/>
    <w:rsid w:val="001B7BA2"/>
    <w:rsid w:val="001C0225"/>
    <w:rsid w:val="001C110F"/>
    <w:rsid w:val="001C19A7"/>
    <w:rsid w:val="001C350E"/>
    <w:rsid w:val="001C3773"/>
    <w:rsid w:val="001D64C3"/>
    <w:rsid w:val="001D70B2"/>
    <w:rsid w:val="001E03E6"/>
    <w:rsid w:val="001E0F26"/>
    <w:rsid w:val="001E1068"/>
    <w:rsid w:val="001E7906"/>
    <w:rsid w:val="001F3C09"/>
    <w:rsid w:val="001F5B8A"/>
    <w:rsid w:val="002032BC"/>
    <w:rsid w:val="002043E9"/>
    <w:rsid w:val="00204DCE"/>
    <w:rsid w:val="002119FD"/>
    <w:rsid w:val="002155A2"/>
    <w:rsid w:val="00221BE0"/>
    <w:rsid w:val="00226246"/>
    <w:rsid w:val="002300BD"/>
    <w:rsid w:val="00233498"/>
    <w:rsid w:val="00246921"/>
    <w:rsid w:val="00250057"/>
    <w:rsid w:val="0025060D"/>
    <w:rsid w:val="00251CD5"/>
    <w:rsid w:val="00260510"/>
    <w:rsid w:val="0026131F"/>
    <w:rsid w:val="0026342D"/>
    <w:rsid w:val="00264C3F"/>
    <w:rsid w:val="0026674F"/>
    <w:rsid w:val="002707E2"/>
    <w:rsid w:val="00281962"/>
    <w:rsid w:val="00281CAF"/>
    <w:rsid w:val="00285EB1"/>
    <w:rsid w:val="0028615E"/>
    <w:rsid w:val="002862F2"/>
    <w:rsid w:val="002911D6"/>
    <w:rsid w:val="0029385E"/>
    <w:rsid w:val="0029590F"/>
    <w:rsid w:val="00297C24"/>
    <w:rsid w:val="002A3CD4"/>
    <w:rsid w:val="002A6F83"/>
    <w:rsid w:val="002B01A8"/>
    <w:rsid w:val="002B1803"/>
    <w:rsid w:val="002B28F8"/>
    <w:rsid w:val="002B2CB0"/>
    <w:rsid w:val="002B3311"/>
    <w:rsid w:val="002B3888"/>
    <w:rsid w:val="002B3C5D"/>
    <w:rsid w:val="002B5277"/>
    <w:rsid w:val="002B6F17"/>
    <w:rsid w:val="002B73AC"/>
    <w:rsid w:val="002B7DD4"/>
    <w:rsid w:val="002C0C2B"/>
    <w:rsid w:val="002C1C40"/>
    <w:rsid w:val="002C26D7"/>
    <w:rsid w:val="002D26D6"/>
    <w:rsid w:val="002D5758"/>
    <w:rsid w:val="002D59C6"/>
    <w:rsid w:val="002E2418"/>
    <w:rsid w:val="002E27B8"/>
    <w:rsid w:val="002F2741"/>
    <w:rsid w:val="003003C8"/>
    <w:rsid w:val="003010BC"/>
    <w:rsid w:val="00305506"/>
    <w:rsid w:val="003126E6"/>
    <w:rsid w:val="00313AA3"/>
    <w:rsid w:val="003160C4"/>
    <w:rsid w:val="003162AA"/>
    <w:rsid w:val="0031656C"/>
    <w:rsid w:val="003179EE"/>
    <w:rsid w:val="00322C3A"/>
    <w:rsid w:val="00326EBB"/>
    <w:rsid w:val="00326FDA"/>
    <w:rsid w:val="00327CC0"/>
    <w:rsid w:val="003312AD"/>
    <w:rsid w:val="0033215D"/>
    <w:rsid w:val="00333981"/>
    <w:rsid w:val="003341CC"/>
    <w:rsid w:val="003346F9"/>
    <w:rsid w:val="00334DD2"/>
    <w:rsid w:val="00336330"/>
    <w:rsid w:val="00340547"/>
    <w:rsid w:val="003411FE"/>
    <w:rsid w:val="00343090"/>
    <w:rsid w:val="00343C7A"/>
    <w:rsid w:val="003467C0"/>
    <w:rsid w:val="00351B1E"/>
    <w:rsid w:val="00351B78"/>
    <w:rsid w:val="0035670C"/>
    <w:rsid w:val="00357DA2"/>
    <w:rsid w:val="0036683C"/>
    <w:rsid w:val="00370DAB"/>
    <w:rsid w:val="00375F84"/>
    <w:rsid w:val="003768A1"/>
    <w:rsid w:val="00376D7D"/>
    <w:rsid w:val="00377703"/>
    <w:rsid w:val="00387995"/>
    <w:rsid w:val="00387A01"/>
    <w:rsid w:val="00390795"/>
    <w:rsid w:val="00390B1F"/>
    <w:rsid w:val="00390DCE"/>
    <w:rsid w:val="00397CF4"/>
    <w:rsid w:val="003A1085"/>
    <w:rsid w:val="003A4C24"/>
    <w:rsid w:val="003A4CA9"/>
    <w:rsid w:val="003A674B"/>
    <w:rsid w:val="003A73D0"/>
    <w:rsid w:val="003B025C"/>
    <w:rsid w:val="003B4E81"/>
    <w:rsid w:val="003B4F80"/>
    <w:rsid w:val="003C3778"/>
    <w:rsid w:val="003C3DBB"/>
    <w:rsid w:val="003C7201"/>
    <w:rsid w:val="003C736D"/>
    <w:rsid w:val="003C7E34"/>
    <w:rsid w:val="003C7FEA"/>
    <w:rsid w:val="003D039A"/>
    <w:rsid w:val="003D27E8"/>
    <w:rsid w:val="003D2C25"/>
    <w:rsid w:val="003D38B7"/>
    <w:rsid w:val="003D5501"/>
    <w:rsid w:val="003D5DBE"/>
    <w:rsid w:val="003E0403"/>
    <w:rsid w:val="003F20AF"/>
    <w:rsid w:val="00402F23"/>
    <w:rsid w:val="00403460"/>
    <w:rsid w:val="004119E6"/>
    <w:rsid w:val="004132CC"/>
    <w:rsid w:val="00413318"/>
    <w:rsid w:val="00416D8E"/>
    <w:rsid w:val="004170EC"/>
    <w:rsid w:val="00420193"/>
    <w:rsid w:val="00423198"/>
    <w:rsid w:val="004238C6"/>
    <w:rsid w:val="00424BAE"/>
    <w:rsid w:val="00427120"/>
    <w:rsid w:val="00427BCC"/>
    <w:rsid w:val="00433B00"/>
    <w:rsid w:val="004357EF"/>
    <w:rsid w:val="00435C25"/>
    <w:rsid w:val="004415E0"/>
    <w:rsid w:val="00441DF0"/>
    <w:rsid w:val="0044270B"/>
    <w:rsid w:val="004437DB"/>
    <w:rsid w:val="0044598D"/>
    <w:rsid w:val="004465E4"/>
    <w:rsid w:val="00447F63"/>
    <w:rsid w:val="00453861"/>
    <w:rsid w:val="00453B1B"/>
    <w:rsid w:val="00454748"/>
    <w:rsid w:val="004550F8"/>
    <w:rsid w:val="00456A02"/>
    <w:rsid w:val="00460B37"/>
    <w:rsid w:val="004727EE"/>
    <w:rsid w:val="00474649"/>
    <w:rsid w:val="00474A5F"/>
    <w:rsid w:val="00477718"/>
    <w:rsid w:val="0048029C"/>
    <w:rsid w:val="004818AE"/>
    <w:rsid w:val="0048237F"/>
    <w:rsid w:val="004913D5"/>
    <w:rsid w:val="004A0B06"/>
    <w:rsid w:val="004A5174"/>
    <w:rsid w:val="004B1D0D"/>
    <w:rsid w:val="004B3D7F"/>
    <w:rsid w:val="004C1270"/>
    <w:rsid w:val="004C3DCA"/>
    <w:rsid w:val="004C7EE9"/>
    <w:rsid w:val="004D11BC"/>
    <w:rsid w:val="004E1394"/>
    <w:rsid w:val="004E27B2"/>
    <w:rsid w:val="004E3484"/>
    <w:rsid w:val="004E63EA"/>
    <w:rsid w:val="004F0295"/>
    <w:rsid w:val="004F035B"/>
    <w:rsid w:val="004F1148"/>
    <w:rsid w:val="004F6BB3"/>
    <w:rsid w:val="0050207D"/>
    <w:rsid w:val="00511541"/>
    <w:rsid w:val="00517180"/>
    <w:rsid w:val="00520AF6"/>
    <w:rsid w:val="00531550"/>
    <w:rsid w:val="00533153"/>
    <w:rsid w:val="0053331D"/>
    <w:rsid w:val="005334A0"/>
    <w:rsid w:val="00535475"/>
    <w:rsid w:val="005441AD"/>
    <w:rsid w:val="00546456"/>
    <w:rsid w:val="00547194"/>
    <w:rsid w:val="005514FE"/>
    <w:rsid w:val="00552632"/>
    <w:rsid w:val="00553F11"/>
    <w:rsid w:val="00563344"/>
    <w:rsid w:val="00565629"/>
    <w:rsid w:val="00570B13"/>
    <w:rsid w:val="00571540"/>
    <w:rsid w:val="00572F90"/>
    <w:rsid w:val="005738DD"/>
    <w:rsid w:val="00575B8E"/>
    <w:rsid w:val="00576F31"/>
    <w:rsid w:val="00586855"/>
    <w:rsid w:val="0059008C"/>
    <w:rsid w:val="00591483"/>
    <w:rsid w:val="00594EA1"/>
    <w:rsid w:val="005A07AB"/>
    <w:rsid w:val="005A1AAA"/>
    <w:rsid w:val="005A373C"/>
    <w:rsid w:val="005A67F1"/>
    <w:rsid w:val="005A74CB"/>
    <w:rsid w:val="005A7D3A"/>
    <w:rsid w:val="005A7FAE"/>
    <w:rsid w:val="005B1A86"/>
    <w:rsid w:val="005B294F"/>
    <w:rsid w:val="005B6D66"/>
    <w:rsid w:val="005C00F5"/>
    <w:rsid w:val="005C1CF1"/>
    <w:rsid w:val="005C2158"/>
    <w:rsid w:val="005C25BE"/>
    <w:rsid w:val="005C264E"/>
    <w:rsid w:val="005C436D"/>
    <w:rsid w:val="005D6145"/>
    <w:rsid w:val="005D64C8"/>
    <w:rsid w:val="005E5141"/>
    <w:rsid w:val="005F16EE"/>
    <w:rsid w:val="005F1C35"/>
    <w:rsid w:val="005F4026"/>
    <w:rsid w:val="005F5853"/>
    <w:rsid w:val="00612B2E"/>
    <w:rsid w:val="00617F36"/>
    <w:rsid w:val="00621E1E"/>
    <w:rsid w:val="006226E9"/>
    <w:rsid w:val="00633747"/>
    <w:rsid w:val="00636A30"/>
    <w:rsid w:val="006439EF"/>
    <w:rsid w:val="0066086E"/>
    <w:rsid w:val="006647CF"/>
    <w:rsid w:val="00666CA8"/>
    <w:rsid w:val="006705E8"/>
    <w:rsid w:val="006706AF"/>
    <w:rsid w:val="00672031"/>
    <w:rsid w:val="0067476E"/>
    <w:rsid w:val="00675FFC"/>
    <w:rsid w:val="006767CF"/>
    <w:rsid w:val="00683D29"/>
    <w:rsid w:val="0068436A"/>
    <w:rsid w:val="00684BF4"/>
    <w:rsid w:val="006952DA"/>
    <w:rsid w:val="00695791"/>
    <w:rsid w:val="006A51D1"/>
    <w:rsid w:val="006B2BCA"/>
    <w:rsid w:val="006C3529"/>
    <w:rsid w:val="006C587A"/>
    <w:rsid w:val="006D1FE1"/>
    <w:rsid w:val="006D304C"/>
    <w:rsid w:val="006D311B"/>
    <w:rsid w:val="006D3BFD"/>
    <w:rsid w:val="006D4856"/>
    <w:rsid w:val="006E3BC5"/>
    <w:rsid w:val="006E45D9"/>
    <w:rsid w:val="006F7B74"/>
    <w:rsid w:val="00710F7F"/>
    <w:rsid w:val="00714B09"/>
    <w:rsid w:val="00715661"/>
    <w:rsid w:val="00715CAB"/>
    <w:rsid w:val="00720A93"/>
    <w:rsid w:val="00720D0E"/>
    <w:rsid w:val="00723238"/>
    <w:rsid w:val="0072418E"/>
    <w:rsid w:val="0072649E"/>
    <w:rsid w:val="00727C5C"/>
    <w:rsid w:val="00733B2C"/>
    <w:rsid w:val="00733C8E"/>
    <w:rsid w:val="00733F6F"/>
    <w:rsid w:val="00736081"/>
    <w:rsid w:val="007427F5"/>
    <w:rsid w:val="00742F75"/>
    <w:rsid w:val="007449EA"/>
    <w:rsid w:val="00746BF6"/>
    <w:rsid w:val="00750768"/>
    <w:rsid w:val="00750B13"/>
    <w:rsid w:val="00755A26"/>
    <w:rsid w:val="007578E3"/>
    <w:rsid w:val="00761119"/>
    <w:rsid w:val="0076117E"/>
    <w:rsid w:val="00761AF3"/>
    <w:rsid w:val="00761F4C"/>
    <w:rsid w:val="007629AC"/>
    <w:rsid w:val="00766224"/>
    <w:rsid w:val="007668A5"/>
    <w:rsid w:val="007668B5"/>
    <w:rsid w:val="00766AA8"/>
    <w:rsid w:val="007716D3"/>
    <w:rsid w:val="00771B57"/>
    <w:rsid w:val="00771D83"/>
    <w:rsid w:val="007739A3"/>
    <w:rsid w:val="00777B5B"/>
    <w:rsid w:val="00777CF9"/>
    <w:rsid w:val="00781BFB"/>
    <w:rsid w:val="00782949"/>
    <w:rsid w:val="007920DB"/>
    <w:rsid w:val="0079368A"/>
    <w:rsid w:val="007955D2"/>
    <w:rsid w:val="00796207"/>
    <w:rsid w:val="007A01A5"/>
    <w:rsid w:val="007A0C21"/>
    <w:rsid w:val="007A1426"/>
    <w:rsid w:val="007A22AB"/>
    <w:rsid w:val="007A4367"/>
    <w:rsid w:val="007A541E"/>
    <w:rsid w:val="007B226E"/>
    <w:rsid w:val="007B3DB7"/>
    <w:rsid w:val="007B57BA"/>
    <w:rsid w:val="007B64D0"/>
    <w:rsid w:val="007B67E6"/>
    <w:rsid w:val="007B6DE6"/>
    <w:rsid w:val="007C2372"/>
    <w:rsid w:val="007C4D03"/>
    <w:rsid w:val="007D1CE6"/>
    <w:rsid w:val="007D4848"/>
    <w:rsid w:val="007E1DC5"/>
    <w:rsid w:val="007E74B1"/>
    <w:rsid w:val="007F196A"/>
    <w:rsid w:val="007F39C5"/>
    <w:rsid w:val="007F4CD2"/>
    <w:rsid w:val="008010AC"/>
    <w:rsid w:val="0080341B"/>
    <w:rsid w:val="008049B7"/>
    <w:rsid w:val="008056D7"/>
    <w:rsid w:val="00807879"/>
    <w:rsid w:val="00807EA4"/>
    <w:rsid w:val="00812117"/>
    <w:rsid w:val="00815309"/>
    <w:rsid w:val="00826617"/>
    <w:rsid w:val="008357D6"/>
    <w:rsid w:val="00836B1F"/>
    <w:rsid w:val="00836D9C"/>
    <w:rsid w:val="00837834"/>
    <w:rsid w:val="00840864"/>
    <w:rsid w:val="008425E8"/>
    <w:rsid w:val="008451F2"/>
    <w:rsid w:val="008514D8"/>
    <w:rsid w:val="008539EA"/>
    <w:rsid w:val="008553B6"/>
    <w:rsid w:val="00856CB6"/>
    <w:rsid w:val="00864AE2"/>
    <w:rsid w:val="00864EFD"/>
    <w:rsid w:val="00865123"/>
    <w:rsid w:val="0087576F"/>
    <w:rsid w:val="00877CD4"/>
    <w:rsid w:val="00880D90"/>
    <w:rsid w:val="008815F1"/>
    <w:rsid w:val="00883B0F"/>
    <w:rsid w:val="008878BE"/>
    <w:rsid w:val="008904EB"/>
    <w:rsid w:val="00890999"/>
    <w:rsid w:val="00890F01"/>
    <w:rsid w:val="00892C6B"/>
    <w:rsid w:val="00893837"/>
    <w:rsid w:val="00895238"/>
    <w:rsid w:val="00897AC7"/>
    <w:rsid w:val="008A36A5"/>
    <w:rsid w:val="008A4686"/>
    <w:rsid w:val="008B2C74"/>
    <w:rsid w:val="008B420A"/>
    <w:rsid w:val="008B59D6"/>
    <w:rsid w:val="008B7FB7"/>
    <w:rsid w:val="008C0C5D"/>
    <w:rsid w:val="008C7922"/>
    <w:rsid w:val="008D21C1"/>
    <w:rsid w:val="008D5413"/>
    <w:rsid w:val="008D6F0E"/>
    <w:rsid w:val="008E3191"/>
    <w:rsid w:val="008E7454"/>
    <w:rsid w:val="008F3FE7"/>
    <w:rsid w:val="008F69A3"/>
    <w:rsid w:val="008F6C65"/>
    <w:rsid w:val="00903FBC"/>
    <w:rsid w:val="00905FBE"/>
    <w:rsid w:val="00907685"/>
    <w:rsid w:val="0091030E"/>
    <w:rsid w:val="009202EF"/>
    <w:rsid w:val="00922EDB"/>
    <w:rsid w:val="00925810"/>
    <w:rsid w:val="00926D33"/>
    <w:rsid w:val="00927A3A"/>
    <w:rsid w:val="009319E2"/>
    <w:rsid w:val="00935154"/>
    <w:rsid w:val="0093593E"/>
    <w:rsid w:val="00937F03"/>
    <w:rsid w:val="0094252D"/>
    <w:rsid w:val="00942892"/>
    <w:rsid w:val="00943779"/>
    <w:rsid w:val="00943E2C"/>
    <w:rsid w:val="00944820"/>
    <w:rsid w:val="00945B92"/>
    <w:rsid w:val="00946B4D"/>
    <w:rsid w:val="00952ACD"/>
    <w:rsid w:val="00953B85"/>
    <w:rsid w:val="00964D05"/>
    <w:rsid w:val="0096614D"/>
    <w:rsid w:val="00966E1A"/>
    <w:rsid w:val="00974DBD"/>
    <w:rsid w:val="009757D8"/>
    <w:rsid w:val="009814B4"/>
    <w:rsid w:val="009868A2"/>
    <w:rsid w:val="00990650"/>
    <w:rsid w:val="009911E5"/>
    <w:rsid w:val="00994430"/>
    <w:rsid w:val="00996639"/>
    <w:rsid w:val="009A3BD9"/>
    <w:rsid w:val="009A7224"/>
    <w:rsid w:val="009B25F9"/>
    <w:rsid w:val="009B333C"/>
    <w:rsid w:val="009B5E86"/>
    <w:rsid w:val="009C61AE"/>
    <w:rsid w:val="009C6692"/>
    <w:rsid w:val="009C79F9"/>
    <w:rsid w:val="009D0048"/>
    <w:rsid w:val="009D21BE"/>
    <w:rsid w:val="009E2119"/>
    <w:rsid w:val="009E4FEB"/>
    <w:rsid w:val="009E781F"/>
    <w:rsid w:val="009F07EA"/>
    <w:rsid w:val="009F1B69"/>
    <w:rsid w:val="009F44D0"/>
    <w:rsid w:val="009F4DA2"/>
    <w:rsid w:val="00A03B57"/>
    <w:rsid w:val="00A047AC"/>
    <w:rsid w:val="00A10A32"/>
    <w:rsid w:val="00A11467"/>
    <w:rsid w:val="00A11783"/>
    <w:rsid w:val="00A177C0"/>
    <w:rsid w:val="00A21442"/>
    <w:rsid w:val="00A232CF"/>
    <w:rsid w:val="00A23512"/>
    <w:rsid w:val="00A305F7"/>
    <w:rsid w:val="00A362BB"/>
    <w:rsid w:val="00A41B30"/>
    <w:rsid w:val="00A41FE9"/>
    <w:rsid w:val="00A5020C"/>
    <w:rsid w:val="00A50C4F"/>
    <w:rsid w:val="00A5118A"/>
    <w:rsid w:val="00A51DDA"/>
    <w:rsid w:val="00A537F3"/>
    <w:rsid w:val="00A550B1"/>
    <w:rsid w:val="00A55B1C"/>
    <w:rsid w:val="00A6430C"/>
    <w:rsid w:val="00A6520B"/>
    <w:rsid w:val="00A65706"/>
    <w:rsid w:val="00A66B2E"/>
    <w:rsid w:val="00A75C69"/>
    <w:rsid w:val="00A8051E"/>
    <w:rsid w:val="00A8681B"/>
    <w:rsid w:val="00A9018D"/>
    <w:rsid w:val="00A95C0D"/>
    <w:rsid w:val="00AA690D"/>
    <w:rsid w:val="00AB05DC"/>
    <w:rsid w:val="00AB2C8E"/>
    <w:rsid w:val="00AB569B"/>
    <w:rsid w:val="00AB6347"/>
    <w:rsid w:val="00AD06A2"/>
    <w:rsid w:val="00AD15C0"/>
    <w:rsid w:val="00AD4E69"/>
    <w:rsid w:val="00AD5851"/>
    <w:rsid w:val="00AD710D"/>
    <w:rsid w:val="00AE317C"/>
    <w:rsid w:val="00AE35DD"/>
    <w:rsid w:val="00AE670D"/>
    <w:rsid w:val="00AE678D"/>
    <w:rsid w:val="00AF17FE"/>
    <w:rsid w:val="00AF669E"/>
    <w:rsid w:val="00AF6D02"/>
    <w:rsid w:val="00B02DFA"/>
    <w:rsid w:val="00B04FD9"/>
    <w:rsid w:val="00B0683A"/>
    <w:rsid w:val="00B15DD3"/>
    <w:rsid w:val="00B15F38"/>
    <w:rsid w:val="00B17C35"/>
    <w:rsid w:val="00B20BF3"/>
    <w:rsid w:val="00B21755"/>
    <w:rsid w:val="00B26026"/>
    <w:rsid w:val="00B34047"/>
    <w:rsid w:val="00B34FFB"/>
    <w:rsid w:val="00B3504D"/>
    <w:rsid w:val="00B358F1"/>
    <w:rsid w:val="00B365FC"/>
    <w:rsid w:val="00B379E1"/>
    <w:rsid w:val="00B4204B"/>
    <w:rsid w:val="00B572FD"/>
    <w:rsid w:val="00B6703B"/>
    <w:rsid w:val="00B866F9"/>
    <w:rsid w:val="00B96130"/>
    <w:rsid w:val="00BA4A30"/>
    <w:rsid w:val="00BA5C7F"/>
    <w:rsid w:val="00BA6FE2"/>
    <w:rsid w:val="00BC6198"/>
    <w:rsid w:val="00BD073C"/>
    <w:rsid w:val="00BD076D"/>
    <w:rsid w:val="00BD1829"/>
    <w:rsid w:val="00BD4EC2"/>
    <w:rsid w:val="00BF13B3"/>
    <w:rsid w:val="00BF3DA1"/>
    <w:rsid w:val="00BF6384"/>
    <w:rsid w:val="00C018E5"/>
    <w:rsid w:val="00C01F2A"/>
    <w:rsid w:val="00C07BB7"/>
    <w:rsid w:val="00C116D6"/>
    <w:rsid w:val="00C13C9D"/>
    <w:rsid w:val="00C14141"/>
    <w:rsid w:val="00C250A1"/>
    <w:rsid w:val="00C276BC"/>
    <w:rsid w:val="00C30E46"/>
    <w:rsid w:val="00C3362B"/>
    <w:rsid w:val="00C36AAB"/>
    <w:rsid w:val="00C41875"/>
    <w:rsid w:val="00C41F80"/>
    <w:rsid w:val="00C532BC"/>
    <w:rsid w:val="00C6651F"/>
    <w:rsid w:val="00C71E02"/>
    <w:rsid w:val="00C777E2"/>
    <w:rsid w:val="00C827EF"/>
    <w:rsid w:val="00C938D9"/>
    <w:rsid w:val="00C9398C"/>
    <w:rsid w:val="00C95050"/>
    <w:rsid w:val="00C97935"/>
    <w:rsid w:val="00CA4DB5"/>
    <w:rsid w:val="00CA5A4C"/>
    <w:rsid w:val="00CB3771"/>
    <w:rsid w:val="00CB40BA"/>
    <w:rsid w:val="00CB7EFE"/>
    <w:rsid w:val="00CC4146"/>
    <w:rsid w:val="00CD2C4D"/>
    <w:rsid w:val="00CD340D"/>
    <w:rsid w:val="00CE0A8D"/>
    <w:rsid w:val="00CE2B42"/>
    <w:rsid w:val="00CF49BD"/>
    <w:rsid w:val="00D02942"/>
    <w:rsid w:val="00D040DA"/>
    <w:rsid w:val="00D043A0"/>
    <w:rsid w:val="00D05D02"/>
    <w:rsid w:val="00D11F51"/>
    <w:rsid w:val="00D12909"/>
    <w:rsid w:val="00D13D4A"/>
    <w:rsid w:val="00D15F1D"/>
    <w:rsid w:val="00D16797"/>
    <w:rsid w:val="00D17D60"/>
    <w:rsid w:val="00D20AF0"/>
    <w:rsid w:val="00D21206"/>
    <w:rsid w:val="00D25027"/>
    <w:rsid w:val="00D25748"/>
    <w:rsid w:val="00D26798"/>
    <w:rsid w:val="00D42F62"/>
    <w:rsid w:val="00D44962"/>
    <w:rsid w:val="00D4667E"/>
    <w:rsid w:val="00D52BD1"/>
    <w:rsid w:val="00D55DD1"/>
    <w:rsid w:val="00D5703F"/>
    <w:rsid w:val="00D71D85"/>
    <w:rsid w:val="00D74898"/>
    <w:rsid w:val="00D8368F"/>
    <w:rsid w:val="00D83E50"/>
    <w:rsid w:val="00D86392"/>
    <w:rsid w:val="00D9626E"/>
    <w:rsid w:val="00DA150F"/>
    <w:rsid w:val="00DA205F"/>
    <w:rsid w:val="00DA3510"/>
    <w:rsid w:val="00DB13E6"/>
    <w:rsid w:val="00DB5C43"/>
    <w:rsid w:val="00DC1377"/>
    <w:rsid w:val="00DC1760"/>
    <w:rsid w:val="00DC3356"/>
    <w:rsid w:val="00DC51FA"/>
    <w:rsid w:val="00DC5DF6"/>
    <w:rsid w:val="00DC696C"/>
    <w:rsid w:val="00DC6994"/>
    <w:rsid w:val="00DD41CA"/>
    <w:rsid w:val="00DD5732"/>
    <w:rsid w:val="00DE0377"/>
    <w:rsid w:val="00DE2482"/>
    <w:rsid w:val="00DE5347"/>
    <w:rsid w:val="00DE6AAF"/>
    <w:rsid w:val="00DF0A80"/>
    <w:rsid w:val="00DF4FFF"/>
    <w:rsid w:val="00E02A95"/>
    <w:rsid w:val="00E05F30"/>
    <w:rsid w:val="00E0777F"/>
    <w:rsid w:val="00E23CFF"/>
    <w:rsid w:val="00E26A3E"/>
    <w:rsid w:val="00E30B21"/>
    <w:rsid w:val="00E3125B"/>
    <w:rsid w:val="00E324BF"/>
    <w:rsid w:val="00E37D89"/>
    <w:rsid w:val="00E450D4"/>
    <w:rsid w:val="00E4565D"/>
    <w:rsid w:val="00E45EB4"/>
    <w:rsid w:val="00E501E5"/>
    <w:rsid w:val="00E51984"/>
    <w:rsid w:val="00E6794F"/>
    <w:rsid w:val="00E70975"/>
    <w:rsid w:val="00E728AC"/>
    <w:rsid w:val="00E73C6D"/>
    <w:rsid w:val="00E76776"/>
    <w:rsid w:val="00E76A8B"/>
    <w:rsid w:val="00E80151"/>
    <w:rsid w:val="00E80F1C"/>
    <w:rsid w:val="00E81059"/>
    <w:rsid w:val="00E8198C"/>
    <w:rsid w:val="00E835F8"/>
    <w:rsid w:val="00E84862"/>
    <w:rsid w:val="00E855B6"/>
    <w:rsid w:val="00E86332"/>
    <w:rsid w:val="00E87145"/>
    <w:rsid w:val="00E875BA"/>
    <w:rsid w:val="00E9668C"/>
    <w:rsid w:val="00EA256F"/>
    <w:rsid w:val="00EA4807"/>
    <w:rsid w:val="00EA535D"/>
    <w:rsid w:val="00EA6195"/>
    <w:rsid w:val="00EA6EB1"/>
    <w:rsid w:val="00EB7555"/>
    <w:rsid w:val="00EC0CB2"/>
    <w:rsid w:val="00EC42ED"/>
    <w:rsid w:val="00EC44E8"/>
    <w:rsid w:val="00ED36BD"/>
    <w:rsid w:val="00EE19F9"/>
    <w:rsid w:val="00EE23ED"/>
    <w:rsid w:val="00EE53A4"/>
    <w:rsid w:val="00EE64A1"/>
    <w:rsid w:val="00F00747"/>
    <w:rsid w:val="00F043B2"/>
    <w:rsid w:val="00F05595"/>
    <w:rsid w:val="00F05801"/>
    <w:rsid w:val="00F11F07"/>
    <w:rsid w:val="00F15407"/>
    <w:rsid w:val="00F20F58"/>
    <w:rsid w:val="00F3220C"/>
    <w:rsid w:val="00F3763C"/>
    <w:rsid w:val="00F37DE4"/>
    <w:rsid w:val="00F4041D"/>
    <w:rsid w:val="00F41A97"/>
    <w:rsid w:val="00F42816"/>
    <w:rsid w:val="00F43B2D"/>
    <w:rsid w:val="00F45798"/>
    <w:rsid w:val="00F469C2"/>
    <w:rsid w:val="00F515D2"/>
    <w:rsid w:val="00F52BC2"/>
    <w:rsid w:val="00F54D10"/>
    <w:rsid w:val="00F601B7"/>
    <w:rsid w:val="00F60BBB"/>
    <w:rsid w:val="00F61A49"/>
    <w:rsid w:val="00F62028"/>
    <w:rsid w:val="00F64ED3"/>
    <w:rsid w:val="00F7135D"/>
    <w:rsid w:val="00F72ECF"/>
    <w:rsid w:val="00F73867"/>
    <w:rsid w:val="00F73952"/>
    <w:rsid w:val="00F81AD6"/>
    <w:rsid w:val="00F8324A"/>
    <w:rsid w:val="00F8569A"/>
    <w:rsid w:val="00F85D93"/>
    <w:rsid w:val="00F875C8"/>
    <w:rsid w:val="00F913B2"/>
    <w:rsid w:val="00F91AB4"/>
    <w:rsid w:val="00F959BC"/>
    <w:rsid w:val="00F978FA"/>
    <w:rsid w:val="00F97D41"/>
    <w:rsid w:val="00FA0781"/>
    <w:rsid w:val="00FA0C45"/>
    <w:rsid w:val="00FA13EA"/>
    <w:rsid w:val="00FA2ADF"/>
    <w:rsid w:val="00FA3525"/>
    <w:rsid w:val="00FA78FD"/>
    <w:rsid w:val="00FB64BB"/>
    <w:rsid w:val="00FC2D6E"/>
    <w:rsid w:val="00FC5D96"/>
    <w:rsid w:val="00FC615C"/>
    <w:rsid w:val="00FD282D"/>
    <w:rsid w:val="00FD2F98"/>
    <w:rsid w:val="00FD3655"/>
    <w:rsid w:val="00FE3A7D"/>
    <w:rsid w:val="00FE678D"/>
    <w:rsid w:val="00FE7086"/>
    <w:rsid w:val="00FF279E"/>
    <w:rsid w:val="00FF4D41"/>
    <w:rsid w:val="00FF5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88E18"/>
  <w15:chartTrackingRefBased/>
  <w15:docId w15:val="{110EF4BC-B4AD-4928-A1C7-DC6485B99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2EC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F72EC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F72ECF"/>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F72ECF"/>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F72ECF"/>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F72E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2E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2E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2E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ECF"/>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F72ECF"/>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F72ECF"/>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72ECF"/>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F72ECF"/>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F72E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2E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2E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2ECF"/>
    <w:rPr>
      <w:rFonts w:eastAsiaTheme="majorEastAsia" w:cstheme="majorBidi"/>
      <w:color w:val="272727" w:themeColor="text1" w:themeTint="D8"/>
    </w:rPr>
  </w:style>
  <w:style w:type="paragraph" w:styleId="Title">
    <w:name w:val="Title"/>
    <w:basedOn w:val="Normal"/>
    <w:next w:val="Normal"/>
    <w:link w:val="TitleChar"/>
    <w:uiPriority w:val="10"/>
    <w:qFormat/>
    <w:rsid w:val="00F72E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2E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2E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2E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2ECF"/>
    <w:pPr>
      <w:spacing w:before="160"/>
      <w:jc w:val="center"/>
    </w:pPr>
    <w:rPr>
      <w:i/>
      <w:iCs/>
      <w:color w:val="404040" w:themeColor="text1" w:themeTint="BF"/>
    </w:rPr>
  </w:style>
  <w:style w:type="character" w:customStyle="1" w:styleId="QuoteChar">
    <w:name w:val="Quote Char"/>
    <w:basedOn w:val="DefaultParagraphFont"/>
    <w:link w:val="Quote"/>
    <w:uiPriority w:val="29"/>
    <w:rsid w:val="00F72ECF"/>
    <w:rPr>
      <w:i/>
      <w:iCs/>
      <w:color w:val="404040" w:themeColor="text1" w:themeTint="BF"/>
    </w:rPr>
  </w:style>
  <w:style w:type="paragraph" w:styleId="ListParagraph">
    <w:name w:val="List Paragraph"/>
    <w:basedOn w:val="Normal"/>
    <w:uiPriority w:val="34"/>
    <w:qFormat/>
    <w:rsid w:val="00F72ECF"/>
    <w:pPr>
      <w:ind w:left="720"/>
      <w:contextualSpacing/>
    </w:pPr>
  </w:style>
  <w:style w:type="character" w:styleId="IntenseEmphasis">
    <w:name w:val="Intense Emphasis"/>
    <w:basedOn w:val="DefaultParagraphFont"/>
    <w:uiPriority w:val="21"/>
    <w:qFormat/>
    <w:rsid w:val="00F72ECF"/>
    <w:rPr>
      <w:i/>
      <w:iCs/>
      <w:color w:val="2E74B5" w:themeColor="accent1" w:themeShade="BF"/>
    </w:rPr>
  </w:style>
  <w:style w:type="paragraph" w:styleId="IntenseQuote">
    <w:name w:val="Intense Quote"/>
    <w:basedOn w:val="Normal"/>
    <w:next w:val="Normal"/>
    <w:link w:val="IntenseQuoteChar"/>
    <w:uiPriority w:val="30"/>
    <w:qFormat/>
    <w:rsid w:val="00F72EC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72ECF"/>
    <w:rPr>
      <w:i/>
      <w:iCs/>
      <w:color w:val="2E74B5" w:themeColor="accent1" w:themeShade="BF"/>
    </w:rPr>
  </w:style>
  <w:style w:type="character" w:styleId="IntenseReference">
    <w:name w:val="Intense Reference"/>
    <w:basedOn w:val="DefaultParagraphFont"/>
    <w:uiPriority w:val="32"/>
    <w:qFormat/>
    <w:rsid w:val="00F72ECF"/>
    <w:rPr>
      <w:b/>
      <w:bCs/>
      <w:smallCaps/>
      <w:color w:val="2E74B5" w:themeColor="accent1" w:themeShade="BF"/>
      <w:spacing w:val="5"/>
    </w:rPr>
  </w:style>
  <w:style w:type="paragraph" w:styleId="Header">
    <w:name w:val="header"/>
    <w:basedOn w:val="Normal"/>
    <w:link w:val="HeaderChar"/>
    <w:uiPriority w:val="99"/>
    <w:unhideWhenUsed/>
    <w:rsid w:val="007611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1119"/>
  </w:style>
  <w:style w:type="paragraph" w:styleId="Footer">
    <w:name w:val="footer"/>
    <w:basedOn w:val="Normal"/>
    <w:link w:val="FooterChar"/>
    <w:uiPriority w:val="99"/>
    <w:unhideWhenUsed/>
    <w:rsid w:val="007611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1119"/>
  </w:style>
  <w:style w:type="paragraph" w:styleId="TOCHeading">
    <w:name w:val="TOC Heading"/>
    <w:basedOn w:val="Heading1"/>
    <w:next w:val="Normal"/>
    <w:uiPriority w:val="39"/>
    <w:unhideWhenUsed/>
    <w:qFormat/>
    <w:rsid w:val="00226246"/>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8056D7"/>
    <w:pPr>
      <w:tabs>
        <w:tab w:val="right" w:leader="dot" w:pos="9016"/>
      </w:tabs>
      <w:spacing w:after="100"/>
    </w:pPr>
  </w:style>
  <w:style w:type="character" w:styleId="Hyperlink">
    <w:name w:val="Hyperlink"/>
    <w:basedOn w:val="DefaultParagraphFont"/>
    <w:uiPriority w:val="99"/>
    <w:unhideWhenUsed/>
    <w:rsid w:val="00033B9B"/>
    <w:rPr>
      <w:color w:val="0563C1" w:themeColor="hyperlink"/>
      <w:u w:val="single"/>
    </w:rPr>
  </w:style>
  <w:style w:type="paragraph" w:styleId="TOC2">
    <w:name w:val="toc 2"/>
    <w:basedOn w:val="Normal"/>
    <w:next w:val="Normal"/>
    <w:autoRedefine/>
    <w:uiPriority w:val="39"/>
    <w:unhideWhenUsed/>
    <w:rsid w:val="00033B9B"/>
    <w:pPr>
      <w:spacing w:after="100"/>
      <w:ind w:left="220"/>
    </w:pPr>
  </w:style>
  <w:style w:type="character" w:styleId="UnresolvedMention">
    <w:name w:val="Unresolved Mention"/>
    <w:basedOn w:val="DefaultParagraphFont"/>
    <w:uiPriority w:val="99"/>
    <w:semiHidden/>
    <w:unhideWhenUsed/>
    <w:rsid w:val="00334DD2"/>
    <w:rPr>
      <w:color w:val="605E5C"/>
      <w:shd w:val="clear" w:color="auto" w:fill="E1DFDD"/>
    </w:rPr>
  </w:style>
  <w:style w:type="character" w:styleId="FollowedHyperlink">
    <w:name w:val="FollowedHyperlink"/>
    <w:basedOn w:val="DefaultParagraphFont"/>
    <w:uiPriority w:val="99"/>
    <w:semiHidden/>
    <w:unhideWhenUsed/>
    <w:rsid w:val="00D4667E"/>
    <w:rPr>
      <w:color w:val="954F72" w:themeColor="followedHyperlink"/>
      <w:u w:val="single"/>
    </w:rPr>
  </w:style>
  <w:style w:type="paragraph" w:styleId="Caption">
    <w:name w:val="caption"/>
    <w:basedOn w:val="Normal"/>
    <w:next w:val="Normal"/>
    <w:uiPriority w:val="35"/>
    <w:unhideWhenUsed/>
    <w:qFormat/>
    <w:rsid w:val="003A73D0"/>
    <w:pPr>
      <w:spacing w:after="200" w:line="240" w:lineRule="auto"/>
    </w:pPr>
    <w:rPr>
      <w:i/>
      <w:iCs/>
      <w:color w:val="44546A" w:themeColor="text2"/>
      <w:sz w:val="18"/>
      <w:szCs w:val="18"/>
    </w:rPr>
  </w:style>
  <w:style w:type="paragraph" w:styleId="NormalWeb">
    <w:name w:val="Normal (Web)"/>
    <w:basedOn w:val="Normal"/>
    <w:uiPriority w:val="99"/>
    <w:unhideWhenUsed/>
    <w:rsid w:val="00553F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math-inline">
    <w:name w:val="math-inline"/>
    <w:basedOn w:val="DefaultParagraphFont"/>
    <w:rsid w:val="00553F11"/>
  </w:style>
  <w:style w:type="paragraph" w:styleId="TOC3">
    <w:name w:val="toc 3"/>
    <w:basedOn w:val="Normal"/>
    <w:next w:val="Normal"/>
    <w:autoRedefine/>
    <w:uiPriority w:val="39"/>
    <w:unhideWhenUsed/>
    <w:rsid w:val="00F73952"/>
    <w:pPr>
      <w:spacing w:after="100"/>
      <w:ind w:left="440"/>
    </w:pPr>
  </w:style>
  <w:style w:type="character" w:customStyle="1" w:styleId="url">
    <w:name w:val="url"/>
    <w:basedOn w:val="DefaultParagraphFont"/>
    <w:rsid w:val="001E0F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cibse.org/knowledge-research/knowledge-portal/tm52-the-limits-of-thermal-comfort-avoiding-overheating-in-european-buildings" TargetMode="External"/><Relationship Id="rId18" Type="http://schemas.openxmlformats.org/officeDocument/2006/relationships/hyperlink" Target="https://www.gov.uk/guidanc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passivehouse.com/en/home/" TargetMode="External"/><Relationship Id="rId7" Type="http://schemas.openxmlformats.org/officeDocument/2006/relationships/endnotes" Target="endnotes.xml"/><Relationship Id="rId12" Type="http://schemas.openxmlformats.org/officeDocument/2006/relationships/hyperlink" Target="https://www.gov.uk/government/publications/" TargetMode="External"/><Relationship Id="rId17" Type="http://schemas.openxmlformats.org/officeDocument/2006/relationships/hyperlink" Target="https://www.gov.uk/government/publications/ventilation-approved-document-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uk/guidance/" TargetMode="External"/><Relationship Id="rId20" Type="http://schemas.openxmlformats.org/officeDocument/2006/relationships/hyperlink" Target="https://www.leti.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rrem.eu" TargetMode="External"/><Relationship Id="rId24" Type="http://schemas.openxmlformats.org/officeDocument/2006/relationships/hyperlink" Target="https://www.rics.org/content/dam/ricsglobal/documents/standards/Whole_life_carbon_assessment_PS_Sept23.pdf" TargetMode="External"/><Relationship Id="rId5" Type="http://schemas.openxmlformats.org/officeDocument/2006/relationships/webSettings" Target="webSettings.xml"/><Relationship Id="rId15" Type="http://schemas.openxmlformats.org/officeDocument/2006/relationships/hyperlink" Target="https://www.legislation.gov.uk/" TargetMode="External"/><Relationship Id="rId23" Type="http://schemas.openxmlformats.org/officeDocument/2006/relationships/hyperlink" Target="https://worldgbc.org/" TargetMode="External"/><Relationship Id="rId10" Type="http://schemas.openxmlformats.org/officeDocument/2006/relationships/image" Target="media/image3.emf"/><Relationship Id="rId19" Type="http://schemas.openxmlformats.org/officeDocument/2006/relationships/hyperlink" Target="https://www.landecon.cam.ac.uk/"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bcu.ac.uk/repository" TargetMode="External"/><Relationship Id="rId22" Type="http://schemas.openxmlformats.org/officeDocument/2006/relationships/hyperlink" Target="https://www.ukgbc.or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A15BD-31F7-4CFA-8620-344B1E4CD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2158</TotalTime>
  <Pages>9</Pages>
  <Words>2742</Words>
  <Characters>15633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18339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Louis</dc:creator>
  <cp:keywords/>
  <dc:description/>
  <cp:lastModifiedBy>Gale, Finn</cp:lastModifiedBy>
  <cp:revision>184</cp:revision>
  <dcterms:created xsi:type="dcterms:W3CDTF">2026-06-15T08:32:00Z</dcterms:created>
  <dcterms:modified xsi:type="dcterms:W3CDTF">2026-07-08T15:17:00Z</dcterms:modified>
</cp:coreProperties>
</file>