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C12155" w14:textId="45F0A878" w:rsidR="00FD457D" w:rsidRPr="00FD457D" w:rsidRDefault="00FD457D" w:rsidP="00FD457D">
      <w:pPr>
        <w:spacing w:after="0" w:line="240" w:lineRule="auto"/>
        <w:ind w:left="-180" w:right="-334"/>
        <w:rPr>
          <w:rFonts w:ascii="Georgia" w:eastAsia="SimSun" w:hAnsi="Georgia" w:cs="Times New Roman"/>
          <w:color w:val="000000"/>
          <w:sz w:val="21"/>
          <w:szCs w:val="21"/>
          <w:lang w:eastAsia="zh-CN"/>
        </w:rPr>
      </w:pPr>
      <w:r w:rsidRPr="00FD457D">
        <w:rPr>
          <w:rFonts w:ascii="Georgia" w:eastAsia="SimSun" w:hAnsi="Georgia" w:cs="Times New Roman"/>
          <w:noProof/>
          <w:color w:val="000000"/>
          <w:sz w:val="21"/>
          <w:szCs w:val="21"/>
          <w:lang w:eastAsia="zh-CN"/>
        </w:rPr>
        <w:drawing>
          <wp:inline distT="0" distB="0" distL="0" distR="0" wp14:anchorId="06617B3A" wp14:editId="7B7EAE46">
            <wp:extent cx="1908175" cy="636270"/>
            <wp:effectExtent l="19050" t="19050" r="15875"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60289BBC" w14:textId="77777777" w:rsidR="00FD457D" w:rsidRPr="00FD457D" w:rsidRDefault="00FD457D" w:rsidP="00FD457D">
      <w:pPr>
        <w:spacing w:after="0" w:line="240" w:lineRule="auto"/>
        <w:ind w:left="-180" w:right="-334"/>
        <w:rPr>
          <w:rFonts w:ascii="Georgia" w:eastAsia="SimSun" w:hAnsi="Georgia" w:cs="Times New Roman"/>
          <w:color w:val="000000"/>
          <w:sz w:val="21"/>
          <w:szCs w:val="21"/>
          <w:lang w:eastAsia="zh-CN"/>
        </w:rPr>
      </w:pPr>
    </w:p>
    <w:p w14:paraId="10EB5DAE" w14:textId="77777777" w:rsidR="00FD457D" w:rsidRPr="00FD457D" w:rsidRDefault="00FD457D" w:rsidP="00FD457D">
      <w:pPr>
        <w:spacing w:after="0" w:line="240" w:lineRule="auto"/>
        <w:ind w:left="-180" w:right="-334"/>
        <w:rPr>
          <w:rFonts w:ascii="Georgia" w:eastAsia="SimSun" w:hAnsi="Georgia" w:cs="Times New Roman"/>
          <w:color w:val="000000"/>
          <w:sz w:val="21"/>
          <w:szCs w:val="21"/>
          <w:lang w:eastAsia="zh-CN"/>
        </w:rPr>
      </w:pPr>
    </w:p>
    <w:p w14:paraId="3075A2A5" w14:textId="77777777" w:rsidR="00FD457D" w:rsidRPr="00FD457D" w:rsidRDefault="00FD457D" w:rsidP="00FD457D">
      <w:pPr>
        <w:spacing w:after="0" w:line="240" w:lineRule="auto"/>
        <w:ind w:left="-180" w:right="-334"/>
        <w:jc w:val="center"/>
        <w:rPr>
          <w:rFonts w:ascii="Arial" w:eastAsia="SimSun" w:hAnsi="Arial" w:cs="Arial"/>
          <w:b/>
          <w:color w:val="000000"/>
          <w:sz w:val="28"/>
          <w:szCs w:val="28"/>
          <w:lang w:val="cy-GB" w:eastAsia="zh-CN"/>
        </w:rPr>
      </w:pPr>
      <w:r w:rsidRPr="00FD457D">
        <w:rPr>
          <w:rFonts w:ascii="Arial" w:eastAsia="SimSun" w:hAnsi="Arial" w:cs="Arial"/>
          <w:b/>
          <w:color w:val="000000"/>
          <w:sz w:val="28"/>
          <w:szCs w:val="28"/>
          <w:lang w:val="cy-GB" w:eastAsia="zh-CN"/>
        </w:rPr>
        <w:t xml:space="preserve">Postgraduate/Distance Learning </w:t>
      </w:r>
    </w:p>
    <w:p w14:paraId="2BED63E4" w14:textId="77777777" w:rsidR="00FD457D" w:rsidRPr="00FD457D" w:rsidRDefault="00FD457D" w:rsidP="00FD457D">
      <w:pPr>
        <w:spacing w:after="0" w:line="240" w:lineRule="auto"/>
        <w:ind w:left="-180" w:right="-334"/>
        <w:jc w:val="center"/>
        <w:rPr>
          <w:rFonts w:ascii="Arial" w:eastAsia="SimSun" w:hAnsi="Arial" w:cs="Arial"/>
          <w:b/>
          <w:color w:val="000000"/>
          <w:sz w:val="28"/>
          <w:szCs w:val="28"/>
          <w:lang w:eastAsia="zh-CN"/>
        </w:rPr>
      </w:pPr>
      <w:r w:rsidRPr="00FD457D">
        <w:rPr>
          <w:rFonts w:ascii="Arial" w:eastAsia="SimSun" w:hAnsi="Arial" w:cs="Arial"/>
          <w:b/>
          <w:color w:val="000000"/>
          <w:sz w:val="28"/>
          <w:szCs w:val="28"/>
          <w:lang w:val="cy-GB" w:eastAsia="zh-CN"/>
        </w:rPr>
        <w:t>Assignment coversheet &amp; feedback form</w:t>
      </w:r>
    </w:p>
    <w:p w14:paraId="4D1DF466" w14:textId="77777777" w:rsidR="00FD457D" w:rsidRPr="00FD457D" w:rsidRDefault="00FD457D" w:rsidP="00FD457D">
      <w:pPr>
        <w:spacing w:after="0" w:line="240" w:lineRule="auto"/>
        <w:rPr>
          <w:rFonts w:ascii="Arial" w:eastAsia="SimSun" w:hAnsi="Arial" w:cs="Arial"/>
          <w:sz w:val="28"/>
          <w:szCs w:val="28"/>
          <w:lang w:val="cy-GB" w:eastAsia="zh-CN"/>
        </w:rPr>
      </w:pPr>
    </w:p>
    <w:p w14:paraId="1135CD57" w14:textId="77777777" w:rsidR="00FD457D" w:rsidRPr="00FD457D" w:rsidRDefault="00FD457D" w:rsidP="00FD457D">
      <w:pPr>
        <w:keepNext/>
        <w:spacing w:after="0" w:line="240" w:lineRule="auto"/>
        <w:ind w:left="720"/>
        <w:jc w:val="center"/>
        <w:outlineLvl w:val="2"/>
        <w:rPr>
          <w:rFonts w:ascii="Tahoma" w:eastAsia="SimSun" w:hAnsi="Tahoma" w:cs="Tahoma"/>
          <w:b/>
          <w:bCs/>
          <w:sz w:val="20"/>
          <w:szCs w:val="20"/>
          <w:lang w:val="cy-GB" w:eastAsia="zh-CN"/>
        </w:rPr>
      </w:pPr>
      <w:r w:rsidRPr="00FD457D">
        <w:rPr>
          <w:rFonts w:ascii="Tahoma" w:eastAsia="SimSun" w:hAnsi="Tahoma" w:cs="Tahoma"/>
          <w:b/>
          <w:bCs/>
          <w:sz w:val="20"/>
          <w:szCs w:val="20"/>
          <w:lang w:val="cy-GB" w:eastAsia="zh-CN"/>
        </w:rPr>
        <w:t>THIS SHEET MUST BE THE FIRST PAGE OF THE ASSIGNMENT YOU ARE SUBMITTING  (DO NOT SEND AS A SEPARATE FILE)</w:t>
      </w:r>
    </w:p>
    <w:p w14:paraId="581345BD" w14:textId="77777777" w:rsidR="00FD457D" w:rsidRPr="00FD457D" w:rsidRDefault="00FD457D" w:rsidP="00FD457D">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D457D" w:rsidRPr="00FD457D" w14:paraId="75FEF782" w14:textId="77777777" w:rsidTr="00963C2A">
        <w:trPr>
          <w:trHeight w:val="614"/>
        </w:trPr>
        <w:tc>
          <w:tcPr>
            <w:tcW w:w="8856" w:type="dxa"/>
            <w:gridSpan w:val="5"/>
          </w:tcPr>
          <w:p w14:paraId="76675A45" w14:textId="77777777"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b/>
                <w:color w:val="000000"/>
                <w:lang w:eastAsia="zh-CN"/>
              </w:rPr>
              <w:t>For completion by the student</w:t>
            </w:r>
            <w:r w:rsidRPr="00FD457D">
              <w:rPr>
                <w:rFonts w:ascii="Arial" w:eastAsia="SimSun" w:hAnsi="Arial" w:cs="Arial"/>
                <w:color w:val="000000"/>
                <w:lang w:eastAsia="zh-CN"/>
              </w:rPr>
              <w:t>:</w:t>
            </w:r>
          </w:p>
        </w:tc>
      </w:tr>
      <w:tr w:rsidR="00FD457D" w:rsidRPr="00FD457D" w14:paraId="275D4B07" w14:textId="77777777" w:rsidTr="00963C2A">
        <w:trPr>
          <w:trHeight w:val="718"/>
        </w:trPr>
        <w:tc>
          <w:tcPr>
            <w:tcW w:w="8856" w:type="dxa"/>
            <w:gridSpan w:val="5"/>
          </w:tcPr>
          <w:p w14:paraId="516A2C8A" w14:textId="7709E4B8"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Student Name:</w:t>
            </w:r>
            <w:r w:rsidR="00D400A6">
              <w:rPr>
                <w:rFonts w:ascii="Arial" w:eastAsia="SimSun" w:hAnsi="Arial" w:cs="Arial"/>
                <w:color w:val="000000"/>
                <w:lang w:eastAsia="zh-CN"/>
              </w:rPr>
              <w:t xml:space="preserve"> Dan Broadbent</w:t>
            </w:r>
          </w:p>
          <w:p w14:paraId="122EC58C" w14:textId="4B69C308"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 xml:space="preserve">Student </w:t>
            </w:r>
            <w:r w:rsidRPr="00FD457D">
              <w:rPr>
                <w:rFonts w:ascii="Arial" w:eastAsia="SimSun" w:hAnsi="Arial" w:cs="Arial"/>
                <w:b/>
                <w:bCs/>
                <w:color w:val="000000"/>
                <w:u w:val="single"/>
                <w:lang w:eastAsia="zh-CN"/>
              </w:rPr>
              <w:t>University</w:t>
            </w:r>
            <w:r w:rsidRPr="00FD457D">
              <w:rPr>
                <w:rFonts w:ascii="Arial" w:eastAsia="SimSun" w:hAnsi="Arial" w:cs="Arial"/>
                <w:color w:val="000000"/>
                <w:u w:val="single"/>
                <w:lang w:eastAsia="zh-CN"/>
              </w:rPr>
              <w:t xml:space="preserve"> </w:t>
            </w:r>
            <w:r w:rsidRPr="00FD457D">
              <w:rPr>
                <w:rFonts w:ascii="Arial" w:eastAsia="SimSun" w:hAnsi="Arial" w:cs="Arial"/>
                <w:color w:val="000000"/>
                <w:lang w:eastAsia="zh-CN"/>
              </w:rPr>
              <w:t xml:space="preserve">Email: </w:t>
            </w:r>
            <w:r w:rsidR="00B239A2">
              <w:rPr>
                <w:rFonts w:ascii="Arial" w:eastAsia="SimSun" w:hAnsi="Arial" w:cs="Arial"/>
                <w:color w:val="000000"/>
                <w:lang w:eastAsia="zh-CN"/>
              </w:rPr>
              <w:t>2006303@student.</w:t>
            </w:r>
            <w:r w:rsidR="003B55C6">
              <w:rPr>
                <w:rFonts w:ascii="Arial" w:eastAsia="SimSun" w:hAnsi="Arial" w:cs="Arial"/>
                <w:color w:val="000000"/>
                <w:lang w:eastAsia="zh-CN"/>
              </w:rPr>
              <w:t>uwtsd.ac.uk</w:t>
            </w:r>
          </w:p>
        </w:tc>
      </w:tr>
      <w:tr w:rsidR="00FD457D" w:rsidRPr="00FD457D" w14:paraId="03FC8C3E" w14:textId="77777777" w:rsidTr="00963C2A">
        <w:trPr>
          <w:trHeight w:val="849"/>
        </w:trPr>
        <w:tc>
          <w:tcPr>
            <w:tcW w:w="4788" w:type="dxa"/>
          </w:tcPr>
          <w:p w14:paraId="37E04C57" w14:textId="75E4B41D"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Module code:</w:t>
            </w:r>
            <w:r w:rsidR="00E918FD">
              <w:rPr>
                <w:rFonts w:ascii="Arial" w:eastAsia="SimSun" w:hAnsi="Arial" w:cs="Arial"/>
                <w:color w:val="000000"/>
                <w:lang w:eastAsia="zh-CN"/>
              </w:rPr>
              <w:t xml:space="preserve"> </w:t>
            </w:r>
            <w:r w:rsidR="00C13F23" w:rsidRPr="00C13F23">
              <w:rPr>
                <w:rFonts w:ascii="Arial" w:eastAsia="SimSun" w:hAnsi="Arial" w:cs="Arial"/>
                <w:color w:val="000000"/>
                <w:lang w:eastAsia="zh-CN"/>
              </w:rPr>
              <w:t>HPCA7016</w:t>
            </w:r>
          </w:p>
          <w:p w14:paraId="77B3DB78" w14:textId="2F86AD9D"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Module title:</w:t>
            </w:r>
            <w:r w:rsidR="00C42343">
              <w:t xml:space="preserve"> </w:t>
            </w:r>
            <w:r w:rsidR="00C42343" w:rsidRPr="00C42343">
              <w:rPr>
                <w:rFonts w:ascii="Arial" w:eastAsia="SimSun" w:hAnsi="Arial" w:cs="Arial"/>
                <w:color w:val="000000"/>
                <w:lang w:eastAsia="zh-CN"/>
              </w:rPr>
              <w:t>Researching Contemporary Cosmologie</w:t>
            </w:r>
            <w:r w:rsidR="00C42343">
              <w:rPr>
                <w:rFonts w:ascii="Arial" w:eastAsia="SimSun" w:hAnsi="Arial" w:cs="Arial"/>
                <w:color w:val="000000"/>
                <w:lang w:eastAsia="zh-CN"/>
              </w:rPr>
              <w:t>s</w:t>
            </w:r>
          </w:p>
          <w:p w14:paraId="49F78507" w14:textId="77777777" w:rsidR="00FD457D" w:rsidRPr="00FD457D" w:rsidRDefault="00FD457D" w:rsidP="00FD457D">
            <w:pPr>
              <w:spacing w:after="0" w:line="240" w:lineRule="auto"/>
              <w:ind w:right="34"/>
              <w:rPr>
                <w:rFonts w:ascii="Arial" w:eastAsia="SimSun" w:hAnsi="Arial" w:cs="Arial"/>
                <w:color w:val="000000"/>
                <w:lang w:eastAsia="zh-CN"/>
              </w:rPr>
            </w:pPr>
          </w:p>
        </w:tc>
        <w:tc>
          <w:tcPr>
            <w:tcW w:w="2266" w:type="dxa"/>
            <w:gridSpan w:val="3"/>
          </w:tcPr>
          <w:p w14:paraId="37B72FE4" w14:textId="020D94D6"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Student ID number:</w:t>
            </w:r>
            <w:r w:rsidR="0080694D">
              <w:rPr>
                <w:rFonts w:ascii="Arial" w:eastAsia="SimSun" w:hAnsi="Arial" w:cs="Arial"/>
                <w:color w:val="000000"/>
                <w:lang w:eastAsia="zh-CN"/>
              </w:rPr>
              <w:br/>
            </w:r>
            <w:r w:rsidR="0080694D" w:rsidRPr="0080694D">
              <w:rPr>
                <w:rFonts w:ascii="Arial" w:eastAsia="SimSun" w:hAnsi="Arial" w:cs="Arial"/>
                <w:color w:val="000000"/>
                <w:lang w:eastAsia="zh-CN"/>
              </w:rPr>
              <w:t>2006303</w:t>
            </w:r>
          </w:p>
        </w:tc>
        <w:tc>
          <w:tcPr>
            <w:tcW w:w="1802" w:type="dxa"/>
          </w:tcPr>
          <w:p w14:paraId="09B50936" w14:textId="77777777"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Educational support needs:</w:t>
            </w:r>
          </w:p>
          <w:p w14:paraId="012F05C2" w14:textId="2CB80FB6"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No</w:t>
            </w:r>
          </w:p>
        </w:tc>
      </w:tr>
      <w:tr w:rsidR="00FD457D" w:rsidRPr="00FD457D" w14:paraId="02B9F5FA" w14:textId="77777777" w:rsidTr="00963C2A">
        <w:trPr>
          <w:trHeight w:val="1139"/>
        </w:trPr>
        <w:tc>
          <w:tcPr>
            <w:tcW w:w="8856" w:type="dxa"/>
            <w:gridSpan w:val="5"/>
          </w:tcPr>
          <w:p w14:paraId="0A9CD2D0" w14:textId="5D9043DE"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Assignment title:</w:t>
            </w:r>
            <w:r w:rsidR="00322964">
              <w:t xml:space="preserve"> </w:t>
            </w:r>
            <w:r w:rsidR="00322964" w:rsidRPr="00322964">
              <w:rPr>
                <w:rFonts w:ascii="Arial" w:eastAsia="SimSun" w:hAnsi="Arial" w:cs="Arial"/>
                <w:color w:val="000000"/>
                <w:lang w:eastAsia="zh-CN"/>
              </w:rPr>
              <w:t>A Critical Comparison of Two Secondary Sources</w:t>
            </w:r>
          </w:p>
          <w:p w14:paraId="3D501B96" w14:textId="77777777" w:rsidR="00FD457D" w:rsidRPr="00FD457D" w:rsidRDefault="00FD457D" w:rsidP="00FD457D">
            <w:pPr>
              <w:spacing w:after="0" w:line="240" w:lineRule="auto"/>
              <w:ind w:right="34"/>
              <w:rPr>
                <w:rFonts w:ascii="Arial" w:eastAsia="SimSun" w:hAnsi="Arial" w:cs="Arial"/>
                <w:color w:val="000000"/>
                <w:lang w:eastAsia="zh-CN"/>
              </w:rPr>
            </w:pPr>
          </w:p>
          <w:p w14:paraId="453F0F88" w14:textId="77777777" w:rsidR="00FD457D" w:rsidRPr="00FD457D" w:rsidRDefault="00FD457D" w:rsidP="00FD457D">
            <w:pPr>
              <w:spacing w:after="0" w:line="240" w:lineRule="auto"/>
              <w:ind w:right="34"/>
              <w:rPr>
                <w:rFonts w:ascii="Arial" w:eastAsia="SimSun" w:hAnsi="Arial" w:cs="Arial"/>
                <w:color w:val="000000"/>
                <w:lang w:eastAsia="zh-CN"/>
              </w:rPr>
            </w:pPr>
          </w:p>
          <w:p w14:paraId="1F43AFBF" w14:textId="594C0CC8"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Assignment due date:</w:t>
            </w:r>
            <w:r w:rsidR="00064C23">
              <w:rPr>
                <w:rFonts w:ascii="Arial" w:eastAsia="SimSun" w:hAnsi="Arial" w:cs="Arial"/>
                <w:color w:val="000000"/>
                <w:lang w:eastAsia="zh-CN"/>
              </w:rPr>
              <w:t xml:space="preserve"> </w:t>
            </w:r>
            <w:r w:rsidR="00064C23" w:rsidRPr="00064C23">
              <w:rPr>
                <w:rFonts w:ascii="Arial" w:eastAsia="SimSun" w:hAnsi="Arial" w:cs="Arial"/>
                <w:color w:val="000000"/>
                <w:lang w:eastAsia="zh-CN"/>
              </w:rPr>
              <w:t>31 March 2021</w:t>
            </w:r>
          </w:p>
        </w:tc>
      </w:tr>
      <w:tr w:rsidR="00FD457D" w:rsidRPr="00FD457D" w14:paraId="26841EE4" w14:textId="77777777" w:rsidTr="00963C2A">
        <w:trPr>
          <w:trHeight w:val="978"/>
        </w:trPr>
        <w:tc>
          <w:tcPr>
            <w:tcW w:w="8856" w:type="dxa"/>
            <w:gridSpan w:val="5"/>
            <w:tcBorders>
              <w:bottom w:val="single" w:sz="4" w:space="0" w:color="000000"/>
            </w:tcBorders>
          </w:tcPr>
          <w:p w14:paraId="331E2527" w14:textId="77777777" w:rsidR="00FD457D" w:rsidRPr="00FD457D" w:rsidRDefault="00FD457D" w:rsidP="00FD457D">
            <w:pPr>
              <w:spacing w:after="0" w:line="240" w:lineRule="auto"/>
              <w:rPr>
                <w:rFonts w:ascii="Arial" w:eastAsia="SimSun" w:hAnsi="Arial" w:cs="Arial"/>
                <w:lang w:eastAsia="zh-CN"/>
              </w:rPr>
            </w:pPr>
            <w:r w:rsidRPr="00FD457D">
              <w:rPr>
                <w:rFonts w:ascii="Arial" w:eastAsia="SimSun" w:hAnsi="Arial" w:cs="Arial"/>
                <w:lang w:eastAsia="zh-CN"/>
              </w:rPr>
              <w:t>This assignment is for the       1</w:t>
            </w:r>
            <w:r w:rsidRPr="00FD457D">
              <w:rPr>
                <w:rFonts w:ascii="Arial" w:eastAsia="SimSun" w:hAnsi="Arial" w:cs="Arial"/>
                <w:vertAlign w:val="superscript"/>
                <w:lang w:eastAsia="zh-CN"/>
              </w:rPr>
              <w:t xml:space="preserve">st </w:t>
            </w:r>
            <w:r w:rsidRPr="00FD457D">
              <w:rPr>
                <w:rFonts w:ascii="Arial" w:eastAsia="SimSun" w:hAnsi="Arial" w:cs="Arial"/>
                <w:lang w:eastAsia="zh-CN"/>
              </w:rPr>
              <w:fldChar w:fldCharType="begin">
                <w:ffData>
                  <w:name w:val="Check13"/>
                  <w:enabled/>
                  <w:calcOnExit w:val="0"/>
                  <w:checkBox>
                    <w:sizeAuto/>
                    <w:default w:val="0"/>
                  </w:checkBox>
                </w:ffData>
              </w:fldChar>
            </w:r>
            <w:bookmarkStart w:id="0" w:name="Check13"/>
            <w:r w:rsidRPr="00FD457D">
              <w:rPr>
                <w:rFonts w:ascii="Arial" w:eastAsia="SimSun" w:hAnsi="Arial" w:cs="Arial"/>
                <w:lang w:eastAsia="zh-CN"/>
              </w:rPr>
              <w:instrText xml:space="preserve"> FORMCHECKBOX </w:instrText>
            </w:r>
            <w:r w:rsidR="00C633ED">
              <w:rPr>
                <w:rFonts w:ascii="Arial" w:eastAsia="SimSun" w:hAnsi="Arial" w:cs="Arial"/>
                <w:lang w:eastAsia="zh-CN"/>
              </w:rPr>
            </w:r>
            <w:r w:rsidR="00C633ED">
              <w:rPr>
                <w:rFonts w:ascii="Arial" w:eastAsia="SimSun" w:hAnsi="Arial" w:cs="Arial"/>
                <w:lang w:eastAsia="zh-CN"/>
              </w:rPr>
              <w:fldChar w:fldCharType="separate"/>
            </w:r>
            <w:r w:rsidRPr="00FD457D">
              <w:rPr>
                <w:rFonts w:ascii="Arial" w:eastAsia="SimSun" w:hAnsi="Arial" w:cs="Arial"/>
                <w:lang w:eastAsia="zh-CN"/>
              </w:rPr>
              <w:fldChar w:fldCharType="end"/>
            </w:r>
            <w:bookmarkEnd w:id="0"/>
            <w:r w:rsidRPr="00FD457D">
              <w:rPr>
                <w:rFonts w:ascii="Arial" w:eastAsia="SimSun" w:hAnsi="Arial" w:cs="Arial"/>
                <w:lang w:eastAsia="zh-CN"/>
              </w:rPr>
              <w:t xml:space="preserve">    2</w:t>
            </w:r>
            <w:r w:rsidRPr="00FD457D">
              <w:rPr>
                <w:rFonts w:ascii="Arial" w:eastAsia="SimSun" w:hAnsi="Arial" w:cs="Arial"/>
                <w:vertAlign w:val="superscript"/>
                <w:lang w:eastAsia="zh-CN"/>
              </w:rPr>
              <w:t>nd</w:t>
            </w:r>
            <w:r w:rsidRPr="00FD457D">
              <w:rPr>
                <w:rFonts w:ascii="Arial" w:eastAsia="SimSun" w:hAnsi="Arial" w:cs="Arial"/>
                <w:lang w:eastAsia="zh-CN"/>
              </w:rPr>
              <w:t xml:space="preserve">  </w:t>
            </w:r>
            <w:r w:rsidRPr="00FD457D">
              <w:rPr>
                <w:rFonts w:ascii="Arial" w:eastAsia="SimSun" w:hAnsi="Arial" w:cs="Arial"/>
                <w:lang w:eastAsia="zh-CN"/>
              </w:rPr>
              <w:fldChar w:fldCharType="begin">
                <w:ffData>
                  <w:name w:val="Check14"/>
                  <w:enabled/>
                  <w:calcOnExit w:val="0"/>
                  <w:checkBox>
                    <w:sizeAuto/>
                    <w:default w:val="0"/>
                  </w:checkBox>
                </w:ffData>
              </w:fldChar>
            </w:r>
            <w:bookmarkStart w:id="1" w:name="Check14"/>
            <w:r w:rsidRPr="00FD457D">
              <w:rPr>
                <w:rFonts w:ascii="Arial" w:eastAsia="SimSun" w:hAnsi="Arial" w:cs="Arial"/>
                <w:lang w:eastAsia="zh-CN"/>
              </w:rPr>
              <w:instrText xml:space="preserve"> FORMCHECKBOX </w:instrText>
            </w:r>
            <w:r w:rsidR="00C633ED">
              <w:rPr>
                <w:rFonts w:ascii="Arial" w:eastAsia="SimSun" w:hAnsi="Arial" w:cs="Arial"/>
                <w:lang w:eastAsia="zh-CN"/>
              </w:rPr>
            </w:r>
            <w:r w:rsidR="00C633ED">
              <w:rPr>
                <w:rFonts w:ascii="Arial" w:eastAsia="SimSun" w:hAnsi="Arial" w:cs="Arial"/>
                <w:lang w:eastAsia="zh-CN"/>
              </w:rPr>
              <w:fldChar w:fldCharType="separate"/>
            </w:r>
            <w:r w:rsidRPr="00FD457D">
              <w:rPr>
                <w:rFonts w:ascii="Arial" w:eastAsia="SimSun" w:hAnsi="Arial" w:cs="Arial"/>
                <w:lang w:eastAsia="zh-CN"/>
              </w:rPr>
              <w:fldChar w:fldCharType="end"/>
            </w:r>
            <w:bookmarkEnd w:id="1"/>
            <w:r w:rsidRPr="00FD457D">
              <w:rPr>
                <w:rFonts w:ascii="Arial" w:eastAsia="SimSun" w:hAnsi="Arial" w:cs="Arial"/>
                <w:lang w:eastAsia="zh-CN"/>
              </w:rPr>
              <w:t xml:space="preserve">     3</w:t>
            </w:r>
            <w:r w:rsidRPr="00FD457D">
              <w:rPr>
                <w:rFonts w:ascii="Arial" w:eastAsia="SimSun" w:hAnsi="Arial" w:cs="Arial"/>
                <w:vertAlign w:val="superscript"/>
                <w:lang w:eastAsia="zh-CN"/>
              </w:rPr>
              <w:t>rd</w:t>
            </w:r>
            <w:r w:rsidRPr="00FD457D">
              <w:rPr>
                <w:rFonts w:ascii="Arial" w:eastAsia="SimSun" w:hAnsi="Arial" w:cs="Arial"/>
                <w:lang w:eastAsia="zh-CN"/>
              </w:rPr>
              <w:t xml:space="preserve">  </w:t>
            </w:r>
            <w:r w:rsidRPr="00FD457D">
              <w:rPr>
                <w:rFonts w:ascii="Arial" w:eastAsia="SimSun" w:hAnsi="Arial" w:cs="Arial"/>
                <w:lang w:eastAsia="zh-CN"/>
              </w:rPr>
              <w:fldChar w:fldCharType="begin">
                <w:ffData>
                  <w:name w:val="Check15"/>
                  <w:enabled/>
                  <w:calcOnExit w:val="0"/>
                  <w:checkBox>
                    <w:sizeAuto/>
                    <w:default w:val="0"/>
                  </w:checkBox>
                </w:ffData>
              </w:fldChar>
            </w:r>
            <w:bookmarkStart w:id="2" w:name="Check15"/>
            <w:r w:rsidRPr="00FD457D">
              <w:rPr>
                <w:rFonts w:ascii="Arial" w:eastAsia="SimSun" w:hAnsi="Arial" w:cs="Arial"/>
                <w:lang w:eastAsia="zh-CN"/>
              </w:rPr>
              <w:instrText xml:space="preserve"> FORMCHECKBOX </w:instrText>
            </w:r>
            <w:r w:rsidR="00C633ED">
              <w:rPr>
                <w:rFonts w:ascii="Arial" w:eastAsia="SimSun" w:hAnsi="Arial" w:cs="Arial"/>
                <w:lang w:eastAsia="zh-CN"/>
              </w:rPr>
            </w:r>
            <w:r w:rsidR="00C633ED">
              <w:rPr>
                <w:rFonts w:ascii="Arial" w:eastAsia="SimSun" w:hAnsi="Arial" w:cs="Arial"/>
                <w:lang w:eastAsia="zh-CN"/>
              </w:rPr>
              <w:fldChar w:fldCharType="separate"/>
            </w:r>
            <w:r w:rsidRPr="00FD457D">
              <w:rPr>
                <w:rFonts w:ascii="Arial" w:eastAsia="SimSun" w:hAnsi="Arial" w:cs="Arial"/>
                <w:lang w:eastAsia="zh-CN"/>
              </w:rPr>
              <w:fldChar w:fldCharType="end"/>
            </w:r>
            <w:bookmarkEnd w:id="2"/>
            <w:r w:rsidRPr="00FD457D">
              <w:rPr>
                <w:rFonts w:ascii="Arial" w:eastAsia="SimSun" w:hAnsi="Arial" w:cs="Arial"/>
                <w:lang w:eastAsia="zh-CN"/>
              </w:rPr>
              <w:t xml:space="preserve">      4</w:t>
            </w:r>
            <w:r w:rsidRPr="00FD457D">
              <w:rPr>
                <w:rFonts w:ascii="Arial" w:eastAsia="SimSun" w:hAnsi="Arial" w:cs="Arial"/>
                <w:vertAlign w:val="superscript"/>
                <w:lang w:eastAsia="zh-CN"/>
              </w:rPr>
              <w:t>th</w:t>
            </w:r>
            <w:r w:rsidRPr="00FD457D">
              <w:rPr>
                <w:rFonts w:ascii="Arial" w:eastAsia="SimSun" w:hAnsi="Arial" w:cs="Arial"/>
                <w:lang w:eastAsia="zh-CN"/>
              </w:rPr>
              <w:t xml:space="preserve"> </w:t>
            </w:r>
            <w:r w:rsidRPr="00FD457D">
              <w:rPr>
                <w:rFonts w:ascii="Arial" w:eastAsia="SimSun" w:hAnsi="Arial" w:cs="Arial"/>
                <w:lang w:eastAsia="zh-CN"/>
              </w:rPr>
              <w:fldChar w:fldCharType="begin">
                <w:ffData>
                  <w:name w:val="Check16"/>
                  <w:enabled/>
                  <w:calcOnExit w:val="0"/>
                  <w:checkBox>
                    <w:sizeAuto/>
                    <w:default w:val="0"/>
                  </w:checkBox>
                </w:ffData>
              </w:fldChar>
            </w:r>
            <w:bookmarkStart w:id="3" w:name="Check16"/>
            <w:r w:rsidRPr="00FD457D">
              <w:rPr>
                <w:rFonts w:ascii="Arial" w:eastAsia="SimSun" w:hAnsi="Arial" w:cs="Arial"/>
                <w:lang w:eastAsia="zh-CN"/>
              </w:rPr>
              <w:instrText xml:space="preserve"> FORMCHECKBOX </w:instrText>
            </w:r>
            <w:r w:rsidR="00C633ED">
              <w:rPr>
                <w:rFonts w:ascii="Arial" w:eastAsia="SimSun" w:hAnsi="Arial" w:cs="Arial"/>
                <w:lang w:eastAsia="zh-CN"/>
              </w:rPr>
            </w:r>
            <w:r w:rsidR="00C633ED">
              <w:rPr>
                <w:rFonts w:ascii="Arial" w:eastAsia="SimSun" w:hAnsi="Arial" w:cs="Arial"/>
                <w:lang w:eastAsia="zh-CN"/>
              </w:rPr>
              <w:fldChar w:fldCharType="separate"/>
            </w:r>
            <w:r w:rsidRPr="00FD457D">
              <w:rPr>
                <w:rFonts w:ascii="Arial" w:eastAsia="SimSun" w:hAnsi="Arial" w:cs="Arial"/>
                <w:lang w:eastAsia="zh-CN"/>
              </w:rPr>
              <w:fldChar w:fldCharType="end"/>
            </w:r>
            <w:bookmarkEnd w:id="3"/>
            <w:r w:rsidRPr="00FD457D">
              <w:rPr>
                <w:rFonts w:ascii="Arial" w:eastAsia="SimSun" w:hAnsi="Arial" w:cs="Arial"/>
                <w:lang w:eastAsia="zh-CN"/>
              </w:rPr>
              <w:t xml:space="preserve">      5</w:t>
            </w:r>
            <w:r w:rsidRPr="00FD457D">
              <w:rPr>
                <w:rFonts w:ascii="Arial" w:eastAsia="SimSun" w:hAnsi="Arial" w:cs="Arial"/>
                <w:vertAlign w:val="superscript"/>
                <w:lang w:eastAsia="zh-CN"/>
              </w:rPr>
              <w:t>th</w:t>
            </w:r>
            <w:r w:rsidRPr="00FD457D">
              <w:rPr>
                <w:rFonts w:ascii="Arial" w:eastAsia="SimSun" w:hAnsi="Arial" w:cs="Arial"/>
                <w:lang w:eastAsia="zh-CN"/>
              </w:rPr>
              <w:t xml:space="preserve"> </w:t>
            </w:r>
            <w:r w:rsidRPr="00FD457D">
              <w:rPr>
                <w:rFonts w:ascii="Arial" w:eastAsia="SimSun" w:hAnsi="Arial" w:cs="Arial"/>
                <w:lang w:eastAsia="zh-CN"/>
              </w:rPr>
              <w:fldChar w:fldCharType="begin">
                <w:ffData>
                  <w:name w:val="Check17"/>
                  <w:enabled/>
                  <w:calcOnExit w:val="0"/>
                  <w:checkBox>
                    <w:sizeAuto/>
                    <w:default w:val="0"/>
                  </w:checkBox>
                </w:ffData>
              </w:fldChar>
            </w:r>
            <w:bookmarkStart w:id="4" w:name="Check17"/>
            <w:r w:rsidRPr="00FD457D">
              <w:rPr>
                <w:rFonts w:ascii="Arial" w:eastAsia="SimSun" w:hAnsi="Arial" w:cs="Arial"/>
                <w:lang w:eastAsia="zh-CN"/>
              </w:rPr>
              <w:instrText xml:space="preserve"> FORMCHECKBOX </w:instrText>
            </w:r>
            <w:r w:rsidR="00C633ED">
              <w:rPr>
                <w:rFonts w:ascii="Arial" w:eastAsia="SimSun" w:hAnsi="Arial" w:cs="Arial"/>
                <w:lang w:eastAsia="zh-CN"/>
              </w:rPr>
            </w:r>
            <w:r w:rsidR="00C633ED">
              <w:rPr>
                <w:rFonts w:ascii="Arial" w:eastAsia="SimSun" w:hAnsi="Arial" w:cs="Arial"/>
                <w:lang w:eastAsia="zh-CN"/>
              </w:rPr>
              <w:fldChar w:fldCharType="separate"/>
            </w:r>
            <w:r w:rsidRPr="00FD457D">
              <w:rPr>
                <w:rFonts w:ascii="Arial" w:eastAsia="SimSun" w:hAnsi="Arial" w:cs="Arial"/>
                <w:lang w:eastAsia="zh-CN"/>
              </w:rPr>
              <w:fldChar w:fldCharType="end"/>
            </w:r>
            <w:bookmarkEnd w:id="4"/>
            <w:r w:rsidRPr="00FD457D">
              <w:rPr>
                <w:rFonts w:ascii="Arial" w:eastAsia="SimSun" w:hAnsi="Arial" w:cs="Arial"/>
                <w:lang w:eastAsia="zh-CN"/>
              </w:rPr>
              <w:t xml:space="preserve">      6</w:t>
            </w:r>
            <w:r w:rsidRPr="00FD457D">
              <w:rPr>
                <w:rFonts w:ascii="Arial" w:eastAsia="SimSun" w:hAnsi="Arial" w:cs="Arial"/>
                <w:vertAlign w:val="superscript"/>
                <w:lang w:eastAsia="zh-CN"/>
              </w:rPr>
              <w:t>th</w:t>
            </w:r>
            <w:r w:rsidRPr="00FD457D">
              <w:rPr>
                <w:rFonts w:ascii="Arial" w:eastAsia="SimSun" w:hAnsi="Arial" w:cs="Arial"/>
                <w:lang w:eastAsia="zh-CN"/>
              </w:rPr>
              <w:t xml:space="preserve"> </w:t>
            </w:r>
            <w:r w:rsidRPr="00FD457D">
              <w:rPr>
                <w:rFonts w:ascii="Arial" w:eastAsia="SimSun" w:hAnsi="Arial" w:cs="Arial"/>
                <w:lang w:eastAsia="zh-CN"/>
              </w:rPr>
              <w:fldChar w:fldCharType="begin">
                <w:ffData>
                  <w:name w:val="Check18"/>
                  <w:enabled/>
                  <w:calcOnExit w:val="0"/>
                  <w:checkBox>
                    <w:sizeAuto/>
                    <w:default w:val="0"/>
                  </w:checkBox>
                </w:ffData>
              </w:fldChar>
            </w:r>
            <w:bookmarkStart w:id="5" w:name="Check18"/>
            <w:r w:rsidRPr="00FD457D">
              <w:rPr>
                <w:rFonts w:ascii="Arial" w:eastAsia="SimSun" w:hAnsi="Arial" w:cs="Arial"/>
                <w:lang w:eastAsia="zh-CN"/>
              </w:rPr>
              <w:instrText xml:space="preserve"> FORMCHECKBOX </w:instrText>
            </w:r>
            <w:r w:rsidR="00C633ED">
              <w:rPr>
                <w:rFonts w:ascii="Arial" w:eastAsia="SimSun" w:hAnsi="Arial" w:cs="Arial"/>
                <w:lang w:eastAsia="zh-CN"/>
              </w:rPr>
            </w:r>
            <w:r w:rsidR="00C633ED">
              <w:rPr>
                <w:rFonts w:ascii="Arial" w:eastAsia="SimSun" w:hAnsi="Arial" w:cs="Arial"/>
                <w:lang w:eastAsia="zh-CN"/>
              </w:rPr>
              <w:fldChar w:fldCharType="separate"/>
            </w:r>
            <w:r w:rsidRPr="00FD457D">
              <w:rPr>
                <w:rFonts w:ascii="Arial" w:eastAsia="SimSun" w:hAnsi="Arial" w:cs="Arial"/>
                <w:lang w:eastAsia="zh-CN"/>
              </w:rPr>
              <w:fldChar w:fldCharType="end"/>
            </w:r>
            <w:bookmarkEnd w:id="5"/>
            <w:r w:rsidRPr="00FD457D">
              <w:rPr>
                <w:rFonts w:ascii="Arial" w:eastAsia="SimSun" w:hAnsi="Arial" w:cs="Arial"/>
                <w:b/>
                <w:lang w:eastAsia="zh-CN"/>
              </w:rPr>
              <w:t xml:space="preserve">   </w:t>
            </w:r>
            <w:r w:rsidRPr="00FD457D">
              <w:rPr>
                <w:rFonts w:ascii="Arial" w:eastAsia="SimSun" w:hAnsi="Arial" w:cs="Arial"/>
                <w:lang w:eastAsia="zh-CN"/>
              </w:rPr>
              <w:t>module of the degree</w:t>
            </w:r>
          </w:p>
        </w:tc>
      </w:tr>
      <w:tr w:rsidR="00FD457D" w:rsidRPr="00FD457D" w14:paraId="41ABBC49" w14:textId="77777777" w:rsidTr="00963C2A">
        <w:trPr>
          <w:trHeight w:val="978"/>
        </w:trPr>
        <w:tc>
          <w:tcPr>
            <w:tcW w:w="8856" w:type="dxa"/>
            <w:gridSpan w:val="5"/>
            <w:shd w:val="clear" w:color="auto" w:fill="D9D9D9"/>
          </w:tcPr>
          <w:p w14:paraId="35A1D384" w14:textId="77777777"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I confirm that this is my original work and that I have adhered to the University policy on plagiarism.</w:t>
            </w:r>
          </w:p>
          <w:p w14:paraId="1C3C3BC2" w14:textId="77777777" w:rsidR="00FD457D" w:rsidRPr="00FD457D" w:rsidRDefault="00FD457D" w:rsidP="00FD457D">
            <w:pPr>
              <w:spacing w:after="0" w:line="240" w:lineRule="auto"/>
              <w:ind w:right="34"/>
              <w:rPr>
                <w:rFonts w:ascii="Arial" w:eastAsia="SimSun" w:hAnsi="Arial" w:cs="Arial"/>
                <w:color w:val="000000"/>
                <w:lang w:eastAsia="zh-CN"/>
              </w:rPr>
            </w:pPr>
            <w:r w:rsidRPr="00FD457D">
              <w:rPr>
                <w:rFonts w:ascii="Arial" w:eastAsia="SimSun" w:hAnsi="Arial" w:cs="Arial"/>
                <w:color w:val="000000"/>
                <w:lang w:eastAsia="zh-CN"/>
              </w:rPr>
              <w:t>Signed ……………………………………………………………</w:t>
            </w:r>
          </w:p>
          <w:p w14:paraId="4DCD3BEC" w14:textId="5DE53517" w:rsidR="00FD457D" w:rsidRPr="00FD457D" w:rsidRDefault="00FD457D" w:rsidP="00FD457D">
            <w:pPr>
              <w:spacing w:after="0" w:line="240" w:lineRule="auto"/>
              <w:ind w:right="34"/>
              <w:rPr>
                <w:rFonts w:ascii="Calibri" w:eastAsia="SimSun" w:hAnsi="Calibri" w:cs="Calibri"/>
                <w:b/>
                <w:color w:val="000000"/>
                <w:sz w:val="44"/>
                <w:szCs w:val="44"/>
                <w:lang w:eastAsia="zh-CN"/>
              </w:rPr>
            </w:pPr>
            <w:r w:rsidRPr="00FD457D">
              <w:rPr>
                <w:rFonts w:ascii="Calibri" w:eastAsia="SimSun" w:hAnsi="Calibri" w:cs="Tahoma"/>
                <w:b/>
                <w:color w:val="000000"/>
                <w:sz w:val="24"/>
                <w:szCs w:val="24"/>
                <w:lang w:eastAsia="zh-CN"/>
              </w:rPr>
              <w:t xml:space="preserve">Email </w:t>
            </w:r>
            <w:r w:rsidR="00523B57" w:rsidRPr="00FD457D">
              <w:rPr>
                <w:rFonts w:ascii="Calibri" w:eastAsia="SimSun" w:hAnsi="Calibri" w:cs="Tahoma"/>
                <w:b/>
                <w:color w:val="000000"/>
                <w:sz w:val="24"/>
                <w:szCs w:val="24"/>
                <w:lang w:eastAsia="zh-CN"/>
              </w:rPr>
              <w:t>submission: if</w:t>
            </w:r>
            <w:r w:rsidRPr="00FD457D">
              <w:rPr>
                <w:rFonts w:ascii="Calibri" w:eastAsia="SimSun" w:hAnsi="Calibri" w:cs="Tahoma"/>
                <w:b/>
                <w:color w:val="000000"/>
                <w:sz w:val="24"/>
                <w:szCs w:val="24"/>
                <w:lang w:eastAsia="zh-CN"/>
              </w:rPr>
              <w:t xml:space="preserve"> you are submitting this form via email, please tick this box </w:t>
            </w:r>
            <w:r w:rsidRPr="00FD457D">
              <w:rPr>
                <w:rFonts w:ascii="Calibri" w:eastAsia="SimSun" w:hAnsi="Calibri" w:cs="Calibri"/>
                <w:b/>
                <w:color w:val="000000"/>
                <w:sz w:val="44"/>
                <w:szCs w:val="44"/>
                <w:lang w:eastAsia="zh-CN"/>
              </w:rPr>
              <w:t>□</w:t>
            </w:r>
          </w:p>
          <w:p w14:paraId="55809A49" w14:textId="77777777" w:rsidR="00FD457D" w:rsidRPr="00FD457D" w:rsidRDefault="00FD457D" w:rsidP="00FD457D">
            <w:pPr>
              <w:spacing w:after="0" w:line="240" w:lineRule="auto"/>
              <w:ind w:right="34"/>
              <w:rPr>
                <w:rFonts w:ascii="Arial" w:eastAsia="SimSun" w:hAnsi="Arial" w:cs="Arial"/>
                <w:color w:val="000000"/>
                <w:lang w:eastAsia="zh-CN"/>
              </w:rPr>
            </w:pPr>
            <w:r w:rsidRPr="00FD457D">
              <w:rPr>
                <w:rFonts w:ascii="Calibri" w:eastAsia="SimSun" w:hAnsi="Calibri" w:cs="Tahoma"/>
                <w:b/>
                <w:color w:val="000000"/>
                <w:sz w:val="24"/>
                <w:szCs w:val="24"/>
                <w:lang w:eastAsia="zh-CN"/>
              </w:rPr>
              <w:t>(as a substitute for your signature) to confirm that you agree to the above declaration.</w:t>
            </w:r>
          </w:p>
        </w:tc>
      </w:tr>
      <w:tr w:rsidR="00FD457D" w:rsidRPr="00FD457D" w14:paraId="51CA8EA5" w14:textId="77777777" w:rsidTr="00963C2A">
        <w:trPr>
          <w:trHeight w:val="3972"/>
        </w:trPr>
        <w:tc>
          <w:tcPr>
            <w:tcW w:w="8856" w:type="dxa"/>
            <w:gridSpan w:val="5"/>
          </w:tcPr>
          <w:p w14:paraId="74630738" w14:textId="77777777" w:rsidR="00FD457D" w:rsidRPr="00FD457D" w:rsidRDefault="00FD457D" w:rsidP="00FD457D">
            <w:pPr>
              <w:spacing w:after="0" w:line="240" w:lineRule="auto"/>
              <w:rPr>
                <w:rFonts w:ascii="Arial" w:eastAsia="SimSun" w:hAnsi="Arial" w:cs="Times New Roman"/>
                <w:b/>
                <w:sz w:val="24"/>
                <w:szCs w:val="24"/>
                <w:lang w:eastAsia="zh-CN"/>
              </w:rPr>
            </w:pPr>
          </w:p>
          <w:p w14:paraId="1618F338" w14:textId="77777777" w:rsidR="00FD457D" w:rsidRPr="00FD457D" w:rsidRDefault="00FD457D" w:rsidP="00FD457D">
            <w:pPr>
              <w:spacing w:after="0" w:line="240" w:lineRule="auto"/>
              <w:rPr>
                <w:rFonts w:ascii="Arial" w:eastAsia="SimSun" w:hAnsi="Arial" w:cs="Times New Roman"/>
                <w:sz w:val="24"/>
                <w:szCs w:val="24"/>
                <w:lang w:eastAsia="zh-CN"/>
              </w:rPr>
            </w:pPr>
            <w:r w:rsidRPr="00FD457D">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D457D" w:rsidRPr="00FD457D" w14:paraId="4F5A6D13" w14:textId="77777777" w:rsidTr="00963C2A">
              <w:tc>
                <w:tcPr>
                  <w:tcW w:w="6970" w:type="dxa"/>
                </w:tcPr>
                <w:p w14:paraId="56377931" w14:textId="77777777" w:rsidR="00FD457D" w:rsidRPr="00FD457D" w:rsidRDefault="00FD457D" w:rsidP="00FD457D">
                  <w:pPr>
                    <w:spacing w:after="0" w:line="240" w:lineRule="auto"/>
                    <w:rPr>
                      <w:rFonts w:ascii="Arial" w:eastAsia="SimSun" w:hAnsi="Arial" w:cs="Times New Roman"/>
                      <w:sz w:val="20"/>
                      <w:szCs w:val="20"/>
                      <w:lang w:eastAsia="zh-CN"/>
                    </w:rPr>
                  </w:pPr>
                </w:p>
                <w:p w14:paraId="29314271" w14:textId="77777777" w:rsidR="00FD457D" w:rsidRPr="00FD457D" w:rsidRDefault="00FD457D" w:rsidP="00FD457D">
                  <w:pPr>
                    <w:spacing w:after="0" w:line="240" w:lineRule="auto"/>
                    <w:rPr>
                      <w:rFonts w:ascii="Arial" w:eastAsia="SimSun" w:hAnsi="Arial" w:cs="Times New Roman"/>
                      <w:sz w:val="20"/>
                      <w:szCs w:val="20"/>
                      <w:lang w:eastAsia="zh-CN"/>
                    </w:rPr>
                  </w:pPr>
                  <w:r w:rsidRPr="00FD457D">
                    <w:rPr>
                      <w:rFonts w:ascii="Arial" w:eastAsia="SimSun" w:hAnsi="Arial" w:cs="Times New Roman"/>
                      <w:sz w:val="20"/>
                      <w:szCs w:val="20"/>
                      <w:lang w:eastAsia="zh-CN"/>
                    </w:rPr>
                    <w:t>1</w:t>
                  </w:r>
                  <w:r w:rsidRPr="00FD457D">
                    <w:rPr>
                      <w:rFonts w:ascii="Arial" w:eastAsia="SimSun" w:hAnsi="Arial" w:cs="Times New Roman"/>
                      <w:sz w:val="20"/>
                      <w:szCs w:val="20"/>
                      <w:vertAlign w:val="superscript"/>
                      <w:lang w:eastAsia="zh-CN"/>
                    </w:rPr>
                    <w:t>st</w:t>
                  </w:r>
                  <w:r w:rsidRPr="00FD457D">
                    <w:rPr>
                      <w:rFonts w:ascii="Arial" w:eastAsia="SimSun" w:hAnsi="Arial" w:cs="Times New Roman"/>
                      <w:sz w:val="20"/>
                      <w:szCs w:val="20"/>
                      <w:lang w:eastAsia="zh-CN"/>
                    </w:rPr>
                    <w:t xml:space="preserve"> Marker’s Provisional mark</w:t>
                  </w:r>
                </w:p>
              </w:tc>
              <w:tc>
                <w:tcPr>
                  <w:tcW w:w="1660" w:type="dxa"/>
                </w:tcPr>
                <w:p w14:paraId="61CEA345" w14:textId="77777777" w:rsidR="00FD457D" w:rsidRPr="00FD457D" w:rsidRDefault="00FD457D" w:rsidP="00FD457D">
                  <w:pPr>
                    <w:spacing w:after="0" w:line="240" w:lineRule="auto"/>
                    <w:rPr>
                      <w:rFonts w:ascii="Arial" w:eastAsia="SimSun" w:hAnsi="Arial" w:cs="Times New Roman"/>
                      <w:sz w:val="20"/>
                      <w:szCs w:val="20"/>
                      <w:lang w:eastAsia="zh-CN"/>
                    </w:rPr>
                  </w:pPr>
                </w:p>
              </w:tc>
            </w:tr>
            <w:tr w:rsidR="00FD457D" w:rsidRPr="00FD457D" w14:paraId="434B8791" w14:textId="77777777" w:rsidTr="00963C2A">
              <w:tc>
                <w:tcPr>
                  <w:tcW w:w="6970" w:type="dxa"/>
                </w:tcPr>
                <w:p w14:paraId="5B175807" w14:textId="77777777" w:rsidR="00FD457D" w:rsidRPr="00FD457D" w:rsidRDefault="00FD457D" w:rsidP="00FD457D">
                  <w:pPr>
                    <w:spacing w:after="0" w:line="240" w:lineRule="auto"/>
                    <w:rPr>
                      <w:rFonts w:ascii="Arial" w:eastAsia="SimSun" w:hAnsi="Arial" w:cs="Times New Roman"/>
                      <w:sz w:val="20"/>
                      <w:szCs w:val="20"/>
                      <w:lang w:eastAsia="zh-CN"/>
                    </w:rPr>
                  </w:pPr>
                </w:p>
                <w:p w14:paraId="2998F47D" w14:textId="77777777" w:rsidR="00FD457D" w:rsidRPr="00FD457D" w:rsidRDefault="00FD457D" w:rsidP="00FD457D">
                  <w:pPr>
                    <w:spacing w:after="0" w:line="240" w:lineRule="auto"/>
                    <w:rPr>
                      <w:rFonts w:ascii="Arial" w:eastAsia="SimSun" w:hAnsi="Arial" w:cs="Times New Roman"/>
                      <w:sz w:val="20"/>
                      <w:szCs w:val="20"/>
                      <w:lang w:eastAsia="zh-CN"/>
                    </w:rPr>
                  </w:pPr>
                  <w:r w:rsidRPr="00FD457D">
                    <w:rPr>
                      <w:rFonts w:ascii="Arial" w:eastAsia="SimSun" w:hAnsi="Arial" w:cs="Times New Roman"/>
                      <w:sz w:val="20"/>
                      <w:szCs w:val="20"/>
                      <w:lang w:eastAsia="zh-CN"/>
                    </w:rPr>
                    <w:t>2</w:t>
                  </w:r>
                  <w:r w:rsidRPr="00FD457D">
                    <w:rPr>
                      <w:rFonts w:ascii="Arial" w:eastAsia="SimSun" w:hAnsi="Arial" w:cs="Times New Roman"/>
                      <w:sz w:val="20"/>
                      <w:szCs w:val="20"/>
                      <w:vertAlign w:val="superscript"/>
                      <w:lang w:eastAsia="zh-CN"/>
                    </w:rPr>
                    <w:t>nd</w:t>
                  </w:r>
                  <w:r w:rsidRPr="00FD457D">
                    <w:rPr>
                      <w:rFonts w:ascii="Arial" w:eastAsia="SimSun" w:hAnsi="Arial" w:cs="Times New Roman"/>
                      <w:sz w:val="20"/>
                      <w:szCs w:val="20"/>
                      <w:lang w:eastAsia="zh-CN"/>
                    </w:rPr>
                    <w:t xml:space="preserve"> Marker’s/Moderator’s provisional mark</w:t>
                  </w:r>
                </w:p>
              </w:tc>
              <w:tc>
                <w:tcPr>
                  <w:tcW w:w="1660" w:type="dxa"/>
                </w:tcPr>
                <w:p w14:paraId="6BE8211F" w14:textId="77777777" w:rsidR="00FD457D" w:rsidRPr="00FD457D" w:rsidRDefault="00FD457D" w:rsidP="00FD457D">
                  <w:pPr>
                    <w:spacing w:after="0" w:line="240" w:lineRule="auto"/>
                    <w:rPr>
                      <w:rFonts w:ascii="Arial" w:eastAsia="SimSun" w:hAnsi="Arial" w:cs="Times New Roman"/>
                      <w:sz w:val="20"/>
                      <w:szCs w:val="20"/>
                      <w:lang w:eastAsia="zh-CN"/>
                    </w:rPr>
                  </w:pPr>
                </w:p>
              </w:tc>
            </w:tr>
            <w:tr w:rsidR="00FD457D" w:rsidRPr="00FD457D" w14:paraId="6643CD61" w14:textId="77777777" w:rsidTr="00963C2A">
              <w:tc>
                <w:tcPr>
                  <w:tcW w:w="6970" w:type="dxa"/>
                </w:tcPr>
                <w:p w14:paraId="439C8F55" w14:textId="77777777" w:rsidR="00FD457D" w:rsidRPr="00FD457D" w:rsidRDefault="00FD457D" w:rsidP="00FD457D">
                  <w:pPr>
                    <w:spacing w:after="0" w:line="240" w:lineRule="auto"/>
                    <w:rPr>
                      <w:rFonts w:ascii="Arial" w:eastAsia="SimSun" w:hAnsi="Arial" w:cs="Times New Roman"/>
                      <w:sz w:val="20"/>
                      <w:szCs w:val="20"/>
                      <w:lang w:eastAsia="zh-CN"/>
                    </w:rPr>
                  </w:pPr>
                </w:p>
                <w:p w14:paraId="6833788F" w14:textId="77777777" w:rsidR="00FD457D" w:rsidRPr="00FD457D" w:rsidRDefault="00FD457D" w:rsidP="00FD457D">
                  <w:pPr>
                    <w:spacing w:after="0" w:line="240" w:lineRule="auto"/>
                    <w:rPr>
                      <w:rFonts w:ascii="Arial" w:eastAsia="SimSun" w:hAnsi="Arial" w:cs="Times New Roman"/>
                      <w:sz w:val="20"/>
                      <w:szCs w:val="20"/>
                      <w:lang w:eastAsia="zh-CN"/>
                    </w:rPr>
                  </w:pPr>
                  <w:r w:rsidRPr="00FD457D">
                    <w:rPr>
                      <w:rFonts w:ascii="Arial" w:eastAsia="SimSun" w:hAnsi="Arial" w:cs="Times New Roman"/>
                      <w:sz w:val="20"/>
                      <w:szCs w:val="20"/>
                      <w:lang w:eastAsia="zh-CN"/>
                    </w:rPr>
                    <w:t>External Examiner’s mark (if relevant)</w:t>
                  </w:r>
                </w:p>
              </w:tc>
              <w:tc>
                <w:tcPr>
                  <w:tcW w:w="1660" w:type="dxa"/>
                </w:tcPr>
                <w:p w14:paraId="19A4E722" w14:textId="77777777" w:rsidR="00FD457D" w:rsidRPr="00FD457D" w:rsidRDefault="00FD457D" w:rsidP="00FD457D">
                  <w:pPr>
                    <w:spacing w:after="0" w:line="240" w:lineRule="auto"/>
                    <w:rPr>
                      <w:rFonts w:ascii="Arial" w:eastAsia="SimSun" w:hAnsi="Arial" w:cs="Times New Roman"/>
                      <w:sz w:val="20"/>
                      <w:szCs w:val="20"/>
                      <w:lang w:eastAsia="zh-CN"/>
                    </w:rPr>
                  </w:pPr>
                </w:p>
              </w:tc>
            </w:tr>
            <w:tr w:rsidR="00FD457D" w:rsidRPr="00FD457D" w14:paraId="7CA4921B" w14:textId="77777777" w:rsidTr="00963C2A">
              <w:tc>
                <w:tcPr>
                  <w:tcW w:w="6970" w:type="dxa"/>
                </w:tcPr>
                <w:p w14:paraId="522AEDC2" w14:textId="77777777" w:rsidR="00FD457D" w:rsidRPr="00FD457D" w:rsidRDefault="00FD457D" w:rsidP="00FD457D">
                  <w:pPr>
                    <w:spacing w:after="0" w:line="240" w:lineRule="auto"/>
                    <w:rPr>
                      <w:rFonts w:ascii="Arial" w:eastAsia="SimSun" w:hAnsi="Arial" w:cs="Times New Roman"/>
                      <w:sz w:val="20"/>
                      <w:szCs w:val="20"/>
                      <w:lang w:eastAsia="zh-CN"/>
                    </w:rPr>
                  </w:pPr>
                </w:p>
                <w:p w14:paraId="53F01E6A" w14:textId="77777777" w:rsidR="00FD457D" w:rsidRPr="00FD457D" w:rsidRDefault="00FD457D" w:rsidP="00FD457D">
                  <w:pPr>
                    <w:spacing w:after="0" w:line="240" w:lineRule="auto"/>
                    <w:rPr>
                      <w:rFonts w:ascii="Arial" w:eastAsia="SimSun" w:hAnsi="Arial" w:cs="Times New Roman"/>
                      <w:b/>
                      <w:sz w:val="20"/>
                      <w:szCs w:val="20"/>
                      <w:lang w:eastAsia="zh-CN"/>
                    </w:rPr>
                  </w:pPr>
                  <w:r w:rsidRPr="00FD457D">
                    <w:rPr>
                      <w:rFonts w:ascii="Arial" w:eastAsia="SimSun" w:hAnsi="Arial" w:cs="Times New Roman"/>
                      <w:b/>
                      <w:sz w:val="20"/>
                      <w:szCs w:val="20"/>
                      <w:lang w:eastAsia="zh-CN"/>
                    </w:rPr>
                    <w:t>Final Mark</w:t>
                  </w:r>
                </w:p>
                <w:p w14:paraId="3DCBBAC6" w14:textId="77777777" w:rsidR="00FD457D" w:rsidRPr="00FD457D" w:rsidRDefault="00FD457D" w:rsidP="00FD457D">
                  <w:pPr>
                    <w:spacing w:after="0" w:line="240" w:lineRule="auto"/>
                    <w:rPr>
                      <w:rFonts w:ascii="Arial" w:eastAsia="SimSun" w:hAnsi="Arial" w:cs="Times New Roman"/>
                      <w:sz w:val="20"/>
                      <w:szCs w:val="20"/>
                      <w:lang w:eastAsia="zh-CN"/>
                    </w:rPr>
                  </w:pPr>
                </w:p>
              </w:tc>
              <w:tc>
                <w:tcPr>
                  <w:tcW w:w="1660" w:type="dxa"/>
                </w:tcPr>
                <w:p w14:paraId="4BC917D8" w14:textId="77777777" w:rsidR="00FD457D" w:rsidRPr="00FD457D" w:rsidRDefault="00FD457D" w:rsidP="00FD457D">
                  <w:pPr>
                    <w:spacing w:after="0" w:line="240" w:lineRule="auto"/>
                    <w:rPr>
                      <w:rFonts w:ascii="Arial" w:eastAsia="SimSun" w:hAnsi="Arial" w:cs="Times New Roman"/>
                      <w:sz w:val="20"/>
                      <w:szCs w:val="20"/>
                      <w:lang w:eastAsia="zh-CN"/>
                    </w:rPr>
                  </w:pPr>
                </w:p>
              </w:tc>
            </w:tr>
          </w:tbl>
          <w:p w14:paraId="50861171" w14:textId="77777777" w:rsidR="00FD457D" w:rsidRPr="00FD457D" w:rsidRDefault="00FD457D" w:rsidP="00FD457D">
            <w:pPr>
              <w:spacing w:after="0" w:line="240" w:lineRule="auto"/>
              <w:ind w:left="142" w:right="34"/>
              <w:rPr>
                <w:rFonts w:ascii="Arial" w:eastAsia="SimSun" w:hAnsi="Arial" w:cs="Arial"/>
                <w:b/>
                <w:color w:val="000000"/>
                <w:lang w:eastAsia="zh-CN"/>
              </w:rPr>
            </w:pPr>
          </w:p>
          <w:p w14:paraId="4257EACD" w14:textId="77777777" w:rsidR="00FD457D" w:rsidRPr="00FD457D" w:rsidRDefault="00FD457D" w:rsidP="00FD457D">
            <w:pPr>
              <w:spacing w:after="0" w:line="240" w:lineRule="auto"/>
              <w:ind w:left="142" w:right="34"/>
              <w:rPr>
                <w:rFonts w:ascii="Arial" w:eastAsia="SimSun" w:hAnsi="Arial" w:cs="Arial"/>
                <w:color w:val="000000"/>
                <w:lang w:eastAsia="zh-CN"/>
              </w:rPr>
            </w:pPr>
            <w:r w:rsidRPr="00FD457D">
              <w:rPr>
                <w:rFonts w:ascii="Arial" w:eastAsia="SimSun" w:hAnsi="Arial" w:cs="Arial"/>
                <w:b/>
                <w:color w:val="000000"/>
                <w:lang w:eastAsia="zh-CN"/>
              </w:rPr>
              <w:t>NB.</w:t>
            </w:r>
            <w:r w:rsidRPr="00FD457D">
              <w:rPr>
                <w:rFonts w:ascii="Arial" w:eastAsia="SimSun" w:hAnsi="Arial" w:cs="Arial"/>
                <w:color w:val="000000"/>
                <w:lang w:eastAsia="zh-CN"/>
              </w:rPr>
              <w:t xml:space="preserve">  All marks are provisional until confirmed by the Final Examination Board.</w:t>
            </w:r>
          </w:p>
          <w:p w14:paraId="41D790A4" w14:textId="77777777" w:rsidR="00FD457D" w:rsidRPr="00FD457D" w:rsidRDefault="00FD457D" w:rsidP="00FD457D">
            <w:pPr>
              <w:spacing w:after="0" w:line="240" w:lineRule="auto"/>
              <w:rPr>
                <w:rFonts w:ascii="Arial" w:eastAsia="SimSun" w:hAnsi="Arial" w:cs="Arial"/>
                <w:b/>
                <w:color w:val="000000"/>
                <w:lang w:eastAsia="zh-CN"/>
              </w:rPr>
            </w:pPr>
          </w:p>
          <w:p w14:paraId="05D4B913" w14:textId="77777777" w:rsidR="00FD457D" w:rsidRPr="00FD457D" w:rsidRDefault="00FD457D" w:rsidP="00FD457D">
            <w:pPr>
              <w:spacing w:after="0" w:line="240" w:lineRule="auto"/>
              <w:rPr>
                <w:rFonts w:ascii="Arial" w:eastAsia="SimSun" w:hAnsi="Arial" w:cs="Arial"/>
                <w:b/>
                <w:color w:val="000000"/>
                <w:lang w:eastAsia="zh-CN"/>
              </w:rPr>
            </w:pPr>
          </w:p>
          <w:p w14:paraId="4CCCCB0B" w14:textId="77777777" w:rsidR="00FD457D" w:rsidRPr="00FD457D" w:rsidRDefault="00FD457D" w:rsidP="00FD457D">
            <w:pPr>
              <w:spacing w:after="0" w:line="240" w:lineRule="auto"/>
              <w:rPr>
                <w:rFonts w:ascii="Arial" w:eastAsia="SimSun" w:hAnsi="Arial" w:cs="Arial"/>
                <w:b/>
                <w:color w:val="000000"/>
                <w:lang w:eastAsia="zh-CN"/>
              </w:rPr>
            </w:pPr>
          </w:p>
          <w:p w14:paraId="6796473A" w14:textId="77777777" w:rsidR="00FD457D" w:rsidRPr="00FD457D" w:rsidRDefault="00FD457D" w:rsidP="00FD457D">
            <w:pPr>
              <w:spacing w:after="0" w:line="240" w:lineRule="auto"/>
              <w:rPr>
                <w:rFonts w:ascii="Arial" w:eastAsia="SimSun" w:hAnsi="Arial" w:cs="Arial"/>
                <w:b/>
                <w:color w:val="000000"/>
                <w:lang w:eastAsia="zh-CN"/>
              </w:rPr>
            </w:pPr>
          </w:p>
          <w:p w14:paraId="0B375AEF" w14:textId="77777777" w:rsidR="00FD457D" w:rsidRPr="00FD457D" w:rsidRDefault="00FD457D" w:rsidP="00FD457D">
            <w:pPr>
              <w:spacing w:after="0" w:line="240" w:lineRule="auto"/>
              <w:rPr>
                <w:rFonts w:ascii="Arial" w:eastAsia="SimSun" w:hAnsi="Arial" w:cs="Arial"/>
                <w:b/>
                <w:color w:val="000000"/>
                <w:lang w:eastAsia="zh-CN"/>
              </w:rPr>
            </w:pPr>
          </w:p>
          <w:p w14:paraId="65A834A6" w14:textId="77777777" w:rsidR="00FD457D" w:rsidRPr="00FD457D" w:rsidRDefault="00FD457D" w:rsidP="00FD457D">
            <w:pPr>
              <w:spacing w:after="0" w:line="240" w:lineRule="auto"/>
              <w:rPr>
                <w:rFonts w:ascii="Arial" w:eastAsia="SimSun" w:hAnsi="Arial" w:cs="Arial"/>
                <w:b/>
                <w:color w:val="000000"/>
                <w:lang w:eastAsia="zh-CN"/>
              </w:rPr>
            </w:pPr>
            <w:r w:rsidRPr="00FD457D">
              <w:rPr>
                <w:rFonts w:ascii="Arial" w:eastAsia="SimSun" w:hAnsi="Arial" w:cs="Arial"/>
                <w:b/>
                <w:color w:val="000000"/>
                <w:lang w:eastAsia="zh-CN"/>
              </w:rPr>
              <w:t>For completion by Marker 1 :</w:t>
            </w:r>
          </w:p>
          <w:p w14:paraId="00F8BC7E" w14:textId="77777777" w:rsidR="00FD457D" w:rsidRPr="00FD457D" w:rsidRDefault="00FD457D" w:rsidP="00FD457D">
            <w:pPr>
              <w:spacing w:before="100" w:beforeAutospacing="1" w:after="100" w:afterAutospacing="1" w:line="240" w:lineRule="auto"/>
              <w:rPr>
                <w:rFonts w:ascii="Arial" w:eastAsia="SimSun" w:hAnsi="Arial" w:cs="Arial"/>
                <w:color w:val="000000"/>
                <w:lang w:eastAsia="zh-CN"/>
              </w:rPr>
            </w:pPr>
            <w:r w:rsidRPr="00FD457D">
              <w:rPr>
                <w:rFonts w:ascii="Arial" w:eastAsia="SimSun" w:hAnsi="Arial" w:cs="Arial"/>
                <w:color w:val="000000"/>
                <w:lang w:eastAsia="zh-CN"/>
              </w:rPr>
              <w:t>Comments:</w:t>
            </w:r>
          </w:p>
          <w:p w14:paraId="6163EEBC" w14:textId="77777777" w:rsidR="00FD457D" w:rsidRPr="00FD457D" w:rsidRDefault="00FD457D" w:rsidP="00FD457D">
            <w:pPr>
              <w:spacing w:before="100" w:beforeAutospacing="1" w:after="100" w:afterAutospacing="1" w:line="240" w:lineRule="auto"/>
              <w:rPr>
                <w:rFonts w:ascii="Arial" w:eastAsia="SimSun" w:hAnsi="Arial" w:cs="Arial"/>
                <w:color w:val="000000"/>
                <w:lang w:eastAsia="zh-CN"/>
              </w:rPr>
            </w:pPr>
          </w:p>
        </w:tc>
      </w:tr>
      <w:tr w:rsidR="00FD457D" w:rsidRPr="00FD457D" w14:paraId="2BACABA4" w14:textId="77777777" w:rsidTr="00963C2A">
        <w:trPr>
          <w:trHeight w:val="492"/>
        </w:trPr>
        <w:tc>
          <w:tcPr>
            <w:tcW w:w="6768" w:type="dxa"/>
            <w:gridSpan w:val="3"/>
          </w:tcPr>
          <w:p w14:paraId="62CF27E8" w14:textId="77777777" w:rsidR="00FD457D" w:rsidRPr="00FD457D" w:rsidRDefault="00FD457D" w:rsidP="00FD457D">
            <w:pPr>
              <w:spacing w:before="100" w:beforeAutospacing="1" w:after="100" w:afterAutospacing="1" w:line="240" w:lineRule="auto"/>
              <w:ind w:left="142" w:right="34"/>
              <w:rPr>
                <w:rFonts w:ascii="Arial" w:eastAsia="SimSun" w:hAnsi="Arial" w:cs="Arial"/>
                <w:color w:val="000000"/>
                <w:lang w:eastAsia="zh-CN"/>
              </w:rPr>
            </w:pPr>
            <w:r w:rsidRPr="00FD457D">
              <w:rPr>
                <w:rFonts w:ascii="Arial" w:eastAsia="SimSun" w:hAnsi="Arial" w:cs="Arial"/>
                <w:color w:val="000000"/>
                <w:lang w:eastAsia="zh-CN"/>
              </w:rPr>
              <w:lastRenderedPageBreak/>
              <w:t>Marker’s signature:</w:t>
            </w:r>
          </w:p>
        </w:tc>
        <w:tc>
          <w:tcPr>
            <w:tcW w:w="2088" w:type="dxa"/>
            <w:gridSpan w:val="2"/>
          </w:tcPr>
          <w:p w14:paraId="403AD290" w14:textId="77777777" w:rsidR="00FD457D" w:rsidRPr="00FD457D" w:rsidRDefault="00FD457D" w:rsidP="00FD457D">
            <w:pPr>
              <w:spacing w:before="100" w:beforeAutospacing="1" w:after="0" w:afterAutospacing="1" w:line="240" w:lineRule="auto"/>
              <w:ind w:left="142" w:right="34"/>
              <w:rPr>
                <w:rFonts w:ascii="Arial" w:eastAsia="SimSun" w:hAnsi="Arial" w:cs="Arial"/>
                <w:color w:val="000000"/>
                <w:lang w:eastAsia="zh-CN"/>
              </w:rPr>
            </w:pPr>
            <w:r w:rsidRPr="00FD457D">
              <w:rPr>
                <w:rFonts w:ascii="Arial" w:eastAsia="SimSun" w:hAnsi="Arial" w:cs="Arial"/>
                <w:color w:val="000000"/>
                <w:lang w:eastAsia="zh-CN"/>
              </w:rPr>
              <w:t>Date:</w:t>
            </w:r>
          </w:p>
        </w:tc>
      </w:tr>
      <w:tr w:rsidR="00FD457D" w:rsidRPr="00FD457D" w14:paraId="0C136AFF" w14:textId="77777777" w:rsidTr="00963C2A">
        <w:tc>
          <w:tcPr>
            <w:tcW w:w="8856" w:type="dxa"/>
            <w:gridSpan w:val="5"/>
          </w:tcPr>
          <w:p w14:paraId="1A417771" w14:textId="77777777" w:rsidR="00FD457D" w:rsidRPr="00FD457D" w:rsidRDefault="00FD457D" w:rsidP="00FD457D">
            <w:pPr>
              <w:spacing w:after="0" w:line="240" w:lineRule="auto"/>
              <w:ind w:right="-334"/>
              <w:rPr>
                <w:rFonts w:ascii="Arial" w:eastAsia="SimSun" w:hAnsi="Arial" w:cs="Arial"/>
                <w:bCs/>
                <w:i/>
                <w:color w:val="000000"/>
                <w:lang w:eastAsia="zh-CN"/>
              </w:rPr>
            </w:pPr>
          </w:p>
          <w:p w14:paraId="5C8FDAC1" w14:textId="77777777" w:rsidR="00FD457D" w:rsidRPr="00FD457D" w:rsidRDefault="00FD457D" w:rsidP="00FD457D">
            <w:pPr>
              <w:spacing w:after="0" w:line="240" w:lineRule="auto"/>
              <w:ind w:right="-334"/>
              <w:rPr>
                <w:rFonts w:ascii="Arial" w:eastAsia="SimSun" w:hAnsi="Arial" w:cs="Arial"/>
                <w:b/>
                <w:bCs/>
                <w:color w:val="000000"/>
                <w:lang w:eastAsia="zh-CN"/>
              </w:rPr>
            </w:pPr>
            <w:r w:rsidRPr="00FD457D">
              <w:rPr>
                <w:rFonts w:ascii="Arial" w:eastAsia="SimSun" w:hAnsi="Arial" w:cs="Arial"/>
                <w:b/>
                <w:bCs/>
                <w:color w:val="000000"/>
                <w:lang w:eastAsia="zh-CN"/>
              </w:rPr>
              <w:t>For completion by Marker 2/Moderator:</w:t>
            </w:r>
          </w:p>
          <w:p w14:paraId="15C7FA81" w14:textId="77777777" w:rsidR="00FD457D" w:rsidRPr="00FD457D" w:rsidRDefault="00FD457D" w:rsidP="00FD457D">
            <w:pPr>
              <w:spacing w:after="0" w:line="240" w:lineRule="auto"/>
              <w:ind w:right="-334"/>
              <w:rPr>
                <w:rFonts w:ascii="Arial" w:eastAsia="SimSun" w:hAnsi="Arial" w:cs="Arial"/>
                <w:b/>
                <w:bCs/>
                <w:color w:val="000000"/>
                <w:lang w:eastAsia="zh-CN"/>
              </w:rPr>
            </w:pPr>
          </w:p>
          <w:p w14:paraId="33E1D8EB" w14:textId="77777777" w:rsidR="00FD457D" w:rsidRPr="00FD457D" w:rsidRDefault="00FD457D" w:rsidP="00FD457D">
            <w:pPr>
              <w:spacing w:after="0" w:line="240" w:lineRule="auto"/>
              <w:ind w:right="-334"/>
              <w:rPr>
                <w:rFonts w:ascii="Arial" w:eastAsia="SimSun" w:hAnsi="Arial" w:cs="Arial"/>
                <w:bCs/>
                <w:color w:val="000000"/>
                <w:lang w:eastAsia="zh-CN"/>
              </w:rPr>
            </w:pPr>
            <w:r w:rsidRPr="00FD457D">
              <w:rPr>
                <w:rFonts w:ascii="Arial" w:eastAsia="SimSun" w:hAnsi="Arial" w:cs="Arial"/>
                <w:bCs/>
                <w:color w:val="000000"/>
                <w:lang w:eastAsia="zh-CN"/>
              </w:rPr>
              <w:t>Comments:</w:t>
            </w:r>
          </w:p>
          <w:p w14:paraId="7A4B6FBB" w14:textId="77777777" w:rsidR="00FD457D" w:rsidRPr="00FD457D" w:rsidRDefault="00FD457D" w:rsidP="00FD457D">
            <w:pPr>
              <w:spacing w:after="0" w:line="240" w:lineRule="auto"/>
              <w:ind w:right="-334"/>
              <w:rPr>
                <w:rFonts w:ascii="Arial" w:eastAsia="SimSun" w:hAnsi="Arial" w:cs="Arial"/>
                <w:bCs/>
                <w:color w:val="000000"/>
                <w:lang w:eastAsia="zh-CN"/>
              </w:rPr>
            </w:pPr>
          </w:p>
          <w:p w14:paraId="3B0A5A43" w14:textId="77777777" w:rsidR="00FD457D" w:rsidRPr="00FD457D" w:rsidRDefault="00FD457D" w:rsidP="00FD457D">
            <w:pPr>
              <w:spacing w:after="0" w:line="240" w:lineRule="auto"/>
              <w:ind w:right="-334"/>
              <w:rPr>
                <w:rFonts w:ascii="Arial" w:eastAsia="SimSun" w:hAnsi="Arial" w:cs="Arial"/>
                <w:bCs/>
                <w:color w:val="000000"/>
                <w:lang w:eastAsia="zh-CN"/>
              </w:rPr>
            </w:pPr>
          </w:p>
          <w:p w14:paraId="17358399" w14:textId="77777777" w:rsidR="00FD457D" w:rsidRPr="00FD457D" w:rsidRDefault="00FD457D" w:rsidP="00FD457D">
            <w:pPr>
              <w:spacing w:after="0" w:line="240" w:lineRule="auto"/>
              <w:ind w:right="-334"/>
              <w:rPr>
                <w:rFonts w:ascii="Arial" w:eastAsia="SimSun" w:hAnsi="Arial" w:cs="Arial"/>
                <w:bCs/>
                <w:color w:val="000000"/>
                <w:lang w:eastAsia="zh-CN"/>
              </w:rPr>
            </w:pPr>
          </w:p>
          <w:p w14:paraId="7B065474" w14:textId="77777777" w:rsidR="00FD457D" w:rsidRPr="00FD457D" w:rsidRDefault="00FD457D" w:rsidP="00FD457D">
            <w:pPr>
              <w:spacing w:after="0" w:line="240" w:lineRule="auto"/>
              <w:ind w:right="-334"/>
              <w:rPr>
                <w:rFonts w:ascii="Arial" w:eastAsia="SimSun" w:hAnsi="Arial" w:cs="Arial"/>
                <w:bCs/>
                <w:color w:val="000000"/>
                <w:lang w:eastAsia="zh-CN"/>
              </w:rPr>
            </w:pPr>
          </w:p>
          <w:p w14:paraId="3CE2D81B" w14:textId="77777777" w:rsidR="00FD457D" w:rsidRPr="00FD457D" w:rsidRDefault="00FD457D" w:rsidP="00FD457D">
            <w:pPr>
              <w:spacing w:after="0" w:line="240" w:lineRule="auto"/>
              <w:ind w:right="-334"/>
              <w:rPr>
                <w:rFonts w:ascii="Arial" w:eastAsia="SimSun" w:hAnsi="Arial" w:cs="Arial"/>
                <w:bCs/>
                <w:color w:val="000000"/>
                <w:lang w:eastAsia="zh-CN"/>
              </w:rPr>
            </w:pPr>
          </w:p>
          <w:p w14:paraId="65896849" w14:textId="77777777" w:rsidR="00FD457D" w:rsidRPr="00FD457D" w:rsidRDefault="00FD457D" w:rsidP="00FD457D">
            <w:pPr>
              <w:spacing w:after="0" w:line="240" w:lineRule="auto"/>
              <w:ind w:right="-334"/>
              <w:rPr>
                <w:rFonts w:ascii="Arial" w:eastAsia="SimSun" w:hAnsi="Arial" w:cs="Arial"/>
                <w:bCs/>
                <w:color w:val="000000"/>
                <w:lang w:eastAsia="zh-CN"/>
              </w:rPr>
            </w:pPr>
          </w:p>
          <w:p w14:paraId="6372A89C" w14:textId="77777777" w:rsidR="00FD457D" w:rsidRPr="00FD457D" w:rsidRDefault="00FD457D" w:rsidP="00FD457D">
            <w:pPr>
              <w:spacing w:after="0" w:line="240" w:lineRule="auto"/>
              <w:ind w:right="-334"/>
              <w:rPr>
                <w:rFonts w:ascii="Arial" w:eastAsia="SimSun" w:hAnsi="Arial" w:cs="Arial"/>
                <w:bCs/>
                <w:color w:val="000000"/>
                <w:lang w:eastAsia="zh-CN"/>
              </w:rPr>
            </w:pPr>
          </w:p>
          <w:p w14:paraId="40BB5EAF" w14:textId="77777777" w:rsidR="00FD457D" w:rsidRPr="00FD457D" w:rsidRDefault="00FD457D" w:rsidP="00FD457D">
            <w:pPr>
              <w:spacing w:after="0" w:line="240" w:lineRule="auto"/>
              <w:ind w:right="-334"/>
              <w:rPr>
                <w:rFonts w:ascii="Arial" w:eastAsia="SimSun" w:hAnsi="Arial" w:cs="Arial"/>
                <w:bCs/>
                <w:color w:val="000000"/>
                <w:lang w:eastAsia="zh-CN"/>
              </w:rPr>
            </w:pPr>
          </w:p>
          <w:p w14:paraId="6F2C3CA2" w14:textId="77777777" w:rsidR="00FD457D" w:rsidRPr="00FD457D" w:rsidRDefault="00FD457D" w:rsidP="00FD457D">
            <w:pPr>
              <w:spacing w:after="0" w:line="240" w:lineRule="auto"/>
              <w:ind w:right="-334"/>
              <w:rPr>
                <w:rFonts w:ascii="Arial" w:eastAsia="SimSun" w:hAnsi="Arial" w:cs="Arial"/>
                <w:bCs/>
                <w:color w:val="000000"/>
                <w:lang w:eastAsia="zh-CN"/>
              </w:rPr>
            </w:pPr>
          </w:p>
          <w:p w14:paraId="0F1F039F" w14:textId="77777777" w:rsidR="00FD457D" w:rsidRPr="00FD457D" w:rsidRDefault="00FD457D" w:rsidP="00FD457D">
            <w:pPr>
              <w:spacing w:after="0" w:line="240" w:lineRule="auto"/>
              <w:ind w:right="-334"/>
              <w:rPr>
                <w:rFonts w:ascii="Arial" w:eastAsia="SimSun" w:hAnsi="Arial" w:cs="Arial"/>
                <w:bCs/>
                <w:color w:val="000000"/>
                <w:lang w:eastAsia="zh-CN"/>
              </w:rPr>
            </w:pPr>
          </w:p>
          <w:p w14:paraId="33DAAC7A" w14:textId="77777777" w:rsidR="00FD457D" w:rsidRPr="00FD457D" w:rsidRDefault="00FD457D" w:rsidP="00FD457D">
            <w:pPr>
              <w:spacing w:after="0" w:line="240" w:lineRule="auto"/>
              <w:ind w:right="-334"/>
              <w:rPr>
                <w:rFonts w:ascii="Arial" w:eastAsia="SimSun" w:hAnsi="Arial" w:cs="Arial"/>
                <w:bCs/>
                <w:color w:val="000000"/>
                <w:lang w:eastAsia="zh-CN"/>
              </w:rPr>
            </w:pPr>
          </w:p>
          <w:p w14:paraId="67178342" w14:textId="77777777" w:rsidR="00FD457D" w:rsidRPr="00FD457D" w:rsidRDefault="00FD457D" w:rsidP="00FD457D">
            <w:pPr>
              <w:spacing w:after="0" w:line="240" w:lineRule="auto"/>
              <w:ind w:right="-334"/>
              <w:rPr>
                <w:rFonts w:ascii="Arial" w:eastAsia="SimSun" w:hAnsi="Arial" w:cs="Arial"/>
                <w:bCs/>
                <w:color w:val="000000"/>
                <w:lang w:eastAsia="zh-CN"/>
              </w:rPr>
            </w:pPr>
          </w:p>
        </w:tc>
      </w:tr>
      <w:tr w:rsidR="00FD457D" w:rsidRPr="00FD457D" w14:paraId="3150E7B4" w14:textId="77777777" w:rsidTr="00963C2A">
        <w:trPr>
          <w:trHeight w:val="720"/>
        </w:trPr>
        <w:tc>
          <w:tcPr>
            <w:tcW w:w="5211" w:type="dxa"/>
            <w:gridSpan w:val="2"/>
          </w:tcPr>
          <w:p w14:paraId="5FFC8151" w14:textId="77777777" w:rsidR="00FD457D" w:rsidRPr="00FD457D" w:rsidRDefault="00FD457D" w:rsidP="00FD457D">
            <w:pPr>
              <w:spacing w:after="0" w:line="240" w:lineRule="auto"/>
              <w:ind w:right="-334"/>
              <w:rPr>
                <w:rFonts w:ascii="Arial" w:eastAsia="SimSun" w:hAnsi="Arial" w:cs="Arial"/>
                <w:bCs/>
                <w:color w:val="000000"/>
                <w:lang w:eastAsia="zh-CN"/>
              </w:rPr>
            </w:pPr>
            <w:r w:rsidRPr="00FD457D">
              <w:rPr>
                <w:rFonts w:ascii="Arial" w:eastAsia="SimSun" w:hAnsi="Arial" w:cs="Arial"/>
                <w:bCs/>
                <w:color w:val="000000"/>
                <w:lang w:eastAsia="zh-CN"/>
              </w:rPr>
              <w:t>Marker’s Signature:</w:t>
            </w:r>
          </w:p>
        </w:tc>
        <w:tc>
          <w:tcPr>
            <w:tcW w:w="3645" w:type="dxa"/>
            <w:gridSpan w:val="3"/>
          </w:tcPr>
          <w:p w14:paraId="74F9E19B" w14:textId="77777777" w:rsidR="00FD457D" w:rsidRPr="00FD457D" w:rsidRDefault="00FD457D" w:rsidP="00FD457D">
            <w:pPr>
              <w:spacing w:after="0" w:line="240" w:lineRule="auto"/>
              <w:ind w:right="-334"/>
              <w:rPr>
                <w:rFonts w:ascii="Arial" w:eastAsia="SimSun" w:hAnsi="Arial" w:cs="Arial"/>
                <w:bCs/>
                <w:color w:val="000000"/>
                <w:lang w:eastAsia="zh-CN"/>
              </w:rPr>
            </w:pPr>
            <w:r w:rsidRPr="00FD457D">
              <w:rPr>
                <w:rFonts w:ascii="Arial" w:eastAsia="SimSun" w:hAnsi="Arial" w:cs="Arial"/>
                <w:bCs/>
                <w:color w:val="000000"/>
                <w:lang w:eastAsia="zh-CN"/>
              </w:rPr>
              <w:t>Date:</w:t>
            </w:r>
          </w:p>
        </w:tc>
      </w:tr>
      <w:tr w:rsidR="00FD457D" w:rsidRPr="00FD457D" w14:paraId="7495196D" w14:textId="77777777" w:rsidTr="00963C2A">
        <w:trPr>
          <w:trHeight w:val="720"/>
        </w:trPr>
        <w:tc>
          <w:tcPr>
            <w:tcW w:w="8856" w:type="dxa"/>
            <w:gridSpan w:val="5"/>
          </w:tcPr>
          <w:p w14:paraId="07D5A98E" w14:textId="77777777" w:rsidR="00FD457D" w:rsidRPr="00FD457D" w:rsidRDefault="00FD457D" w:rsidP="00FD457D">
            <w:pPr>
              <w:spacing w:after="0" w:line="240" w:lineRule="auto"/>
              <w:rPr>
                <w:rFonts w:ascii="Arial" w:eastAsia="SimSun" w:hAnsi="Arial" w:cs="Arial"/>
                <w:b/>
                <w:lang w:eastAsia="zh-CN"/>
              </w:rPr>
            </w:pPr>
            <w:r w:rsidRPr="00FD457D">
              <w:rPr>
                <w:rFonts w:ascii="Arial" w:eastAsia="SimSun" w:hAnsi="Arial" w:cs="Arial"/>
                <w:b/>
                <w:lang w:eastAsia="zh-CN"/>
              </w:rPr>
              <w:t>External Examiner’s comments (if relevant)</w:t>
            </w:r>
          </w:p>
          <w:p w14:paraId="2AD652CD" w14:textId="77777777" w:rsidR="00FD457D" w:rsidRPr="00FD457D" w:rsidRDefault="00FD457D" w:rsidP="00FD457D">
            <w:pPr>
              <w:spacing w:after="0" w:line="240" w:lineRule="auto"/>
              <w:ind w:right="-334"/>
              <w:rPr>
                <w:rFonts w:ascii="Arial" w:eastAsia="SimSun" w:hAnsi="Arial" w:cs="Arial"/>
                <w:bCs/>
                <w:color w:val="000000"/>
                <w:lang w:eastAsia="zh-CN"/>
              </w:rPr>
            </w:pPr>
          </w:p>
          <w:p w14:paraId="7B334E5F" w14:textId="77777777" w:rsidR="00FD457D" w:rsidRPr="00FD457D" w:rsidRDefault="00FD457D" w:rsidP="00FD457D">
            <w:pPr>
              <w:spacing w:after="0" w:line="240" w:lineRule="auto"/>
              <w:ind w:right="-334"/>
              <w:rPr>
                <w:rFonts w:ascii="Arial" w:eastAsia="SimSun" w:hAnsi="Arial" w:cs="Arial"/>
                <w:bCs/>
                <w:color w:val="000000"/>
                <w:lang w:eastAsia="zh-CN"/>
              </w:rPr>
            </w:pPr>
          </w:p>
          <w:p w14:paraId="7A5292C9" w14:textId="77777777" w:rsidR="00FD457D" w:rsidRPr="00FD457D" w:rsidRDefault="00FD457D" w:rsidP="00FD457D">
            <w:pPr>
              <w:spacing w:after="0" w:line="240" w:lineRule="auto"/>
              <w:ind w:right="-334"/>
              <w:rPr>
                <w:rFonts w:ascii="Arial" w:eastAsia="SimSun" w:hAnsi="Arial" w:cs="Arial"/>
                <w:bCs/>
                <w:color w:val="000000"/>
                <w:lang w:eastAsia="zh-CN"/>
              </w:rPr>
            </w:pPr>
          </w:p>
          <w:p w14:paraId="4CD62806" w14:textId="77777777" w:rsidR="00FD457D" w:rsidRPr="00FD457D" w:rsidRDefault="00FD457D" w:rsidP="00FD457D">
            <w:pPr>
              <w:spacing w:after="0" w:line="240" w:lineRule="auto"/>
              <w:ind w:right="-334"/>
              <w:rPr>
                <w:rFonts w:ascii="Arial" w:eastAsia="SimSun" w:hAnsi="Arial" w:cs="Arial"/>
                <w:bCs/>
                <w:color w:val="000000"/>
                <w:lang w:eastAsia="zh-CN"/>
              </w:rPr>
            </w:pPr>
          </w:p>
          <w:p w14:paraId="4ECA4386" w14:textId="77777777" w:rsidR="00FD457D" w:rsidRPr="00FD457D" w:rsidRDefault="00FD457D" w:rsidP="00FD457D">
            <w:pPr>
              <w:spacing w:after="0" w:line="240" w:lineRule="auto"/>
              <w:ind w:right="-334"/>
              <w:rPr>
                <w:rFonts w:ascii="Arial" w:eastAsia="SimSun" w:hAnsi="Arial" w:cs="Arial"/>
                <w:bCs/>
                <w:color w:val="000000"/>
                <w:lang w:eastAsia="zh-CN"/>
              </w:rPr>
            </w:pPr>
          </w:p>
          <w:p w14:paraId="408D4140" w14:textId="77777777" w:rsidR="00FD457D" w:rsidRPr="00FD457D" w:rsidRDefault="00FD457D" w:rsidP="00FD457D">
            <w:pPr>
              <w:spacing w:after="0" w:line="240" w:lineRule="auto"/>
              <w:ind w:right="-334"/>
              <w:rPr>
                <w:rFonts w:ascii="Arial" w:eastAsia="SimSun" w:hAnsi="Arial" w:cs="Arial"/>
                <w:bCs/>
                <w:color w:val="000000"/>
                <w:lang w:eastAsia="zh-CN"/>
              </w:rPr>
            </w:pPr>
          </w:p>
          <w:p w14:paraId="060CF85D" w14:textId="77777777" w:rsidR="00FD457D" w:rsidRPr="00FD457D" w:rsidRDefault="00FD457D" w:rsidP="00FD457D">
            <w:pPr>
              <w:spacing w:after="0" w:line="240" w:lineRule="auto"/>
              <w:ind w:right="-334"/>
              <w:rPr>
                <w:rFonts w:ascii="Arial" w:eastAsia="SimSun" w:hAnsi="Arial" w:cs="Arial"/>
                <w:bCs/>
                <w:color w:val="000000"/>
                <w:lang w:eastAsia="zh-CN"/>
              </w:rPr>
            </w:pPr>
          </w:p>
          <w:p w14:paraId="3AA0BF88" w14:textId="77777777" w:rsidR="00FD457D" w:rsidRPr="00FD457D" w:rsidRDefault="00FD457D" w:rsidP="00FD457D">
            <w:pPr>
              <w:spacing w:after="0" w:line="240" w:lineRule="auto"/>
              <w:ind w:right="-334"/>
              <w:rPr>
                <w:rFonts w:ascii="Arial" w:eastAsia="SimSun" w:hAnsi="Arial" w:cs="Arial"/>
                <w:bCs/>
                <w:color w:val="000000"/>
                <w:lang w:eastAsia="zh-CN"/>
              </w:rPr>
            </w:pPr>
          </w:p>
          <w:p w14:paraId="43E0A3A4" w14:textId="77777777" w:rsidR="00FD457D" w:rsidRPr="00FD457D" w:rsidRDefault="00FD457D" w:rsidP="00FD457D">
            <w:pPr>
              <w:spacing w:after="0" w:line="240" w:lineRule="auto"/>
              <w:ind w:right="-334"/>
              <w:rPr>
                <w:rFonts w:ascii="Arial" w:eastAsia="SimSun" w:hAnsi="Arial" w:cs="Arial"/>
                <w:bCs/>
                <w:color w:val="000000"/>
                <w:lang w:eastAsia="zh-CN"/>
              </w:rPr>
            </w:pPr>
          </w:p>
          <w:p w14:paraId="1BF29F40" w14:textId="77777777" w:rsidR="00FD457D" w:rsidRPr="00FD457D" w:rsidRDefault="00FD457D" w:rsidP="00FD457D">
            <w:pPr>
              <w:spacing w:after="0" w:line="240" w:lineRule="auto"/>
              <w:ind w:right="-334"/>
              <w:rPr>
                <w:rFonts w:ascii="Arial" w:eastAsia="SimSun" w:hAnsi="Arial" w:cs="Arial"/>
                <w:bCs/>
                <w:color w:val="000000"/>
                <w:lang w:eastAsia="zh-CN"/>
              </w:rPr>
            </w:pPr>
          </w:p>
          <w:p w14:paraId="45D41777" w14:textId="77777777" w:rsidR="00FD457D" w:rsidRPr="00FD457D" w:rsidRDefault="00FD457D" w:rsidP="00FD457D">
            <w:pPr>
              <w:spacing w:after="0" w:line="240" w:lineRule="auto"/>
              <w:ind w:right="-334"/>
              <w:rPr>
                <w:rFonts w:ascii="Arial" w:eastAsia="SimSun" w:hAnsi="Arial" w:cs="Arial"/>
                <w:bCs/>
                <w:color w:val="000000"/>
                <w:lang w:eastAsia="zh-CN"/>
              </w:rPr>
            </w:pPr>
          </w:p>
        </w:tc>
      </w:tr>
      <w:tr w:rsidR="00FD457D" w:rsidRPr="00FD457D" w14:paraId="55E99763" w14:textId="77777777" w:rsidTr="00963C2A">
        <w:trPr>
          <w:trHeight w:val="720"/>
        </w:trPr>
        <w:tc>
          <w:tcPr>
            <w:tcW w:w="5211" w:type="dxa"/>
            <w:gridSpan w:val="2"/>
          </w:tcPr>
          <w:p w14:paraId="16FD6BB4" w14:textId="77777777" w:rsidR="00FD457D" w:rsidRPr="00FD457D" w:rsidRDefault="00FD457D" w:rsidP="00FD457D">
            <w:pPr>
              <w:spacing w:after="0" w:line="240" w:lineRule="auto"/>
              <w:rPr>
                <w:rFonts w:ascii="Arial" w:eastAsia="SimSun" w:hAnsi="Arial" w:cs="Arial"/>
                <w:lang w:eastAsia="zh-CN"/>
              </w:rPr>
            </w:pPr>
            <w:r w:rsidRPr="00FD457D">
              <w:rPr>
                <w:rFonts w:ascii="Arial" w:eastAsia="SimSun" w:hAnsi="Arial" w:cs="Arial"/>
                <w:lang w:eastAsia="zh-CN"/>
              </w:rPr>
              <w:t>External Examiner’s Signature:</w:t>
            </w:r>
          </w:p>
        </w:tc>
        <w:tc>
          <w:tcPr>
            <w:tcW w:w="3645" w:type="dxa"/>
            <w:gridSpan w:val="3"/>
          </w:tcPr>
          <w:p w14:paraId="13198AAC" w14:textId="77777777" w:rsidR="00FD457D" w:rsidRPr="00FD457D" w:rsidRDefault="00FD457D" w:rsidP="00FD457D">
            <w:pPr>
              <w:spacing w:after="0" w:line="240" w:lineRule="auto"/>
              <w:rPr>
                <w:rFonts w:ascii="Arial" w:eastAsia="SimSun" w:hAnsi="Arial" w:cs="Arial"/>
                <w:lang w:eastAsia="zh-CN"/>
              </w:rPr>
            </w:pPr>
            <w:r w:rsidRPr="00FD457D">
              <w:rPr>
                <w:rFonts w:ascii="Arial" w:eastAsia="SimSun" w:hAnsi="Arial" w:cs="Arial"/>
                <w:lang w:eastAsia="zh-CN"/>
              </w:rPr>
              <w:t>Date:</w:t>
            </w:r>
          </w:p>
        </w:tc>
      </w:tr>
    </w:tbl>
    <w:p w14:paraId="7D61A5ED" w14:textId="77777777" w:rsidR="00FD457D" w:rsidRPr="00FD457D" w:rsidRDefault="00FD457D" w:rsidP="00FD457D">
      <w:pPr>
        <w:spacing w:after="0" w:line="240" w:lineRule="auto"/>
        <w:ind w:right="-334"/>
        <w:rPr>
          <w:rFonts w:ascii="Trebuchet MS" w:eastAsia="SimSun" w:hAnsi="Trebuchet MS" w:cs="Tahoma"/>
          <w:bCs/>
          <w:color w:val="000000"/>
          <w:sz w:val="24"/>
          <w:szCs w:val="24"/>
          <w:lang w:eastAsia="zh-CN"/>
        </w:rPr>
      </w:pPr>
    </w:p>
    <w:p w14:paraId="75584F19" w14:textId="77777777" w:rsidR="00FD457D" w:rsidRDefault="00FD457D" w:rsidP="009974DB">
      <w:pPr>
        <w:jc w:val="center"/>
        <w:rPr>
          <w:b/>
          <w:bCs/>
          <w:sz w:val="24"/>
          <w:szCs w:val="24"/>
        </w:rPr>
      </w:pPr>
    </w:p>
    <w:p w14:paraId="79B4BE6E" w14:textId="7607DEB6" w:rsidR="008F6DB9" w:rsidRPr="00C918D9" w:rsidRDefault="009974DB" w:rsidP="009974DB">
      <w:pPr>
        <w:jc w:val="center"/>
        <w:rPr>
          <w:sz w:val="24"/>
          <w:szCs w:val="24"/>
        </w:rPr>
      </w:pPr>
      <w:r w:rsidRPr="00C918D9">
        <w:rPr>
          <w:b/>
          <w:bCs/>
          <w:sz w:val="24"/>
          <w:szCs w:val="24"/>
        </w:rPr>
        <w:lastRenderedPageBreak/>
        <w:t>A Critical Comparison of Two Secondary Sources</w:t>
      </w:r>
      <w:r w:rsidR="001A7124">
        <w:rPr>
          <w:b/>
          <w:bCs/>
          <w:sz w:val="24"/>
          <w:szCs w:val="24"/>
        </w:rPr>
        <w:br/>
      </w:r>
      <w:r w:rsidRPr="00C918D9">
        <w:rPr>
          <w:sz w:val="24"/>
          <w:szCs w:val="24"/>
        </w:rPr>
        <w:t xml:space="preserve">Word Count: </w:t>
      </w:r>
      <w:r w:rsidR="00CC51D5">
        <w:rPr>
          <w:sz w:val="24"/>
          <w:szCs w:val="24"/>
        </w:rPr>
        <w:t>2,49</w:t>
      </w:r>
      <w:r w:rsidR="00C633ED">
        <w:rPr>
          <w:sz w:val="24"/>
          <w:szCs w:val="24"/>
        </w:rPr>
        <w:t>7</w:t>
      </w:r>
    </w:p>
    <w:p w14:paraId="1BFD10E7" w14:textId="03E7240E" w:rsidR="2AEB3C52" w:rsidRDefault="2AEB3C52" w:rsidP="00CA09EB">
      <w:pPr>
        <w:contextualSpacing/>
        <w:jc w:val="both"/>
      </w:pPr>
    </w:p>
    <w:p w14:paraId="555EE462" w14:textId="42A1FE9B" w:rsidR="00D400A6" w:rsidRPr="00D400A6" w:rsidRDefault="00D400A6" w:rsidP="00CA09EB">
      <w:pPr>
        <w:contextualSpacing/>
        <w:jc w:val="both"/>
        <w:rPr>
          <w:b/>
          <w:bCs/>
        </w:rPr>
      </w:pPr>
      <w:r w:rsidRPr="00D400A6">
        <w:rPr>
          <w:b/>
          <w:bCs/>
        </w:rPr>
        <w:t>Introduction</w:t>
      </w:r>
    </w:p>
    <w:p w14:paraId="0317AC6C" w14:textId="324CAC3E" w:rsidR="002467A9" w:rsidRDefault="41D78CF0" w:rsidP="00B81F75">
      <w:pPr>
        <w:ind w:firstLine="720"/>
        <w:contextualSpacing/>
        <w:jc w:val="both"/>
      </w:pPr>
      <w:r w:rsidRPr="00371DEF">
        <w:t xml:space="preserve">This essay compares and contrasts </w:t>
      </w:r>
      <w:r w:rsidR="00B67C71">
        <w:t xml:space="preserve">the papers, </w:t>
      </w:r>
      <w:r w:rsidR="00400A29">
        <w:t>‘</w:t>
      </w:r>
      <w:r>
        <w:t>A Very Private Belief: Reincarnation in Contemporary England</w:t>
      </w:r>
      <w:r w:rsidR="00400A29">
        <w:t>’</w:t>
      </w:r>
      <w:r>
        <w:t xml:space="preserve"> by Tony Walter</w:t>
      </w:r>
      <w:r w:rsidR="0081108B">
        <w:t xml:space="preserve"> of</w:t>
      </w:r>
      <w:r>
        <w:t xml:space="preserve"> </w:t>
      </w:r>
      <w:r w:rsidR="00371DEF">
        <w:t xml:space="preserve">the </w:t>
      </w:r>
      <w:r>
        <w:t>Uni</w:t>
      </w:r>
      <w:r w:rsidR="0081108B">
        <w:t>v</w:t>
      </w:r>
      <w:r>
        <w:t>ers</w:t>
      </w:r>
      <w:r w:rsidR="0081108B">
        <w:t>it</w:t>
      </w:r>
      <w:r>
        <w:t>y of Reading</w:t>
      </w:r>
      <w:r w:rsidR="0081108B">
        <w:t xml:space="preserve"> and</w:t>
      </w:r>
      <w:r>
        <w:t xml:space="preserve"> Helen Waterhouse </w:t>
      </w:r>
      <w:r w:rsidR="0081108B">
        <w:t xml:space="preserve">of </w:t>
      </w:r>
      <w:r>
        <w:t>The Open Uni</w:t>
      </w:r>
      <w:r w:rsidR="0081108B">
        <w:t>v</w:t>
      </w:r>
      <w:r>
        <w:t>ersity</w:t>
      </w:r>
      <w:r w:rsidR="0081108B">
        <w:t>; with</w:t>
      </w:r>
      <w:r w:rsidR="0081108B" w:rsidRPr="0081108B">
        <w:rPr>
          <w:rFonts w:ascii="Calibri" w:eastAsia="Calibri" w:hAnsi="Calibri" w:cs="Calibri"/>
        </w:rPr>
        <w:t xml:space="preserve"> </w:t>
      </w:r>
      <w:bookmarkStart w:id="6" w:name="_Hlk67311608"/>
      <w:r w:rsidR="00400A29">
        <w:rPr>
          <w:rFonts w:ascii="Calibri" w:eastAsia="Calibri" w:hAnsi="Calibri" w:cs="Calibri"/>
        </w:rPr>
        <w:t>‘</w:t>
      </w:r>
      <w:r w:rsidR="00E47071">
        <w:rPr>
          <w:rFonts w:ascii="Calibri" w:eastAsia="Calibri" w:hAnsi="Calibri" w:cs="Calibri"/>
        </w:rPr>
        <w:t>“</w:t>
      </w:r>
      <w:r w:rsidR="0081108B" w:rsidRPr="2AEB3C52">
        <w:rPr>
          <w:rFonts w:ascii="Calibri" w:eastAsia="Calibri" w:hAnsi="Calibri" w:cs="Calibri"/>
        </w:rPr>
        <w:t>If</w:t>
      </w:r>
      <w:r w:rsidR="00400A29">
        <w:rPr>
          <w:rFonts w:ascii="Calibri" w:eastAsia="Calibri" w:hAnsi="Calibri" w:cs="Calibri"/>
        </w:rPr>
        <w:t xml:space="preserve"> </w:t>
      </w:r>
      <w:r w:rsidR="0081108B" w:rsidRPr="2AEB3C52">
        <w:rPr>
          <w:rFonts w:ascii="Calibri" w:eastAsia="Calibri" w:hAnsi="Calibri" w:cs="Calibri"/>
        </w:rPr>
        <w:t xml:space="preserve">I Knew You Were Coming, I'd Have Baked a Cake": The Folklore of Foreknowledge in a </w:t>
      </w:r>
      <w:r w:rsidR="00E47071" w:rsidRPr="2AEB3C52">
        <w:rPr>
          <w:rFonts w:ascii="Calibri" w:eastAsia="Calibri" w:hAnsi="Calibri" w:cs="Calibri"/>
        </w:rPr>
        <w:t>Neighbourhood</w:t>
      </w:r>
      <w:r w:rsidR="0081108B" w:rsidRPr="2AEB3C52">
        <w:rPr>
          <w:rFonts w:ascii="Calibri" w:eastAsia="Calibri" w:hAnsi="Calibri" w:cs="Calibri"/>
        </w:rPr>
        <w:t xml:space="preserve"> Group</w:t>
      </w:r>
      <w:r w:rsidR="00E47071">
        <w:rPr>
          <w:rFonts w:ascii="Calibri" w:eastAsia="Calibri" w:hAnsi="Calibri" w:cs="Calibri"/>
        </w:rPr>
        <w:t>’</w:t>
      </w:r>
      <w:r w:rsidR="0081108B" w:rsidRPr="2AEB3C52">
        <w:rPr>
          <w:rFonts w:ascii="Calibri" w:eastAsia="Calibri" w:hAnsi="Calibri" w:cs="Calibri"/>
        </w:rPr>
        <w:t xml:space="preserve"> by Gillian Bennett</w:t>
      </w:r>
      <w:bookmarkEnd w:id="6"/>
      <w:r w:rsidR="00AB495B">
        <w:rPr>
          <w:rFonts w:ascii="Calibri" w:eastAsia="Calibri" w:hAnsi="Calibri" w:cs="Calibri"/>
        </w:rPr>
        <w:t xml:space="preserve">, </w:t>
      </w:r>
      <w:r w:rsidR="00772DAE">
        <w:rPr>
          <w:rFonts w:ascii="Calibri" w:eastAsia="Calibri" w:hAnsi="Calibri" w:cs="Calibri"/>
        </w:rPr>
        <w:t>of the University of Sheffield</w:t>
      </w:r>
      <w:r w:rsidR="00E47071">
        <w:t>.</w:t>
      </w:r>
      <w:r w:rsidR="00A3453D" w:rsidRPr="2AEB3C52">
        <w:rPr>
          <w:rStyle w:val="FootnoteReference"/>
        </w:rPr>
        <w:footnoteReference w:id="2"/>
      </w:r>
      <w:r w:rsidR="00872EA1" w:rsidRPr="00872EA1">
        <w:t xml:space="preserve"> </w:t>
      </w:r>
      <w:r w:rsidR="00872EA1">
        <w:t xml:space="preserve">Both papers deal with </w:t>
      </w:r>
      <w:r w:rsidR="00150C5B">
        <w:t xml:space="preserve">spiritual </w:t>
      </w:r>
      <w:r w:rsidR="008A4958">
        <w:t>beliefs</w:t>
      </w:r>
      <w:r w:rsidR="00AE351C">
        <w:t>;</w:t>
      </w:r>
      <w:r w:rsidR="00B961FF">
        <w:t xml:space="preserve"> Walter and Waterhouse</w:t>
      </w:r>
      <w:r w:rsidR="00F61A9E">
        <w:t xml:space="preserve">’s </w:t>
      </w:r>
      <w:r w:rsidR="00AE351C">
        <w:t>with</w:t>
      </w:r>
      <w:r w:rsidR="001407E0">
        <w:t xml:space="preserve"> belief in reincarnation amongst people in the South West of England</w:t>
      </w:r>
      <w:r w:rsidR="00401658">
        <w:t xml:space="preserve">, whilst </w:t>
      </w:r>
      <w:r w:rsidR="00D449B8">
        <w:t>Bennet</w:t>
      </w:r>
      <w:r w:rsidR="00401658">
        <w:t>t’</w:t>
      </w:r>
      <w:r w:rsidR="00D449B8">
        <w:t xml:space="preserve">s explores belief in </w:t>
      </w:r>
      <w:r w:rsidR="00BF00FA">
        <w:t xml:space="preserve">the </w:t>
      </w:r>
      <w:r w:rsidR="00BE3F3D">
        <w:t>knowledge of the future amongst a group of elderly women in Northern England</w:t>
      </w:r>
      <w:r w:rsidR="00214D3A">
        <w:t>.</w:t>
      </w:r>
      <w:r w:rsidR="00872EA1">
        <w:t xml:space="preserve"> </w:t>
      </w:r>
    </w:p>
    <w:p w14:paraId="7602B36C" w14:textId="24FB30A8" w:rsidR="0067342C" w:rsidRPr="00D2514E" w:rsidRDefault="00DE7992" w:rsidP="00B81F75">
      <w:pPr>
        <w:ind w:firstLine="720"/>
        <w:contextualSpacing/>
        <w:jc w:val="both"/>
        <w:rPr>
          <w:rFonts w:ascii="Calibri" w:eastAsia="Calibri" w:hAnsi="Calibri" w:cs="Calibri"/>
        </w:rPr>
      </w:pPr>
      <w:r>
        <w:t>W</w:t>
      </w:r>
      <w:r w:rsidR="004E0AD4">
        <w:t>alter and Waterhouse</w:t>
      </w:r>
      <w:r w:rsidR="00AD59AA">
        <w:t>’s paper is taken</w:t>
      </w:r>
      <w:r w:rsidR="004E0AD4">
        <w:t xml:space="preserve"> from </w:t>
      </w:r>
      <w:r w:rsidR="00AD59AA">
        <w:t>the peer-reviewed</w:t>
      </w:r>
      <w:r w:rsidR="009329E9">
        <w:t xml:space="preserve"> j</w:t>
      </w:r>
      <w:r w:rsidR="00AD59AA">
        <w:t xml:space="preserve">ournal </w:t>
      </w:r>
      <w:r>
        <w:t>Sociology of Religion</w:t>
      </w:r>
      <w:r w:rsidR="00EF725A">
        <w:t>,</w:t>
      </w:r>
      <w:r>
        <w:t xml:space="preserve"> 1999</w:t>
      </w:r>
      <w:r w:rsidR="00401658">
        <w:t>,</w:t>
      </w:r>
      <w:r w:rsidR="00EF725A">
        <w:t xml:space="preserve"> with</w:t>
      </w:r>
      <w:r w:rsidR="00530AFA">
        <w:t xml:space="preserve"> </w:t>
      </w:r>
      <w:r w:rsidR="005F0B14" w:rsidRPr="00613824">
        <w:t>W</w:t>
      </w:r>
      <w:r w:rsidR="006F07CB">
        <w:t>alter</w:t>
      </w:r>
      <w:r w:rsidR="005F0B14" w:rsidRPr="00613824">
        <w:t xml:space="preserve"> </w:t>
      </w:r>
      <w:r w:rsidR="00401658">
        <w:t>writing</w:t>
      </w:r>
      <w:r w:rsidR="005F0B14" w:rsidRPr="00613824">
        <w:t xml:space="preserve"> from </w:t>
      </w:r>
      <w:r w:rsidR="006F07CB">
        <w:t>a</w:t>
      </w:r>
      <w:r w:rsidR="00EF725A" w:rsidRPr="00613824">
        <w:t xml:space="preserve"> soci</w:t>
      </w:r>
      <w:r w:rsidR="007F4CBA" w:rsidRPr="00613824">
        <w:t>ological perspective</w:t>
      </w:r>
      <w:r w:rsidR="006F07CB">
        <w:t>,</w:t>
      </w:r>
      <w:r w:rsidR="007F4CBA" w:rsidRPr="00613824">
        <w:t xml:space="preserve"> and Waterhouse from</w:t>
      </w:r>
      <w:r w:rsidR="006F07CB">
        <w:t xml:space="preserve"> one of</w:t>
      </w:r>
      <w:r w:rsidR="007F4CBA" w:rsidRPr="00613824">
        <w:t xml:space="preserve"> </w:t>
      </w:r>
      <w:r w:rsidR="00613824" w:rsidRPr="00613824">
        <w:t>religious studies.</w:t>
      </w:r>
      <w:r w:rsidR="00066918">
        <w:t xml:space="preserve"> </w:t>
      </w:r>
      <w:r w:rsidR="007A7CB1" w:rsidRPr="00470F01">
        <w:rPr>
          <w:rFonts w:ascii="Calibri" w:eastAsia="Calibri" w:hAnsi="Calibri" w:cs="Calibri"/>
        </w:rPr>
        <w:t>Bennett holds a Ph.D. in Language and Folklore</w:t>
      </w:r>
      <w:r w:rsidR="00D922AF">
        <w:t xml:space="preserve">; </w:t>
      </w:r>
      <w:r w:rsidR="00185201">
        <w:t xml:space="preserve">her </w:t>
      </w:r>
      <w:r w:rsidR="00066918">
        <w:t xml:space="preserve">paper </w:t>
      </w:r>
      <w:r w:rsidR="008B7EC0">
        <w:t xml:space="preserve">is a chapter </w:t>
      </w:r>
      <w:r w:rsidR="00BE1B57">
        <w:t xml:space="preserve">taken </w:t>
      </w:r>
      <w:r w:rsidR="008B7EC0">
        <w:t>from a collection of essays,</w:t>
      </w:r>
      <w:r w:rsidR="00AB495B">
        <w:rPr>
          <w:rFonts w:ascii="Calibri" w:eastAsia="Calibri" w:hAnsi="Calibri" w:cs="Calibri"/>
        </w:rPr>
        <w:t xml:space="preserve"> </w:t>
      </w:r>
      <w:r w:rsidR="008B7EC0">
        <w:rPr>
          <w:rFonts w:ascii="Calibri" w:eastAsia="Calibri" w:hAnsi="Calibri" w:cs="Calibri"/>
        </w:rPr>
        <w:t>‘</w:t>
      </w:r>
      <w:r w:rsidR="00AB495B" w:rsidRPr="00AB495B">
        <w:rPr>
          <w:rFonts w:ascii="Calibri" w:eastAsia="Calibri" w:hAnsi="Calibri" w:cs="Calibri"/>
        </w:rPr>
        <w:t>Out of</w:t>
      </w:r>
      <w:r w:rsidR="00AB495B">
        <w:rPr>
          <w:rFonts w:ascii="Calibri" w:eastAsia="Calibri" w:hAnsi="Calibri" w:cs="Calibri"/>
        </w:rPr>
        <w:t xml:space="preserve"> </w:t>
      </w:r>
      <w:r w:rsidR="00AB495B" w:rsidRPr="00AB495B">
        <w:rPr>
          <w:rFonts w:ascii="Calibri" w:eastAsia="Calibri" w:hAnsi="Calibri" w:cs="Calibri"/>
        </w:rPr>
        <w:t>the Ordinary</w:t>
      </w:r>
      <w:r w:rsidR="00AB495B">
        <w:rPr>
          <w:rFonts w:ascii="Calibri" w:eastAsia="Calibri" w:hAnsi="Calibri" w:cs="Calibri"/>
        </w:rPr>
        <w:t xml:space="preserve">: </w:t>
      </w:r>
      <w:r w:rsidR="00AB495B" w:rsidRPr="00AB495B">
        <w:rPr>
          <w:rFonts w:ascii="Calibri" w:eastAsia="Calibri" w:hAnsi="Calibri" w:cs="Calibri"/>
        </w:rPr>
        <w:t>Folklore and the Supernatural</w:t>
      </w:r>
      <w:r w:rsidR="008B7EC0">
        <w:rPr>
          <w:rFonts w:ascii="Calibri" w:eastAsia="Calibri" w:hAnsi="Calibri" w:cs="Calibri"/>
        </w:rPr>
        <w:t>’</w:t>
      </w:r>
      <w:r w:rsidR="00AB495B">
        <w:rPr>
          <w:rFonts w:ascii="Calibri" w:eastAsia="Calibri" w:hAnsi="Calibri" w:cs="Calibri"/>
        </w:rPr>
        <w:t xml:space="preserve"> edited by </w:t>
      </w:r>
      <w:r w:rsidR="00AB495B" w:rsidRPr="00AB495B">
        <w:rPr>
          <w:rFonts w:ascii="Calibri" w:eastAsia="Calibri" w:hAnsi="Calibri" w:cs="Calibri"/>
        </w:rPr>
        <w:t>Barbara Walker</w:t>
      </w:r>
      <w:r w:rsidR="004D2120">
        <w:rPr>
          <w:rFonts w:ascii="Calibri" w:eastAsia="Calibri" w:hAnsi="Calibri" w:cs="Calibri"/>
        </w:rPr>
        <w:t>, published in 199</w:t>
      </w:r>
      <w:r w:rsidR="00470F01">
        <w:rPr>
          <w:rFonts w:ascii="Calibri" w:eastAsia="Calibri" w:hAnsi="Calibri" w:cs="Calibri"/>
        </w:rPr>
        <w:t>5</w:t>
      </w:r>
      <w:r w:rsidR="004D2120">
        <w:rPr>
          <w:rFonts w:ascii="Calibri" w:eastAsia="Calibri" w:hAnsi="Calibri" w:cs="Calibri"/>
        </w:rPr>
        <w:t xml:space="preserve">. </w:t>
      </w:r>
      <w:r w:rsidR="00737402">
        <w:rPr>
          <w:rFonts w:ascii="Calibri" w:eastAsia="Calibri" w:hAnsi="Calibri" w:cs="Calibri"/>
        </w:rPr>
        <w:t>Both papers</w:t>
      </w:r>
      <w:r w:rsidR="00970CF6">
        <w:rPr>
          <w:rFonts w:ascii="Calibri" w:eastAsia="Calibri" w:hAnsi="Calibri" w:cs="Calibri"/>
        </w:rPr>
        <w:t xml:space="preserve"> </w:t>
      </w:r>
      <w:r w:rsidR="00737402">
        <w:rPr>
          <w:rFonts w:ascii="Calibri" w:eastAsia="Calibri" w:hAnsi="Calibri" w:cs="Calibri"/>
        </w:rPr>
        <w:t>are aimed at a scholarly audience.</w:t>
      </w:r>
    </w:p>
    <w:p w14:paraId="0AF70EF5" w14:textId="77777777" w:rsidR="00BF44A7" w:rsidRDefault="00BF44A7" w:rsidP="00BF44A7">
      <w:pPr>
        <w:contextualSpacing/>
        <w:rPr>
          <w:b/>
          <w:bCs/>
        </w:rPr>
      </w:pPr>
    </w:p>
    <w:p w14:paraId="60C3C7D1" w14:textId="77777777" w:rsidR="004F3DFD" w:rsidRDefault="006D3652" w:rsidP="004F3DFD">
      <w:pPr>
        <w:contextualSpacing/>
        <w:rPr>
          <w:b/>
          <w:bCs/>
        </w:rPr>
      </w:pPr>
      <w:r w:rsidRPr="00D2514E">
        <w:rPr>
          <w:b/>
          <w:bCs/>
        </w:rPr>
        <w:t>R</w:t>
      </w:r>
      <w:r w:rsidR="00D2514E" w:rsidRPr="00D2514E">
        <w:rPr>
          <w:b/>
          <w:bCs/>
        </w:rPr>
        <w:t>ationale</w:t>
      </w:r>
    </w:p>
    <w:p w14:paraId="6512B186" w14:textId="29449B6A" w:rsidR="00BF588B" w:rsidRDefault="00970CF6" w:rsidP="00B36E69">
      <w:pPr>
        <w:ind w:left="720"/>
        <w:contextualSpacing/>
        <w:jc w:val="both"/>
      </w:pPr>
      <w:r>
        <w:t>The two papers are</w:t>
      </w:r>
      <w:r w:rsidR="00104235" w:rsidRPr="00C21058">
        <w:t xml:space="preserve"> qualitative </w:t>
      </w:r>
      <w:r w:rsidR="00631E11" w:rsidRPr="00A67481">
        <w:t>respon</w:t>
      </w:r>
      <w:r w:rsidR="00104235">
        <w:t>ses</w:t>
      </w:r>
      <w:r w:rsidR="00631E11" w:rsidRPr="00A67481">
        <w:t xml:space="preserve"> to survey data</w:t>
      </w:r>
      <w:r w:rsidR="008E7B9B">
        <w:t>,</w:t>
      </w:r>
      <w:r w:rsidR="008744CD" w:rsidRPr="00A67481">
        <w:t xml:space="preserve"> suggesting </w:t>
      </w:r>
      <w:r w:rsidR="00736066" w:rsidRPr="00A67481">
        <w:t>high levels of belief in</w:t>
      </w:r>
      <w:r w:rsidR="001221EC" w:rsidRPr="00A67481">
        <w:t xml:space="preserve"> </w:t>
      </w:r>
    </w:p>
    <w:p w14:paraId="3D242893" w14:textId="2E509071" w:rsidR="00C21058" w:rsidRPr="00C21058" w:rsidRDefault="00736066" w:rsidP="0061640E">
      <w:pPr>
        <w:contextualSpacing/>
        <w:jc w:val="both"/>
      </w:pPr>
      <w:r w:rsidRPr="00A67481">
        <w:t>reincarnation and foreknowledge</w:t>
      </w:r>
      <w:r w:rsidR="00F3719F">
        <w:t>.</w:t>
      </w:r>
      <w:r w:rsidR="0061640E">
        <w:t xml:space="preserve"> </w:t>
      </w:r>
      <w:r w:rsidR="00C21058" w:rsidRPr="00EC3E72">
        <w:t>Walter and Waterhouse’s</w:t>
      </w:r>
      <w:r w:rsidR="00C21058" w:rsidRPr="00C21058">
        <w:t xml:space="preserve"> </w:t>
      </w:r>
      <w:r w:rsidR="00A35095">
        <w:t>study</w:t>
      </w:r>
      <w:r w:rsidR="00C21058" w:rsidRPr="00C21058">
        <w:t xml:space="preserve"> </w:t>
      </w:r>
      <w:r w:rsidR="00D80B8A">
        <w:t>addresses</w:t>
      </w:r>
      <w:r w:rsidR="00C21058" w:rsidRPr="00C21058">
        <w:t xml:space="preserve"> survey</w:t>
      </w:r>
      <w:r w:rsidR="00A35095">
        <w:t>s</w:t>
      </w:r>
      <w:r w:rsidR="00C21058" w:rsidRPr="00C21058">
        <w:t xml:space="preserve"> suggesting that a </w:t>
      </w:r>
      <w:r w:rsidR="00451D1A">
        <w:t>significant proportion of</w:t>
      </w:r>
      <w:r w:rsidR="008E5A0E">
        <w:t xml:space="preserve"> people in the west</w:t>
      </w:r>
      <w:r w:rsidR="00AF4607">
        <w:t>,</w:t>
      </w:r>
      <w:r w:rsidR="00C21058" w:rsidRPr="00C21058">
        <w:t xml:space="preserve"> believe in reincarnation. This data </w:t>
      </w:r>
      <w:r w:rsidR="00A35095">
        <w:t xml:space="preserve">further </w:t>
      </w:r>
      <w:r w:rsidR="00C21058" w:rsidRPr="00C21058">
        <w:t>suggests that the number</w:t>
      </w:r>
      <w:r w:rsidR="00850425">
        <w:t xml:space="preserve"> of people professing </w:t>
      </w:r>
      <w:r w:rsidR="00A35095">
        <w:t>such</w:t>
      </w:r>
      <w:r w:rsidR="00E72481">
        <w:t xml:space="preserve"> bel</w:t>
      </w:r>
      <w:r w:rsidR="00850425">
        <w:t xml:space="preserve">ief </w:t>
      </w:r>
      <w:r w:rsidR="00C21058" w:rsidRPr="00C21058">
        <w:t xml:space="preserve">is greater than those </w:t>
      </w:r>
      <w:r w:rsidR="00532E09">
        <w:t>who adhere</w:t>
      </w:r>
      <w:r w:rsidR="00C21058" w:rsidRPr="00C21058">
        <w:t xml:space="preserve"> to Eastern or New Age religious belief</w:t>
      </w:r>
      <w:r w:rsidR="00EC1275">
        <w:t xml:space="preserve"> systems</w:t>
      </w:r>
      <w:r w:rsidR="0088679B">
        <w:t xml:space="preserve"> of which </w:t>
      </w:r>
      <w:r w:rsidR="00E72481">
        <w:t>it</w:t>
      </w:r>
      <w:r w:rsidR="0088679B">
        <w:t xml:space="preserve"> might be expected</w:t>
      </w:r>
      <w:r w:rsidR="00C21058" w:rsidRPr="00C21058">
        <w:t xml:space="preserve">. </w:t>
      </w:r>
      <w:r w:rsidR="00541367">
        <w:t>Given</w:t>
      </w:r>
      <w:r w:rsidR="00903281">
        <w:t xml:space="preserve"> this, and the fact that</w:t>
      </w:r>
      <w:r w:rsidR="00541367">
        <w:t xml:space="preserve"> </w:t>
      </w:r>
      <w:r w:rsidR="00C21058" w:rsidRPr="00C21058">
        <w:t>reincarnation</w:t>
      </w:r>
      <w:r w:rsidR="00541367">
        <w:t xml:space="preserve"> is </w:t>
      </w:r>
      <w:r w:rsidR="00ED626D">
        <w:t xml:space="preserve">a feature of neither </w:t>
      </w:r>
      <w:r w:rsidR="00C21058" w:rsidRPr="00C21058">
        <w:t xml:space="preserve">Christianity </w:t>
      </w:r>
      <w:r w:rsidR="004E3A6E">
        <w:t>n</w:t>
      </w:r>
      <w:r w:rsidR="00ED626D">
        <w:t xml:space="preserve">or </w:t>
      </w:r>
      <w:r w:rsidR="00523B57" w:rsidRPr="00C21058">
        <w:t>secularism</w:t>
      </w:r>
      <w:r w:rsidR="00523B57">
        <w:t>, it</w:t>
      </w:r>
      <w:r w:rsidR="00C21058" w:rsidRPr="00C21058">
        <w:t xml:space="preserve"> is</w:t>
      </w:r>
      <w:r w:rsidR="009960C3">
        <w:t xml:space="preserve">, in the authors’ words </w:t>
      </w:r>
      <w:r w:rsidR="00C21058" w:rsidRPr="00C21058">
        <w:t xml:space="preserve">a </w:t>
      </w:r>
      <w:r w:rsidR="009960C3">
        <w:t>‘</w:t>
      </w:r>
      <w:r w:rsidR="00C21058" w:rsidRPr="00C21058">
        <w:t>deviant belief which people ought not to hold.’</w:t>
      </w:r>
      <w:r w:rsidR="00E05D2D">
        <w:rPr>
          <w:rStyle w:val="FootnoteReference"/>
        </w:rPr>
        <w:footnoteReference w:id="3"/>
      </w:r>
      <w:r w:rsidR="00C21058" w:rsidRPr="00C21058">
        <w:t xml:space="preserve"> </w:t>
      </w:r>
      <w:r w:rsidR="000B693D">
        <w:t>They</w:t>
      </w:r>
      <w:r w:rsidR="00333281">
        <w:t xml:space="preserve"> </w:t>
      </w:r>
      <w:r w:rsidR="00620C60">
        <w:t>begin with</w:t>
      </w:r>
      <w:r w:rsidR="00E222DD">
        <w:t xml:space="preserve"> a </w:t>
      </w:r>
      <w:r w:rsidR="002852F4">
        <w:t>well r</w:t>
      </w:r>
      <w:r w:rsidR="00C21058" w:rsidRPr="00C21058">
        <w:t>eferenced</w:t>
      </w:r>
      <w:r w:rsidR="00D4616C" w:rsidRPr="00D4616C">
        <w:t xml:space="preserve"> </w:t>
      </w:r>
      <w:r w:rsidR="00D4616C" w:rsidRPr="00C21058">
        <w:t xml:space="preserve">overview of </w:t>
      </w:r>
      <w:r w:rsidR="00D4616C">
        <w:t xml:space="preserve">the </w:t>
      </w:r>
      <w:r w:rsidR="00D4616C" w:rsidRPr="00C21058">
        <w:t xml:space="preserve">survey data. </w:t>
      </w:r>
      <w:r w:rsidR="00C21058" w:rsidRPr="00C21058">
        <w:t>In total seven different surveys are presented</w:t>
      </w:r>
      <w:r w:rsidR="00D4616C">
        <w:t>,</w:t>
      </w:r>
      <w:r w:rsidR="00C21058" w:rsidRPr="00C21058">
        <w:t xml:space="preserve"> conducted </w:t>
      </w:r>
      <w:r w:rsidR="00D60470">
        <w:t>between</w:t>
      </w:r>
      <w:r w:rsidR="00C21058" w:rsidRPr="00AB2900">
        <w:t xml:space="preserve"> 1947 </w:t>
      </w:r>
      <w:r w:rsidR="00D60470">
        <w:t>and</w:t>
      </w:r>
      <w:r w:rsidR="00C21058" w:rsidRPr="00AB2900">
        <w:t xml:space="preserve"> 1997,</w:t>
      </w:r>
      <w:r w:rsidR="00C21058" w:rsidRPr="00C21058">
        <w:t xml:space="preserve"> demonstrating a trend of rising belief in reincarnation in the West.</w:t>
      </w:r>
      <w:r w:rsidR="00A64462">
        <w:rPr>
          <w:rStyle w:val="FootnoteReference"/>
        </w:rPr>
        <w:footnoteReference w:id="4"/>
      </w:r>
      <w:r w:rsidR="00C21058" w:rsidRPr="00C21058">
        <w:t xml:space="preserve"> </w:t>
      </w:r>
      <w:r w:rsidR="00DE041D">
        <w:t xml:space="preserve">Of particular interest to the authors is the fact that </w:t>
      </w:r>
      <w:r w:rsidR="008E7B9B">
        <w:t xml:space="preserve">the </w:t>
      </w:r>
      <w:r w:rsidR="00C21058" w:rsidRPr="00C21058">
        <w:t xml:space="preserve">data </w:t>
      </w:r>
      <w:r w:rsidR="0089772E">
        <w:t>suggests</w:t>
      </w:r>
      <w:r w:rsidR="00C21058" w:rsidRPr="00C21058">
        <w:t xml:space="preserve"> that belief in reincarnation </w:t>
      </w:r>
      <w:r w:rsidR="0089772E">
        <w:t>often</w:t>
      </w:r>
      <w:r w:rsidR="009E1EE1">
        <w:t xml:space="preserve"> accompanies</w:t>
      </w:r>
      <w:r w:rsidR="00C21058" w:rsidRPr="00C21058">
        <w:t xml:space="preserve"> conventional Christian beliefs, rather than</w:t>
      </w:r>
      <w:r w:rsidR="009E1EE1">
        <w:t xml:space="preserve"> providing</w:t>
      </w:r>
      <w:r w:rsidR="00620C60">
        <w:t xml:space="preserve"> </w:t>
      </w:r>
      <w:r w:rsidR="00C21058" w:rsidRPr="00C21058">
        <w:t>an alternative belief system</w:t>
      </w:r>
      <w:r w:rsidR="00CB59E3">
        <w:t>.</w:t>
      </w:r>
      <w:r w:rsidR="00CB59E3">
        <w:rPr>
          <w:rStyle w:val="FootnoteReference"/>
        </w:rPr>
        <w:footnoteReference w:id="5"/>
      </w:r>
    </w:p>
    <w:p w14:paraId="68257E81" w14:textId="5255CFEC" w:rsidR="00FC3B6C" w:rsidRDefault="004B2B02" w:rsidP="001A7124">
      <w:pPr>
        <w:ind w:firstLine="720"/>
        <w:contextualSpacing/>
        <w:jc w:val="both"/>
      </w:pPr>
      <w:r>
        <w:t xml:space="preserve">In contrast, </w:t>
      </w:r>
      <w:r w:rsidR="003F6DC4">
        <w:t>Bennett</w:t>
      </w:r>
      <w:r w:rsidR="00A45D46">
        <w:t xml:space="preserve"> </w:t>
      </w:r>
      <w:r w:rsidR="00AE0573">
        <w:t>frames her study</w:t>
      </w:r>
      <w:r w:rsidR="00A45D46">
        <w:t xml:space="preserve"> as part of a chronological </w:t>
      </w:r>
      <w:r w:rsidR="00031383">
        <w:t xml:space="preserve">narrative, </w:t>
      </w:r>
      <w:r w:rsidR="000E721E">
        <w:t>tracing the h</w:t>
      </w:r>
      <w:r w:rsidR="00C45CCB">
        <w:t>i</w:t>
      </w:r>
      <w:r w:rsidR="000E721E">
        <w:t>story of</w:t>
      </w:r>
      <w:r w:rsidR="00C45CCB">
        <w:t xml:space="preserve"> belief in foreknowledge</w:t>
      </w:r>
      <w:r w:rsidR="000D57EF">
        <w:t xml:space="preserve"> and arguing that </w:t>
      </w:r>
      <w:r w:rsidR="009C2CB1">
        <w:t xml:space="preserve">the </w:t>
      </w:r>
      <w:r w:rsidR="000D57EF">
        <w:t xml:space="preserve">rationalist worldview </w:t>
      </w:r>
      <w:r w:rsidR="00C14F11">
        <w:t xml:space="preserve">which emerged during the </w:t>
      </w:r>
      <w:r w:rsidR="004E646A">
        <w:t>scientific revolution</w:t>
      </w:r>
      <w:r w:rsidR="008F188F">
        <w:t>,</w:t>
      </w:r>
      <w:r w:rsidR="004C6D0B">
        <w:t xml:space="preserve"> </w:t>
      </w:r>
      <w:r w:rsidR="00FE0640">
        <w:t>ultimately</w:t>
      </w:r>
      <w:r w:rsidR="0045007F">
        <w:t xml:space="preserve"> </w:t>
      </w:r>
      <w:r w:rsidR="00D04EE0">
        <w:t>led to</w:t>
      </w:r>
      <w:r w:rsidR="0031166F">
        <w:t xml:space="preserve"> </w:t>
      </w:r>
      <w:r w:rsidR="00480177">
        <w:t xml:space="preserve">the </w:t>
      </w:r>
      <w:r w:rsidR="0031166F">
        <w:t xml:space="preserve">emergence of two </w:t>
      </w:r>
      <w:r w:rsidR="00537243">
        <w:t xml:space="preserve">distinct </w:t>
      </w:r>
      <w:r w:rsidR="0045007F">
        <w:t xml:space="preserve">strands </w:t>
      </w:r>
      <w:r w:rsidR="0031166F">
        <w:t>of understanding foreknowledge</w:t>
      </w:r>
      <w:r w:rsidR="00D3561D">
        <w:t>:</w:t>
      </w:r>
      <w:r w:rsidR="0031166F">
        <w:t xml:space="preserve"> the divinatory and the visionary</w:t>
      </w:r>
      <w:r w:rsidR="00D3561D">
        <w:t>.</w:t>
      </w:r>
      <w:r w:rsidR="0045007F">
        <w:rPr>
          <w:rStyle w:val="FootnoteReference"/>
        </w:rPr>
        <w:footnoteReference w:id="6"/>
      </w:r>
      <w:r w:rsidR="00D3561D">
        <w:t xml:space="preserve"> </w:t>
      </w:r>
    </w:p>
    <w:p w14:paraId="0222AF09" w14:textId="1069BADE" w:rsidR="009C7125" w:rsidRDefault="00A77AA2" w:rsidP="001A7124">
      <w:pPr>
        <w:ind w:firstLine="720"/>
        <w:contextualSpacing/>
        <w:jc w:val="both"/>
      </w:pPr>
      <w:r>
        <w:t xml:space="preserve">She presents </w:t>
      </w:r>
      <w:r w:rsidR="00C23FCE">
        <w:t>survey data</w:t>
      </w:r>
      <w:r w:rsidR="00447885">
        <w:t xml:space="preserve"> within this</w:t>
      </w:r>
      <w:r w:rsidR="003872F7">
        <w:t xml:space="preserve"> wider</w:t>
      </w:r>
      <w:r w:rsidR="00447885">
        <w:t xml:space="preserve"> </w:t>
      </w:r>
      <w:r w:rsidR="00585311">
        <w:t>chronological framework</w:t>
      </w:r>
      <w:r w:rsidR="00F20959">
        <w:t>.</w:t>
      </w:r>
      <w:r w:rsidR="00710332">
        <w:t xml:space="preserve"> </w:t>
      </w:r>
      <w:r w:rsidR="00F20959">
        <w:t xml:space="preserve">Like Walter and Waterhouse, </w:t>
      </w:r>
      <w:r w:rsidR="001E1332">
        <w:t>Bennett</w:t>
      </w:r>
      <w:r w:rsidR="00F37978">
        <w:t xml:space="preserve"> </w:t>
      </w:r>
      <w:r w:rsidR="00F20959">
        <w:t>references</w:t>
      </w:r>
      <w:r w:rsidR="00F37978">
        <w:t xml:space="preserve"> </w:t>
      </w:r>
      <w:r w:rsidR="00FC3B6C">
        <w:t>several</w:t>
      </w:r>
      <w:r w:rsidR="00F37978">
        <w:t xml:space="preserve"> survey</w:t>
      </w:r>
      <w:r w:rsidR="00D04EE0">
        <w:t>s,</w:t>
      </w:r>
      <w:r w:rsidR="00F37978">
        <w:t xml:space="preserve"> conducted both</w:t>
      </w:r>
      <w:r w:rsidR="00055C9A">
        <w:t xml:space="preserve"> </w:t>
      </w:r>
      <w:r w:rsidR="0039088E" w:rsidRPr="0039088E">
        <w:t>in Britain and the United States</w:t>
      </w:r>
      <w:r w:rsidR="00173EBB">
        <w:t>,</w:t>
      </w:r>
      <w:r w:rsidR="0020561A" w:rsidRPr="0020561A">
        <w:t xml:space="preserve"> </w:t>
      </w:r>
      <w:r w:rsidR="0020561A">
        <w:t xml:space="preserve">between </w:t>
      </w:r>
      <w:r w:rsidR="0020561A" w:rsidRPr="0039088E">
        <w:t>1925 and 1985</w:t>
      </w:r>
      <w:r w:rsidR="00DC67EE">
        <w:t>, which</w:t>
      </w:r>
      <w:r w:rsidR="00683321">
        <w:t xml:space="preserve"> </w:t>
      </w:r>
      <w:r w:rsidR="00094094">
        <w:t>demonstrat</w:t>
      </w:r>
      <w:r w:rsidR="003C2F7F">
        <w:t xml:space="preserve">e </w:t>
      </w:r>
      <w:r w:rsidR="00094094">
        <w:t>contrasting levels of</w:t>
      </w:r>
      <w:r w:rsidR="0039088E" w:rsidRPr="0039088E">
        <w:t xml:space="preserve"> belief</w:t>
      </w:r>
      <w:r w:rsidR="00094094">
        <w:t xml:space="preserve"> </w:t>
      </w:r>
      <w:r w:rsidR="0039088E" w:rsidRPr="0039088E">
        <w:t>in astrology and fortune-telling</w:t>
      </w:r>
      <w:r w:rsidR="00094094">
        <w:t>.</w:t>
      </w:r>
      <w:r w:rsidR="00255D8C">
        <w:t xml:space="preserve"> The survey data is not as clear cut as that presented by </w:t>
      </w:r>
      <w:r w:rsidR="006B28B3">
        <w:t>Walter and Waterhouse</w:t>
      </w:r>
      <w:r w:rsidR="00161C37">
        <w:t xml:space="preserve">, with greater fluctuations </w:t>
      </w:r>
      <w:r w:rsidR="00A44FF1">
        <w:t>of findings,</w:t>
      </w:r>
      <w:r w:rsidR="006A688B">
        <w:t xml:space="preserve"> and a </w:t>
      </w:r>
      <w:r w:rsidR="00E50146">
        <w:t xml:space="preserve">less </w:t>
      </w:r>
      <w:r w:rsidR="00A44FF1">
        <w:t>obvious</w:t>
      </w:r>
      <w:r w:rsidR="00E50146">
        <w:t xml:space="preserve"> trend</w:t>
      </w:r>
      <w:r w:rsidR="000C65DF">
        <w:t xml:space="preserve"> of belief</w:t>
      </w:r>
      <w:r w:rsidR="00C35858">
        <w:t>.</w:t>
      </w:r>
      <w:r w:rsidR="00C35858">
        <w:rPr>
          <w:rStyle w:val="FootnoteReference"/>
        </w:rPr>
        <w:footnoteReference w:id="7"/>
      </w:r>
      <w:r w:rsidR="009C7125" w:rsidRPr="009C7125">
        <w:t xml:space="preserve"> </w:t>
      </w:r>
      <w:r w:rsidR="009C7125">
        <w:t xml:space="preserve"> Also, </w:t>
      </w:r>
      <w:r w:rsidR="001F448C">
        <w:t>the division between</w:t>
      </w:r>
      <w:r w:rsidR="00863EE6">
        <w:t xml:space="preserve"> </w:t>
      </w:r>
      <w:r w:rsidR="00473B95">
        <w:t>a</w:t>
      </w:r>
      <w:r w:rsidR="009C7125">
        <w:t xml:space="preserve">strology and </w:t>
      </w:r>
      <w:r w:rsidR="009C7125">
        <w:lastRenderedPageBreak/>
        <w:t>fortune-</w:t>
      </w:r>
      <w:r w:rsidR="00090CC9">
        <w:t>telling</w:t>
      </w:r>
      <w:r w:rsidR="00861322">
        <w:t xml:space="preserve"> </w:t>
      </w:r>
      <w:r w:rsidR="009C7125">
        <w:t xml:space="preserve">does not mirror the division between </w:t>
      </w:r>
      <w:r w:rsidR="00FE3132">
        <w:t>divinatory</w:t>
      </w:r>
      <w:r w:rsidR="009C7125">
        <w:t xml:space="preserve"> and visionary foreknowledge, which </w:t>
      </w:r>
      <w:r w:rsidR="001279B8">
        <w:t>frames</w:t>
      </w:r>
      <w:r w:rsidR="009C7125">
        <w:t xml:space="preserve"> Bennet</w:t>
      </w:r>
      <w:r w:rsidR="001279B8">
        <w:t>t</w:t>
      </w:r>
      <w:r w:rsidR="009C7125">
        <w:t>’s argument</w:t>
      </w:r>
      <w:r w:rsidR="00D10821">
        <w:t xml:space="preserve">; </w:t>
      </w:r>
      <w:r w:rsidR="009C7125">
        <w:t>astrology and fortune-telling, would both appear to fall into the former category.</w:t>
      </w:r>
    </w:p>
    <w:p w14:paraId="6843E395" w14:textId="77777777" w:rsidR="00B36E69" w:rsidRDefault="00BF588B" w:rsidP="00BF588B">
      <w:pPr>
        <w:contextualSpacing/>
        <w:rPr>
          <w:b/>
          <w:bCs/>
        </w:rPr>
      </w:pPr>
      <w:r>
        <w:rPr>
          <w:b/>
          <w:bCs/>
        </w:rPr>
        <w:br/>
      </w:r>
      <w:r w:rsidR="000350A6" w:rsidRPr="005F0D98">
        <w:rPr>
          <w:b/>
          <w:bCs/>
        </w:rPr>
        <w:t>Theory</w:t>
      </w:r>
    </w:p>
    <w:p w14:paraId="5B493E5C" w14:textId="5B61B572" w:rsidR="002C1249" w:rsidRDefault="00E34C24" w:rsidP="002C1249">
      <w:pPr>
        <w:ind w:left="720"/>
        <w:contextualSpacing/>
        <w:jc w:val="both"/>
      </w:pPr>
      <w:r>
        <w:t xml:space="preserve">Waters and </w:t>
      </w:r>
      <w:r w:rsidR="005F0D98">
        <w:t>W</w:t>
      </w:r>
      <w:r w:rsidR="00587C06">
        <w:t xml:space="preserve">aterhouse </w:t>
      </w:r>
      <w:r w:rsidR="00863EE6">
        <w:t>present a solid</w:t>
      </w:r>
      <w:r w:rsidR="00587C06">
        <w:t xml:space="preserve"> theoretical framework </w:t>
      </w:r>
      <w:r w:rsidR="003B2BE3">
        <w:t>for their study, based</w:t>
      </w:r>
      <w:r w:rsidR="006E7C56">
        <w:t xml:space="preserve"> upon</w:t>
      </w:r>
      <w:r w:rsidR="00DB56DA">
        <w:t xml:space="preserve"> </w:t>
      </w:r>
    </w:p>
    <w:p w14:paraId="14DC237C" w14:textId="4564D246" w:rsidR="007434C3" w:rsidRDefault="006E7C56" w:rsidP="002C1249">
      <w:pPr>
        <w:contextualSpacing/>
        <w:jc w:val="both"/>
      </w:pPr>
      <w:r>
        <w:t>debate</w:t>
      </w:r>
      <w:r w:rsidR="00DB56DA">
        <w:t>s</w:t>
      </w:r>
      <w:r>
        <w:t xml:space="preserve"> about the privatization of religion</w:t>
      </w:r>
      <w:r w:rsidR="00DB56DA">
        <w:t>, particularly</w:t>
      </w:r>
      <w:r w:rsidR="00F2094C">
        <w:t xml:space="preserve"> </w:t>
      </w:r>
      <w:r w:rsidR="00A148ED" w:rsidRPr="00A148ED">
        <w:t>Peter Berge</w:t>
      </w:r>
      <w:r w:rsidR="001F1189">
        <w:t>r</w:t>
      </w:r>
      <w:r w:rsidR="003B2BE3">
        <w:t xml:space="preserve">’s argument </w:t>
      </w:r>
      <w:r w:rsidR="00F24117">
        <w:t xml:space="preserve">that </w:t>
      </w:r>
      <w:r w:rsidR="00F44D6E">
        <w:t xml:space="preserve">increasing </w:t>
      </w:r>
      <w:r w:rsidR="00772CDC">
        <w:t>secularisation</w:t>
      </w:r>
      <w:r w:rsidR="00DF3C15">
        <w:t xml:space="preserve"> had led to </w:t>
      </w:r>
      <w:r w:rsidR="00CB4D6D">
        <w:t xml:space="preserve">modern </w:t>
      </w:r>
      <w:r w:rsidR="00F24117">
        <w:t>religio</w:t>
      </w:r>
      <w:r w:rsidR="003872F7">
        <w:t>n</w:t>
      </w:r>
      <w:r w:rsidR="00F24117">
        <w:t xml:space="preserve"> </w:t>
      </w:r>
      <w:r w:rsidR="00164F00">
        <w:t>becoming</w:t>
      </w:r>
      <w:r w:rsidR="00ED2325">
        <w:t>, ‘</w:t>
      </w:r>
      <w:r w:rsidR="00765232">
        <w:t>a matter of personal choice</w:t>
      </w:r>
      <w:r w:rsidR="00736BB8">
        <w:t>…</w:t>
      </w:r>
      <w:r w:rsidR="002E7191">
        <w:t xml:space="preserve"> so each individual American chooses a church from the religious supermarket</w:t>
      </w:r>
      <w:r w:rsidR="00736BB8">
        <w:t>’.</w:t>
      </w:r>
      <w:r w:rsidR="00672067">
        <w:rPr>
          <w:rStyle w:val="FootnoteReference"/>
        </w:rPr>
        <w:footnoteReference w:id="8"/>
      </w:r>
      <w:r w:rsidR="00911BCA">
        <w:t xml:space="preserve"> </w:t>
      </w:r>
      <w:r w:rsidR="001A03F5">
        <w:t>T</w:t>
      </w:r>
      <w:r w:rsidR="00CF50C0">
        <w:t>he autho</w:t>
      </w:r>
      <w:r w:rsidR="001437C2">
        <w:t xml:space="preserve">rs </w:t>
      </w:r>
      <w:r w:rsidR="008F6D3C">
        <w:t xml:space="preserve">also </w:t>
      </w:r>
      <w:r w:rsidR="000F2C05">
        <w:t xml:space="preserve">cite </w:t>
      </w:r>
      <w:r w:rsidR="006F1CFB">
        <w:t>Davie</w:t>
      </w:r>
      <w:r w:rsidR="006B1837">
        <w:t xml:space="preserve">’s argument, </w:t>
      </w:r>
      <w:r w:rsidR="006878C7">
        <w:t>that, in England,</w:t>
      </w:r>
      <w:r w:rsidR="006F1CFB">
        <w:t xml:space="preserve"> </w:t>
      </w:r>
      <w:r w:rsidR="0093344A">
        <w:t>‘</w:t>
      </w:r>
      <w:r w:rsidR="006878C7">
        <w:t>b</w:t>
      </w:r>
      <w:r w:rsidR="006F1CFB">
        <w:t>elief is so private that no need to belong to a congregation is perceived: the English believe without belonging</w:t>
      </w:r>
      <w:r w:rsidR="0093344A">
        <w:t>’</w:t>
      </w:r>
      <w:r w:rsidR="006878C7">
        <w:t>.</w:t>
      </w:r>
      <w:r w:rsidR="0093344A">
        <w:rPr>
          <w:rStyle w:val="FootnoteReference"/>
        </w:rPr>
        <w:footnoteReference w:id="9"/>
      </w:r>
      <w:r w:rsidR="00E00681">
        <w:t xml:space="preserve"> </w:t>
      </w:r>
      <w:r w:rsidR="006878C7">
        <w:t>They similarly</w:t>
      </w:r>
      <w:r w:rsidR="00CC7C4B">
        <w:t xml:space="preserve"> </w:t>
      </w:r>
      <w:r w:rsidR="00E34226">
        <w:t>acknowledg</w:t>
      </w:r>
      <w:r w:rsidR="00007D0E">
        <w:t>e</w:t>
      </w:r>
      <w:r w:rsidR="00CC7C4B">
        <w:t xml:space="preserve"> that</w:t>
      </w:r>
      <w:r w:rsidR="00D362C6">
        <w:t xml:space="preserve"> </w:t>
      </w:r>
      <w:r w:rsidR="00B76D19">
        <w:t>both</w:t>
      </w:r>
      <w:r w:rsidR="00C06CB7" w:rsidRPr="00C06CB7">
        <w:t xml:space="preserve"> Kepel </w:t>
      </w:r>
      <w:r w:rsidR="00C06CB7">
        <w:t xml:space="preserve">and </w:t>
      </w:r>
      <w:r w:rsidR="00B76D19">
        <w:t xml:space="preserve">Cassanova </w:t>
      </w:r>
      <w:r w:rsidR="00D362C6">
        <w:t xml:space="preserve">have challenged </w:t>
      </w:r>
      <w:r w:rsidR="001F4CAF">
        <w:t>this</w:t>
      </w:r>
      <w:r w:rsidR="00CC7C4B" w:rsidRPr="00CC7C4B">
        <w:t xml:space="preserve"> privatization </w:t>
      </w:r>
      <w:r w:rsidR="00891550">
        <w:t>hypo</w:t>
      </w:r>
      <w:r w:rsidR="00CC7C4B" w:rsidRPr="00CC7C4B">
        <w:t>thesis</w:t>
      </w:r>
      <w:r w:rsidR="00891550">
        <w:t>.</w:t>
      </w:r>
      <w:r w:rsidR="00C3521B">
        <w:rPr>
          <w:rStyle w:val="FootnoteReference"/>
        </w:rPr>
        <w:footnoteReference w:id="10"/>
      </w:r>
    </w:p>
    <w:p w14:paraId="3E9EE8AA" w14:textId="208ED6CB" w:rsidR="00216354" w:rsidRDefault="000220F6" w:rsidP="00B36E69">
      <w:pPr>
        <w:ind w:firstLine="720"/>
        <w:contextualSpacing/>
        <w:jc w:val="both"/>
      </w:pPr>
      <w:r>
        <w:t xml:space="preserve">In contrast to the firm theoretical framework provided by </w:t>
      </w:r>
      <w:r w:rsidR="00067AE5">
        <w:t>Walter and Waterhous</w:t>
      </w:r>
      <w:r w:rsidR="000A2800">
        <w:t>e</w:t>
      </w:r>
      <w:r>
        <w:t>,</w:t>
      </w:r>
      <w:r w:rsidR="006D1F71">
        <w:t xml:space="preserve"> </w:t>
      </w:r>
      <w:r w:rsidR="00782FF1">
        <w:t>Bennet</w:t>
      </w:r>
      <w:r>
        <w:t>t</w:t>
      </w:r>
      <w:r w:rsidR="006D1F71">
        <w:t>’</w:t>
      </w:r>
      <w:r w:rsidR="00782FF1">
        <w:t xml:space="preserve">s </w:t>
      </w:r>
      <w:r w:rsidR="00684E95">
        <w:t xml:space="preserve">feminist position, </w:t>
      </w:r>
      <w:r w:rsidR="0098269F">
        <w:t>becomes evident only as she begins to an</w:t>
      </w:r>
      <w:r w:rsidR="00A21223">
        <w:t>a</w:t>
      </w:r>
      <w:r w:rsidR="0098269F">
        <w:t>lyse the stories recounted by her participants</w:t>
      </w:r>
      <w:r w:rsidR="00E91407">
        <w:t xml:space="preserve">. </w:t>
      </w:r>
      <w:r w:rsidR="00A33F44">
        <w:t>It is</w:t>
      </w:r>
      <w:r w:rsidR="00CC52CB">
        <w:t xml:space="preserve"> </w:t>
      </w:r>
      <w:r w:rsidR="00E91407">
        <w:t>a theory-after approach</w:t>
      </w:r>
      <w:r w:rsidR="005D1F38">
        <w:t xml:space="preserve">, </w:t>
      </w:r>
      <w:r w:rsidR="00EE34C5">
        <w:t>of the kind</w:t>
      </w:r>
      <w:r w:rsidR="0025487B">
        <w:t xml:space="preserve"> Bell an</w:t>
      </w:r>
      <w:r w:rsidR="00301FFC">
        <w:t>d Waters</w:t>
      </w:r>
      <w:r w:rsidR="00EE34C5">
        <w:t xml:space="preserve"> recommend for </w:t>
      </w:r>
      <w:r w:rsidR="00B877F1">
        <w:t>only for large scale studies</w:t>
      </w:r>
      <w:r w:rsidR="00D62879">
        <w:t>.</w:t>
      </w:r>
      <w:r w:rsidR="00854FB4">
        <w:rPr>
          <w:rStyle w:val="FootnoteReference"/>
        </w:rPr>
        <w:footnoteReference w:id="11"/>
      </w:r>
      <w:r w:rsidR="00D62879">
        <w:t xml:space="preserve"> Bennett</w:t>
      </w:r>
      <w:r w:rsidR="00CC52CB">
        <w:t xml:space="preserve">, however, </w:t>
      </w:r>
      <w:r w:rsidR="006D1F71">
        <w:t xml:space="preserve">fails to provide </w:t>
      </w:r>
      <w:r w:rsidR="00505362">
        <w:t>any</w:t>
      </w:r>
      <w:r w:rsidR="00137AE4">
        <w:t xml:space="preserve"> theoretical source</w:t>
      </w:r>
      <w:r w:rsidR="00EF4A33">
        <w:t xml:space="preserve"> on which </w:t>
      </w:r>
      <w:r w:rsidR="00CC52CB">
        <w:t>to base her research.</w:t>
      </w:r>
      <w:r w:rsidR="00A5694F">
        <w:t xml:space="preserve"> </w:t>
      </w:r>
      <w:r w:rsidR="00505362">
        <w:t>T</w:t>
      </w:r>
      <w:r w:rsidR="00D313D2">
        <w:t>he use of a folklore analogy</w:t>
      </w:r>
      <w:r w:rsidR="00CC52CB">
        <w:t>,</w:t>
      </w:r>
      <w:r w:rsidR="009C35CD">
        <w:t xml:space="preserve"> </w:t>
      </w:r>
      <w:r w:rsidR="00505362">
        <w:t xml:space="preserve">for example, </w:t>
      </w:r>
      <w:r w:rsidR="009C35CD">
        <w:t>comparing masculine and feminine eth</w:t>
      </w:r>
      <w:r w:rsidR="00E65E19">
        <w:t>e</w:t>
      </w:r>
      <w:r w:rsidR="004D0262">
        <w:t xml:space="preserve">a </w:t>
      </w:r>
      <w:r w:rsidR="00382F02">
        <w:t xml:space="preserve">in </w:t>
      </w:r>
      <w:r w:rsidR="00717199">
        <w:t>‘a typical youngest-smartest story’</w:t>
      </w:r>
      <w:r w:rsidR="00CC52CB">
        <w:t>,</w:t>
      </w:r>
      <w:r w:rsidR="002F5F69">
        <w:t xml:space="preserve"> </w:t>
      </w:r>
      <w:r w:rsidR="00717199">
        <w:t xml:space="preserve">is not </w:t>
      </w:r>
      <w:r w:rsidR="00870227">
        <w:t>supported</w:t>
      </w:r>
      <w:r w:rsidR="00717199">
        <w:t xml:space="preserve"> by </w:t>
      </w:r>
      <w:r w:rsidR="006C7EDA">
        <w:t>a citation</w:t>
      </w:r>
      <w:r w:rsidR="001E1976">
        <w:t xml:space="preserve"> or refere</w:t>
      </w:r>
      <w:r w:rsidR="000C6F28">
        <w:t>nce.</w:t>
      </w:r>
      <w:r w:rsidR="0072371E">
        <w:rPr>
          <w:rStyle w:val="FootnoteReference"/>
        </w:rPr>
        <w:footnoteReference w:id="12"/>
      </w:r>
      <w:r w:rsidR="006C7EDA">
        <w:t xml:space="preserve"> </w:t>
      </w:r>
      <w:r w:rsidR="00EE4EE0">
        <w:t>Her literary analysis of he</w:t>
      </w:r>
      <w:r w:rsidR="004B772D">
        <w:t>r</w:t>
      </w:r>
      <w:r w:rsidR="00EE4EE0">
        <w:t xml:space="preserve"> women’s stories</w:t>
      </w:r>
      <w:r w:rsidR="004B772D">
        <w:t xml:space="preserve"> is</w:t>
      </w:r>
      <w:r w:rsidR="002035D4">
        <w:t xml:space="preserve"> </w:t>
      </w:r>
      <w:r w:rsidR="004B772D">
        <w:t xml:space="preserve">in keeping with </w:t>
      </w:r>
      <w:r w:rsidR="004B772D" w:rsidRPr="00066771">
        <w:t>Stahl's</w:t>
      </w:r>
      <w:r w:rsidR="004B772D">
        <w:t xml:space="preserve"> </w:t>
      </w:r>
      <w:r w:rsidR="00DD0F43">
        <w:t>work on p</w:t>
      </w:r>
      <w:r w:rsidR="004B772D" w:rsidRPr="00134CD0">
        <w:t xml:space="preserve">ersonal </w:t>
      </w:r>
      <w:r w:rsidR="00DD0F43">
        <w:t>n</w:t>
      </w:r>
      <w:r w:rsidR="004B772D" w:rsidRPr="00134CD0">
        <w:t>arrative</w:t>
      </w:r>
      <w:r w:rsidR="00DD0F43" w:rsidRPr="00DD0F43">
        <w:t xml:space="preserve"> </w:t>
      </w:r>
      <w:r w:rsidR="00DD0F43" w:rsidRPr="00134CD0">
        <w:t xml:space="preserve">as </w:t>
      </w:r>
      <w:r w:rsidR="00DD0F43">
        <w:t>f</w:t>
      </w:r>
      <w:r w:rsidR="00DD0F43" w:rsidRPr="00134CD0">
        <w:t xml:space="preserve">olklore </w:t>
      </w:r>
      <w:r w:rsidR="00DD0F43">
        <w:t>g</w:t>
      </w:r>
      <w:r w:rsidR="00DD0F43" w:rsidRPr="00134CD0">
        <w:t>enre</w:t>
      </w:r>
      <w:r w:rsidR="00710550">
        <w:t>.</w:t>
      </w:r>
      <w:r w:rsidR="00710550">
        <w:rPr>
          <w:rStyle w:val="FootnoteReference"/>
        </w:rPr>
        <w:footnoteReference w:id="13"/>
      </w:r>
      <w:r w:rsidR="00F406FF">
        <w:t xml:space="preserve"> </w:t>
      </w:r>
      <w:r w:rsidR="00467B43">
        <w:t xml:space="preserve">Framing her work </w:t>
      </w:r>
      <w:r w:rsidR="00641877">
        <w:t xml:space="preserve">more </w:t>
      </w:r>
      <w:r w:rsidR="00F76AA7">
        <w:t>decisively</w:t>
      </w:r>
      <w:r w:rsidR="00467B43">
        <w:t xml:space="preserve"> within</w:t>
      </w:r>
      <w:r w:rsidR="00F76AA7">
        <w:t xml:space="preserve"> </w:t>
      </w:r>
      <w:r w:rsidR="00131900">
        <w:t>this conceptual framework</w:t>
      </w:r>
      <w:r w:rsidR="00295C50">
        <w:t>,</w:t>
      </w:r>
      <w:r w:rsidR="00131900">
        <w:t xml:space="preserve"> or </w:t>
      </w:r>
      <w:r w:rsidR="00F76AA7">
        <w:t>a</w:t>
      </w:r>
      <w:r w:rsidR="00467B43">
        <w:t xml:space="preserve"> </w:t>
      </w:r>
      <w:r w:rsidR="00654CCC">
        <w:t>f</w:t>
      </w:r>
      <w:r w:rsidR="006C1A52">
        <w:t>eminist</w:t>
      </w:r>
      <w:r w:rsidR="00350D70">
        <w:t xml:space="preserve"> </w:t>
      </w:r>
      <w:r w:rsidR="00654CCC">
        <w:t>f</w:t>
      </w:r>
      <w:r w:rsidR="000B1B42">
        <w:t>olklori</w:t>
      </w:r>
      <w:r w:rsidR="00F76AA7">
        <w:t>c</w:t>
      </w:r>
      <w:r w:rsidR="000B1B42">
        <w:t xml:space="preserve"> </w:t>
      </w:r>
      <w:r w:rsidR="00654CCC">
        <w:t>t</w:t>
      </w:r>
      <w:r w:rsidR="00641877">
        <w:t>heory</w:t>
      </w:r>
      <w:r w:rsidR="004F4776">
        <w:t>,</w:t>
      </w:r>
      <w:r w:rsidR="00131900">
        <w:t xml:space="preserve"> </w:t>
      </w:r>
      <w:r w:rsidR="00396A71">
        <w:t>such a</w:t>
      </w:r>
      <w:r w:rsidR="00654CCC">
        <w:t xml:space="preserve">s discussed </w:t>
      </w:r>
      <w:r w:rsidR="00396A71">
        <w:t>by</w:t>
      </w:r>
      <w:r w:rsidR="00396A71" w:rsidRPr="00396A71">
        <w:t xml:space="preserve"> Kousaleos</w:t>
      </w:r>
      <w:r w:rsidR="00396A71">
        <w:t xml:space="preserve">, </w:t>
      </w:r>
      <w:r w:rsidR="00A70D32">
        <w:t xml:space="preserve">would </w:t>
      </w:r>
      <w:r w:rsidR="00131900">
        <w:t xml:space="preserve">provide </w:t>
      </w:r>
      <w:r w:rsidR="00CC52CB">
        <w:t xml:space="preserve">Bennett with </w:t>
      </w:r>
      <w:r w:rsidR="00131900">
        <w:t xml:space="preserve">a </w:t>
      </w:r>
      <w:r w:rsidR="00295C50">
        <w:t>firmer</w:t>
      </w:r>
      <w:r w:rsidR="00131900">
        <w:t xml:space="preserve"> foundation for her research</w:t>
      </w:r>
      <w:r w:rsidR="000B1B42">
        <w:t>.</w:t>
      </w:r>
      <w:r w:rsidR="00F76AA7">
        <w:rPr>
          <w:rStyle w:val="FootnoteReference"/>
        </w:rPr>
        <w:footnoteReference w:id="14"/>
      </w:r>
      <w:r w:rsidR="000B1B42">
        <w:t xml:space="preserve"> </w:t>
      </w:r>
      <w:r w:rsidR="00295C50">
        <w:t>B</w:t>
      </w:r>
      <w:r w:rsidR="005A3101">
        <w:t xml:space="preserve">eyond the </w:t>
      </w:r>
      <w:r w:rsidR="006329D6">
        <w:t>introduc</w:t>
      </w:r>
      <w:r w:rsidR="000C6F28">
        <w:t>t</w:t>
      </w:r>
      <w:r w:rsidR="00EB1F50">
        <w:t>o</w:t>
      </w:r>
      <w:r w:rsidR="006329D6">
        <w:t xml:space="preserve">ry </w:t>
      </w:r>
      <w:r w:rsidR="005A3101">
        <w:t>historical sources</w:t>
      </w:r>
      <w:r w:rsidR="003D5D04">
        <w:t xml:space="preserve"> and survey</w:t>
      </w:r>
      <w:r w:rsidR="006329D6">
        <w:t xml:space="preserve"> data</w:t>
      </w:r>
      <w:r w:rsidR="003D5D04">
        <w:t xml:space="preserve">, </w:t>
      </w:r>
      <w:r w:rsidR="00436988">
        <w:t>Bennett provides</w:t>
      </w:r>
      <w:r w:rsidR="000F04E8">
        <w:t xml:space="preserve"> few</w:t>
      </w:r>
      <w:r w:rsidR="009058D1">
        <w:t xml:space="preserve"> secondary sources </w:t>
      </w:r>
      <w:r w:rsidR="004B4A39">
        <w:t xml:space="preserve">at </w:t>
      </w:r>
      <w:r w:rsidR="00436988">
        <w:t>all</w:t>
      </w:r>
      <w:r w:rsidR="006329D6">
        <w:t>.</w:t>
      </w:r>
      <w:r w:rsidR="00671C0C">
        <w:t xml:space="preserve"> Walters and Waterhouse, in contrast, draw on a wide range of secondary sources throughout their paper to support their argument</w:t>
      </w:r>
      <w:r w:rsidR="00C10ACD">
        <w:t>s.</w:t>
      </w:r>
    </w:p>
    <w:p w14:paraId="75B2CFC7" w14:textId="77777777" w:rsidR="002D2D1F" w:rsidRDefault="002D2D1F" w:rsidP="00BF44A7">
      <w:pPr>
        <w:ind w:firstLine="720"/>
        <w:contextualSpacing/>
        <w:rPr>
          <w:b/>
          <w:bCs/>
        </w:rPr>
      </w:pPr>
    </w:p>
    <w:p w14:paraId="3284A5B6" w14:textId="1CCD1FAE" w:rsidR="002D2D1F" w:rsidRDefault="00EB1F50" w:rsidP="002D2D1F">
      <w:pPr>
        <w:contextualSpacing/>
        <w:rPr>
          <w:b/>
          <w:bCs/>
        </w:rPr>
      </w:pPr>
      <w:r w:rsidRPr="00EB1F50">
        <w:rPr>
          <w:b/>
          <w:bCs/>
        </w:rPr>
        <w:t>Methodology</w:t>
      </w:r>
      <w:r w:rsidR="002D2D1F">
        <w:rPr>
          <w:b/>
          <w:bCs/>
        </w:rPr>
        <w:t xml:space="preserve"> and </w:t>
      </w:r>
      <w:r w:rsidR="00653251">
        <w:rPr>
          <w:b/>
          <w:bCs/>
        </w:rPr>
        <w:t>e</w:t>
      </w:r>
      <w:r w:rsidRPr="00EB1F50">
        <w:rPr>
          <w:b/>
          <w:bCs/>
        </w:rPr>
        <w:t>thics</w:t>
      </w:r>
    </w:p>
    <w:p w14:paraId="08CD1870" w14:textId="1A1BB672" w:rsidR="002D2D1F" w:rsidRDefault="00042291" w:rsidP="00653251">
      <w:pPr>
        <w:ind w:left="720"/>
        <w:contextualSpacing/>
      </w:pPr>
      <w:r>
        <w:t xml:space="preserve">Given </w:t>
      </w:r>
      <w:r w:rsidR="00E209F0">
        <w:t>the</w:t>
      </w:r>
      <w:r w:rsidR="00606B4A" w:rsidRPr="00420D6A">
        <w:t xml:space="preserve"> </w:t>
      </w:r>
      <w:r w:rsidR="00420D6A" w:rsidRPr="00420D6A">
        <w:t xml:space="preserve">shaky </w:t>
      </w:r>
      <w:r w:rsidR="00D955C6" w:rsidRPr="00420D6A">
        <w:t>theoretical foundation</w:t>
      </w:r>
      <w:r w:rsidR="00E209F0">
        <w:t>,</w:t>
      </w:r>
      <w:r w:rsidR="00D955C6" w:rsidRPr="00420D6A">
        <w:t xml:space="preserve"> </w:t>
      </w:r>
      <w:r>
        <w:t>there is</w:t>
      </w:r>
      <w:r w:rsidR="00D955C6" w:rsidRPr="00420D6A">
        <w:t>, perhaps unsurprising</w:t>
      </w:r>
      <w:r w:rsidR="00716D58" w:rsidRPr="00420D6A">
        <w:t xml:space="preserve">ly, </w:t>
      </w:r>
      <w:r w:rsidRPr="006D3652">
        <w:t xml:space="preserve">little evidence of an </w:t>
      </w:r>
    </w:p>
    <w:p w14:paraId="64CC4E29" w14:textId="74F22AAC" w:rsidR="009C48E8" w:rsidRDefault="00042291" w:rsidP="00653251">
      <w:pPr>
        <w:contextualSpacing/>
        <w:jc w:val="both"/>
      </w:pPr>
      <w:r w:rsidRPr="006D3652">
        <w:t xml:space="preserve">academic rationale for </w:t>
      </w:r>
      <w:r w:rsidR="00E209F0">
        <w:t>Benn</w:t>
      </w:r>
      <w:r w:rsidR="002A7341">
        <w:t>e</w:t>
      </w:r>
      <w:r w:rsidR="00E209F0">
        <w:t>tt’s</w:t>
      </w:r>
      <w:r>
        <w:t xml:space="preserve"> methodology</w:t>
      </w:r>
      <w:r w:rsidR="00E209F0">
        <w:t>.</w:t>
      </w:r>
      <w:r w:rsidR="00165362">
        <w:t xml:space="preserve"> Whereas</w:t>
      </w:r>
      <w:r w:rsidR="00670D4B">
        <w:t xml:space="preserve"> Henni</w:t>
      </w:r>
      <w:r w:rsidR="002A273C">
        <w:t>n</w:t>
      </w:r>
      <w:r w:rsidR="00670D4B">
        <w:t>k et al.</w:t>
      </w:r>
      <w:r w:rsidR="00165362">
        <w:t xml:space="preserve">, </w:t>
      </w:r>
      <w:r w:rsidR="00670D4B">
        <w:t xml:space="preserve">recommend </w:t>
      </w:r>
      <w:r w:rsidR="00165362">
        <w:t xml:space="preserve">that </w:t>
      </w:r>
      <w:r w:rsidR="00436988">
        <w:t xml:space="preserve">chosen </w:t>
      </w:r>
      <w:r w:rsidR="00165362">
        <w:t xml:space="preserve">methods </w:t>
      </w:r>
      <w:r w:rsidR="00670D4B">
        <w:t xml:space="preserve">should </w:t>
      </w:r>
      <w:r w:rsidR="00AB78BE">
        <w:t>logically reflect the paradigm underlying</w:t>
      </w:r>
      <w:r w:rsidR="00594AC0">
        <w:t xml:space="preserve"> the research</w:t>
      </w:r>
      <w:r w:rsidR="00165362">
        <w:t>,</w:t>
      </w:r>
      <w:r w:rsidR="00594AC0">
        <w:t xml:space="preserve"> </w:t>
      </w:r>
      <w:r>
        <w:t>t</w:t>
      </w:r>
      <w:r w:rsidRPr="006D3652">
        <w:t xml:space="preserve">he impression </w:t>
      </w:r>
      <w:r w:rsidR="00165362">
        <w:t xml:space="preserve">here </w:t>
      </w:r>
      <w:r w:rsidRPr="006D3652">
        <w:t>is of a project of convenience</w:t>
      </w:r>
      <w:r w:rsidR="00DB59A1">
        <w:t>.</w:t>
      </w:r>
      <w:r w:rsidR="00165362">
        <w:rPr>
          <w:rStyle w:val="FootnoteReference"/>
        </w:rPr>
        <w:footnoteReference w:id="15"/>
      </w:r>
      <w:r w:rsidR="00165362">
        <w:t xml:space="preserve"> </w:t>
      </w:r>
      <w:r w:rsidR="00DB59A1">
        <w:t>Bennett</w:t>
      </w:r>
      <w:r w:rsidR="00F44EDD">
        <w:t xml:space="preserve"> acknowledges, s</w:t>
      </w:r>
      <w:r w:rsidR="006D3652" w:rsidRPr="006D3652">
        <w:t xml:space="preserve">everal false starts </w:t>
      </w:r>
      <w:r w:rsidR="00F44EDD">
        <w:t>in her research</w:t>
      </w:r>
      <w:r w:rsidR="003B5D47">
        <w:t xml:space="preserve">, </w:t>
      </w:r>
      <w:r w:rsidR="006D3652" w:rsidRPr="006D3652">
        <w:t xml:space="preserve">resulting in </w:t>
      </w:r>
      <w:r w:rsidR="00593A12">
        <w:t xml:space="preserve">her </w:t>
      </w:r>
      <w:r w:rsidR="00CA7336">
        <w:t xml:space="preserve">decision to interview patients at </w:t>
      </w:r>
      <w:r w:rsidR="006D3652" w:rsidRPr="006D3652">
        <w:t>her father</w:t>
      </w:r>
      <w:r w:rsidR="00593A12">
        <w:t xml:space="preserve">’s </w:t>
      </w:r>
      <w:r w:rsidR="00A75951">
        <w:t>podiatrist practice</w:t>
      </w:r>
      <w:r w:rsidR="00CA7336">
        <w:t>.</w:t>
      </w:r>
      <w:r w:rsidR="00525373">
        <w:rPr>
          <w:rStyle w:val="FootnoteReference"/>
        </w:rPr>
        <w:footnoteReference w:id="16"/>
      </w:r>
      <w:r w:rsidR="006D3652" w:rsidRPr="006D3652">
        <w:t xml:space="preserve"> </w:t>
      </w:r>
      <w:r w:rsidR="004623B8">
        <w:t>O</w:t>
      </w:r>
      <w:r w:rsidR="006F60EF" w:rsidRPr="006B4FDD">
        <w:t xml:space="preserve">ver a period of five months, she </w:t>
      </w:r>
      <w:r w:rsidR="004623B8">
        <w:t>i</w:t>
      </w:r>
      <w:r w:rsidR="006F60EF" w:rsidRPr="006B4FDD">
        <w:t xml:space="preserve">nterviewed 120 men and women, with ages ranging from sixteen to ninety-five. </w:t>
      </w:r>
      <w:r w:rsidR="00436988">
        <w:t>O</w:t>
      </w:r>
      <w:r w:rsidR="006F60EF" w:rsidRPr="006B4FDD">
        <w:t xml:space="preserve">nly on concluding these conversations, </w:t>
      </w:r>
      <w:r w:rsidR="00436988">
        <w:t>did</w:t>
      </w:r>
      <w:r w:rsidR="006F60EF" w:rsidRPr="006B4FDD">
        <w:t xml:space="preserve"> Bennett decid</w:t>
      </w:r>
      <w:r w:rsidR="00436988">
        <w:t>e</w:t>
      </w:r>
      <w:r w:rsidR="006F60EF" w:rsidRPr="006B4FDD">
        <w:t xml:space="preserve"> to focus on elderly women as her primary informants, on the basis that they made up the majority of the total interviewed.</w:t>
      </w:r>
      <w:r w:rsidR="006F60EF" w:rsidRPr="006B4FDD">
        <w:rPr>
          <w:rStyle w:val="FootnoteReference"/>
        </w:rPr>
        <w:footnoteReference w:id="17"/>
      </w:r>
      <w:r w:rsidR="006B4FDD">
        <w:t xml:space="preserve"> </w:t>
      </w:r>
      <w:r w:rsidR="009C48E8">
        <w:t>Th</w:t>
      </w:r>
      <w:r w:rsidR="006B4FDD">
        <w:t>is</w:t>
      </w:r>
      <w:r w:rsidR="007E01D1">
        <w:t xml:space="preserve"> methodology </w:t>
      </w:r>
      <w:r w:rsidR="009C48E8">
        <w:t xml:space="preserve">gives rise to some substantial ethical issues with Bennett’s paper. </w:t>
      </w:r>
      <w:r w:rsidR="007E01D1">
        <w:t>She</w:t>
      </w:r>
      <w:r w:rsidR="006F60EF">
        <w:t xml:space="preserve"> </w:t>
      </w:r>
      <w:r w:rsidR="009C48E8">
        <w:t>explains her approach as follows:</w:t>
      </w:r>
    </w:p>
    <w:p w14:paraId="5C3E9ED6" w14:textId="77777777" w:rsidR="004B42E4" w:rsidRDefault="004B42E4" w:rsidP="00653251">
      <w:pPr>
        <w:contextualSpacing/>
        <w:jc w:val="both"/>
      </w:pPr>
    </w:p>
    <w:p w14:paraId="0CDF5E07" w14:textId="77777777" w:rsidR="009C48E8" w:rsidRDefault="009C48E8" w:rsidP="00653251">
      <w:pPr>
        <w:ind w:left="720" w:right="804"/>
        <w:contextualSpacing/>
        <w:jc w:val="both"/>
      </w:pPr>
      <w:r w:rsidRPr="00440D50">
        <w:lastRenderedPageBreak/>
        <w:t>With their permission, I simply sat in on their treatment, told them what I was researching and how I was planning to use the material, and recorded everything that was said.</w:t>
      </w:r>
      <w:r>
        <w:rPr>
          <w:rStyle w:val="FootnoteReference"/>
        </w:rPr>
        <w:footnoteReference w:id="18"/>
      </w:r>
    </w:p>
    <w:p w14:paraId="5BE12321" w14:textId="77777777" w:rsidR="00653251" w:rsidRDefault="00653251" w:rsidP="00653251">
      <w:pPr>
        <w:contextualSpacing/>
      </w:pPr>
    </w:p>
    <w:p w14:paraId="7026F1EE" w14:textId="1D9F1B43" w:rsidR="009C48E8" w:rsidRDefault="009C48E8" w:rsidP="00653251">
      <w:pPr>
        <w:contextualSpacing/>
      </w:pPr>
      <w:r>
        <w:t xml:space="preserve">It is debatable whether this meets the principle of informed consent, described by Bell and Waters as requiring </w:t>
      </w:r>
      <w:r w:rsidR="004B42E4">
        <w:t xml:space="preserve">prior consideration and </w:t>
      </w:r>
      <w:r>
        <w:t xml:space="preserve">consultation before </w:t>
      </w:r>
      <w:r w:rsidR="004F1627">
        <w:t>commencing</w:t>
      </w:r>
      <w:r>
        <w:t xml:space="preserve"> data collection.</w:t>
      </w:r>
      <w:r>
        <w:rPr>
          <w:rStyle w:val="FootnoteReference"/>
        </w:rPr>
        <w:footnoteReference w:id="19"/>
      </w:r>
      <w:r>
        <w:t xml:space="preserve"> </w:t>
      </w:r>
    </w:p>
    <w:p w14:paraId="211C2AED" w14:textId="30A44C75" w:rsidR="009C48E8" w:rsidRDefault="009C48E8" w:rsidP="00653251">
      <w:pPr>
        <w:ind w:firstLine="720"/>
        <w:contextualSpacing/>
        <w:jc w:val="both"/>
      </w:pPr>
      <w:r>
        <w:t xml:space="preserve">There are also concerns </w:t>
      </w:r>
      <w:r w:rsidR="004A0391">
        <w:t xml:space="preserve">regarding </w:t>
      </w:r>
      <w:r>
        <w:t xml:space="preserve">Bennett’s father sharing </w:t>
      </w:r>
      <w:r w:rsidR="00E3079B">
        <w:t xml:space="preserve">of </w:t>
      </w:r>
      <w:r>
        <w:t xml:space="preserve">his </w:t>
      </w:r>
      <w:r w:rsidR="00DC289F">
        <w:t>patient’s</w:t>
      </w:r>
      <w:r>
        <w:t xml:space="preserve"> personal information, including age, marital status</w:t>
      </w:r>
      <w:r w:rsidR="00DC289F">
        <w:t xml:space="preserve">, </w:t>
      </w:r>
      <w:r>
        <w:t xml:space="preserve">domestic </w:t>
      </w:r>
      <w:r w:rsidR="007745AC">
        <w:t>circumstances,</w:t>
      </w:r>
      <w:r w:rsidR="00E15046">
        <w:t xml:space="preserve"> and </w:t>
      </w:r>
      <w:r>
        <w:t>religious practices</w:t>
      </w:r>
      <w:r w:rsidR="00F0402B">
        <w:t xml:space="preserve">. </w:t>
      </w:r>
      <w:r w:rsidR="00041333">
        <w:t>Similarly, g</w:t>
      </w:r>
      <w:r>
        <w:t>iven the interviews took place during the women’s podiatric treatment, administered by Bennett’s father, there is a lack of anonymity which</w:t>
      </w:r>
      <w:r w:rsidR="007745AC">
        <w:t>,</w:t>
      </w:r>
      <w:r>
        <w:t xml:space="preserve"> as defined by Hennick et al.</w:t>
      </w:r>
      <w:r w:rsidR="00123F13">
        <w:t>,</w:t>
      </w:r>
      <w:r>
        <w:t xml:space="preserve"> should include restricting those who overhear interviews to researchers and transcribers only.</w:t>
      </w:r>
      <w:r>
        <w:rPr>
          <w:rStyle w:val="FootnoteReference"/>
        </w:rPr>
        <w:footnoteReference w:id="20"/>
      </w:r>
    </w:p>
    <w:p w14:paraId="7F674FBD" w14:textId="2E37359D" w:rsidR="0077754E" w:rsidRDefault="00C30B39" w:rsidP="00653251">
      <w:pPr>
        <w:ind w:firstLine="720"/>
        <w:contextualSpacing/>
        <w:jc w:val="both"/>
      </w:pPr>
      <w:r>
        <w:t xml:space="preserve">In </w:t>
      </w:r>
      <w:r w:rsidR="000827D7">
        <w:t>comparison</w:t>
      </w:r>
      <w:r w:rsidR="00EC34C5" w:rsidRPr="00EC34C5">
        <w:t xml:space="preserve">, </w:t>
      </w:r>
      <w:r w:rsidR="004908E9">
        <w:t xml:space="preserve">Walter and Waterhouse </w:t>
      </w:r>
      <w:r w:rsidR="002A0C11">
        <w:t>demonstrate</w:t>
      </w:r>
      <w:r w:rsidR="004908E9">
        <w:t xml:space="preserve"> </w:t>
      </w:r>
      <w:r w:rsidR="00EC34C5" w:rsidRPr="00EC34C5">
        <w:t>a clear</w:t>
      </w:r>
      <w:r w:rsidR="004623B8">
        <w:t xml:space="preserve"> </w:t>
      </w:r>
      <w:r w:rsidR="00EC34C5" w:rsidRPr="00EC34C5">
        <w:t>methodology</w:t>
      </w:r>
      <w:r w:rsidR="0098616F">
        <w:t>,</w:t>
      </w:r>
      <w:r w:rsidR="00AD59EB">
        <w:t xml:space="preserve"> </w:t>
      </w:r>
      <w:r w:rsidR="00EC34C5" w:rsidRPr="00EC34C5">
        <w:t>address</w:t>
      </w:r>
      <w:r w:rsidR="00AD59EB">
        <w:t xml:space="preserve">ing </w:t>
      </w:r>
      <w:r w:rsidR="00EC34C5" w:rsidRPr="00EC34C5">
        <w:t>stated research aims</w:t>
      </w:r>
      <w:r w:rsidR="00C30A54">
        <w:t xml:space="preserve">. They </w:t>
      </w:r>
      <w:r w:rsidR="008C137B">
        <w:t>too</w:t>
      </w:r>
      <w:r w:rsidR="00C30A54">
        <w:t xml:space="preserve"> use interviews</w:t>
      </w:r>
      <w:r w:rsidR="00512BBD">
        <w:t>, in this case to</w:t>
      </w:r>
      <w:r w:rsidR="001A750E">
        <w:t xml:space="preserve"> understand what reincarnation means to those who expres</w:t>
      </w:r>
      <w:r w:rsidR="004A3B62">
        <w:t>s</w:t>
      </w:r>
      <w:r w:rsidR="001A750E">
        <w:t xml:space="preserve"> belief in it</w:t>
      </w:r>
      <w:r w:rsidR="00AD59EB">
        <w:t>.</w:t>
      </w:r>
      <w:r w:rsidR="00C1087F">
        <w:rPr>
          <w:rStyle w:val="FootnoteReference"/>
        </w:rPr>
        <w:footnoteReference w:id="21"/>
      </w:r>
      <w:r w:rsidR="00EC34C5" w:rsidRPr="00EC34C5">
        <w:t xml:space="preserve"> </w:t>
      </w:r>
      <w:r w:rsidR="00AD59EB">
        <w:t>I</w:t>
      </w:r>
      <w:r w:rsidR="0007796A">
        <w:t>nterviews were conducted at locations across</w:t>
      </w:r>
      <w:r w:rsidR="00B542A4">
        <w:t xml:space="preserve"> </w:t>
      </w:r>
      <w:r w:rsidR="0007796A">
        <w:t xml:space="preserve">South West England. </w:t>
      </w:r>
      <w:r w:rsidR="00DB4D95">
        <w:t xml:space="preserve">As </w:t>
      </w:r>
      <w:r w:rsidR="0049043D">
        <w:t>recommended by Hennick et al.</w:t>
      </w:r>
      <w:r w:rsidR="00DB4D95">
        <w:t xml:space="preserve">, </w:t>
      </w:r>
      <w:r w:rsidR="0007796A" w:rsidRPr="00EC34C5">
        <w:t>interviews were</w:t>
      </w:r>
      <w:r w:rsidR="0007796A">
        <w:t xml:space="preserve"> </w:t>
      </w:r>
      <w:r w:rsidR="0007796A" w:rsidRPr="00EC34C5">
        <w:t>open-ended</w:t>
      </w:r>
      <w:r w:rsidR="00B010AC">
        <w:t>, without leading questions so as to allow the participants to</w:t>
      </w:r>
      <w:r w:rsidR="0007796A" w:rsidRPr="00EC34C5">
        <w:t xml:space="preserve"> speak </w:t>
      </w:r>
      <w:r w:rsidR="008C137B">
        <w:t>o</w:t>
      </w:r>
      <w:r w:rsidR="0007796A" w:rsidRPr="00EC34C5">
        <w:t>n their own terms</w:t>
      </w:r>
      <w:r w:rsidR="0007796A">
        <w:t>.</w:t>
      </w:r>
      <w:r w:rsidR="00CA3926">
        <w:rPr>
          <w:rStyle w:val="FootnoteReference"/>
        </w:rPr>
        <w:footnoteReference w:id="22"/>
      </w:r>
      <w:r w:rsidR="0082206E">
        <w:t xml:space="preserve"> </w:t>
      </w:r>
      <w:r w:rsidR="00EE0FAF">
        <w:t xml:space="preserve">Thirty interviews were conducted </w:t>
      </w:r>
      <w:r w:rsidR="00EC34C5" w:rsidRPr="00EC34C5">
        <w:t xml:space="preserve">with adults who </w:t>
      </w:r>
      <w:r w:rsidR="00642352">
        <w:t xml:space="preserve">responded to </w:t>
      </w:r>
      <w:r w:rsidR="001774C3" w:rsidRPr="00EC34C5">
        <w:t xml:space="preserve">a call </w:t>
      </w:r>
      <w:r w:rsidR="001774C3" w:rsidRPr="004F1D32">
        <w:t>for</w:t>
      </w:r>
      <w:r w:rsidR="004F1D32" w:rsidRPr="004F1D32">
        <w:t xml:space="preserve"> volunteers</w:t>
      </w:r>
      <w:r w:rsidR="00F65ACB" w:rsidRPr="004F1D32">
        <w:t>.</w:t>
      </w:r>
      <w:r w:rsidR="000D496F">
        <w:t xml:space="preserve">  </w:t>
      </w:r>
      <w:r w:rsidR="003553C7">
        <w:t>In addition</w:t>
      </w:r>
      <w:r w:rsidR="00E505FA">
        <w:t>,</w:t>
      </w:r>
      <w:r w:rsidR="003553C7">
        <w:t xml:space="preserve"> </w:t>
      </w:r>
      <w:r w:rsidR="00EC34C5" w:rsidRPr="00EC34C5">
        <w:t>three group</w:t>
      </w:r>
      <w:r w:rsidR="00B846CF">
        <w:t xml:space="preserve">s of </w:t>
      </w:r>
      <w:r w:rsidR="002625EE">
        <w:t>schoolchildren of various</w:t>
      </w:r>
      <w:r w:rsidR="00EB1380">
        <w:t xml:space="preserve"> age </w:t>
      </w:r>
      <w:r w:rsidR="002625EE">
        <w:t>ranges were also interviewed</w:t>
      </w:r>
      <w:r w:rsidR="00EC34C5" w:rsidRPr="00EC34C5">
        <w:t xml:space="preserve">. </w:t>
      </w:r>
      <w:r w:rsidR="0082206E">
        <w:t>No particular rationale</w:t>
      </w:r>
      <w:r w:rsidR="00F5029A">
        <w:t xml:space="preserve"> </w:t>
      </w:r>
      <w:r w:rsidR="00B5537D">
        <w:t>is</w:t>
      </w:r>
      <w:r w:rsidR="00B42B98">
        <w:t xml:space="preserve"> provided by the authors </w:t>
      </w:r>
      <w:r w:rsidR="009801D0">
        <w:t>regarding the</w:t>
      </w:r>
      <w:r w:rsidR="00B5537D">
        <w:t>ir</w:t>
      </w:r>
      <w:r w:rsidR="009801D0">
        <w:t xml:space="preserve"> </w:t>
      </w:r>
      <w:r w:rsidR="00857A3E">
        <w:t xml:space="preserve">interviewing </w:t>
      </w:r>
      <w:r w:rsidR="009801D0">
        <w:t xml:space="preserve">of </w:t>
      </w:r>
      <w:r w:rsidR="00857A3E">
        <w:t>children</w:t>
      </w:r>
      <w:r w:rsidR="00B5537D">
        <w:t>; o</w:t>
      </w:r>
      <w:r w:rsidR="00692028">
        <w:t xml:space="preserve">ne is left to assume that these </w:t>
      </w:r>
      <w:r w:rsidR="00B5537D">
        <w:t xml:space="preserve">interviews </w:t>
      </w:r>
      <w:r w:rsidR="00692028">
        <w:t xml:space="preserve">were undertaken in a school setting with </w:t>
      </w:r>
      <w:r w:rsidR="0077754E">
        <w:t xml:space="preserve">appropriate consents and safeguards. </w:t>
      </w:r>
    </w:p>
    <w:p w14:paraId="155FD7FB" w14:textId="2F50A701" w:rsidR="00AC5B8D" w:rsidRPr="00AC5B8D" w:rsidRDefault="00AC5B8D" w:rsidP="00653251">
      <w:pPr>
        <w:ind w:firstLine="720"/>
        <w:contextualSpacing/>
        <w:jc w:val="both"/>
      </w:pPr>
      <w:r w:rsidRPr="00AC5B8D">
        <w:t>Walter and Waterhouse position themselves as dispassionate, etic observers, professing no personal opinions regarding their subject matter</w:t>
      </w:r>
      <w:r w:rsidR="007F5FD5">
        <w:t>.</w:t>
      </w:r>
      <w:r w:rsidRPr="00AC5B8D">
        <w:t xml:space="preserve"> Bennett’s position on the insider/outsider continuum is more questionable.</w:t>
      </w:r>
      <w:r w:rsidRPr="00AC5B8D">
        <w:rPr>
          <w:vertAlign w:val="superscript"/>
        </w:rPr>
        <w:footnoteReference w:id="23"/>
      </w:r>
      <w:r w:rsidRPr="00AC5B8D">
        <w:t xml:space="preserve"> The overall impression is of Bennett as an objective observer, and, as an academic researcher</w:t>
      </w:r>
      <w:r w:rsidR="00DF0425">
        <w:t>,</w:t>
      </w:r>
      <w:r w:rsidRPr="00AC5B8D">
        <w:t xml:space="preserve"> of presumably younger age than her informants, she does appear, culturally at least, to be an outsider. However, the relationship between the participants and Bennett’s father, and the fact that his patients all ‘used the same doctor, shopped at the same local shops and were part of the social network’, suggest that to no small extent, Bennett is socially an insider, with some degree of e</w:t>
      </w:r>
      <w:r w:rsidR="006A2245">
        <w:t>m</w:t>
      </w:r>
      <w:r w:rsidRPr="00AC5B8D">
        <w:t>ic perspective.</w:t>
      </w:r>
      <w:r w:rsidRPr="00AC5B8D">
        <w:rPr>
          <w:vertAlign w:val="superscript"/>
        </w:rPr>
        <w:footnoteReference w:id="24"/>
      </w:r>
    </w:p>
    <w:p w14:paraId="02457DA1" w14:textId="77777777" w:rsidR="00490065" w:rsidRDefault="00490065" w:rsidP="00BF44A7">
      <w:pPr>
        <w:ind w:firstLine="720"/>
        <w:contextualSpacing/>
        <w:rPr>
          <w:b/>
          <w:bCs/>
        </w:rPr>
      </w:pPr>
    </w:p>
    <w:p w14:paraId="0C77CFA8" w14:textId="77777777" w:rsidR="00653251" w:rsidRDefault="00725E4A" w:rsidP="00653251">
      <w:pPr>
        <w:contextualSpacing/>
        <w:rPr>
          <w:b/>
          <w:bCs/>
        </w:rPr>
      </w:pPr>
      <w:r w:rsidRPr="00725E4A">
        <w:rPr>
          <w:b/>
          <w:bCs/>
        </w:rPr>
        <w:t>Assumptions</w:t>
      </w:r>
      <w:r w:rsidR="008553E3">
        <w:rPr>
          <w:b/>
          <w:bCs/>
        </w:rPr>
        <w:t xml:space="preserve"> and generalisations</w:t>
      </w:r>
    </w:p>
    <w:p w14:paraId="2FE8BC2F" w14:textId="46B24977" w:rsidR="00653251" w:rsidRDefault="00C43C13" w:rsidP="00986D4B">
      <w:pPr>
        <w:ind w:left="720"/>
        <w:contextualSpacing/>
        <w:jc w:val="both"/>
      </w:pPr>
      <w:bookmarkStart w:id="15" w:name="_Hlk66989637"/>
      <w:r>
        <w:t>P</w:t>
      </w:r>
      <w:r w:rsidR="00381710">
        <w:t xml:space="preserve">ractising Hindus, Sikhs, and Buddhist </w:t>
      </w:r>
      <w:bookmarkEnd w:id="15"/>
      <w:r w:rsidR="00381710">
        <w:t xml:space="preserve">were excluded from </w:t>
      </w:r>
      <w:r w:rsidR="00E953EC">
        <w:t>Walter and Waterhouse’s</w:t>
      </w:r>
      <w:r w:rsidR="00381710">
        <w:t xml:space="preserve"> </w:t>
      </w:r>
      <w:r w:rsidR="00E82768">
        <w:t>study</w:t>
      </w:r>
      <w:r w:rsidR="00D65948">
        <w:t>,</w:t>
      </w:r>
    </w:p>
    <w:p w14:paraId="6A90AF07" w14:textId="7355A919" w:rsidR="00372DFF" w:rsidRDefault="00D02DE4" w:rsidP="00986D4B">
      <w:pPr>
        <w:contextualSpacing/>
        <w:jc w:val="both"/>
      </w:pPr>
      <w:r>
        <w:t>t</w:t>
      </w:r>
      <w:r w:rsidR="00381710">
        <w:t xml:space="preserve">he rationale for this </w:t>
      </w:r>
      <w:r w:rsidR="00D65948">
        <w:t xml:space="preserve">being </w:t>
      </w:r>
      <w:r w:rsidR="00093DC3">
        <w:t>to</w:t>
      </w:r>
      <w:r w:rsidR="00381710">
        <w:t xml:space="preserve"> focus the study on those who have come to believe in reincarnation independently, rather than ‘because their religion tells them to.’</w:t>
      </w:r>
      <w:r w:rsidR="00381710">
        <w:rPr>
          <w:rStyle w:val="FootnoteReference"/>
        </w:rPr>
        <w:footnoteReference w:id="25"/>
      </w:r>
      <w:r w:rsidR="00381710">
        <w:t xml:space="preserve"> </w:t>
      </w:r>
      <w:r w:rsidR="001B4076">
        <w:t xml:space="preserve">For similar reasons, </w:t>
      </w:r>
      <w:r w:rsidR="00E82768">
        <w:t xml:space="preserve">the authors </w:t>
      </w:r>
      <w:r w:rsidR="001B4076">
        <w:t xml:space="preserve">also </w:t>
      </w:r>
      <w:r w:rsidR="00096DD3">
        <w:t>seek to exclude</w:t>
      </w:r>
      <w:r w:rsidR="008C122B">
        <w:t xml:space="preserve"> </w:t>
      </w:r>
      <w:r w:rsidR="00D21841">
        <w:t xml:space="preserve">‘obvious </w:t>
      </w:r>
      <w:r w:rsidR="00F732E3" w:rsidRPr="00F732E3">
        <w:t>New Age</w:t>
      </w:r>
      <w:r w:rsidR="00D21841">
        <w:t>rs</w:t>
      </w:r>
      <w:r w:rsidR="00810F2F">
        <w:t>’</w:t>
      </w:r>
      <w:r w:rsidR="00DC6A7D">
        <w:t>.</w:t>
      </w:r>
      <w:r w:rsidR="00D21841">
        <w:rPr>
          <w:rStyle w:val="FootnoteReference"/>
        </w:rPr>
        <w:footnoteReference w:id="26"/>
      </w:r>
      <w:r w:rsidR="00D21841">
        <w:t xml:space="preserve"> </w:t>
      </w:r>
      <w:r w:rsidR="00DC6A7D">
        <w:t xml:space="preserve">Whilst </w:t>
      </w:r>
      <w:r w:rsidR="000970A4">
        <w:t>acknowledging</w:t>
      </w:r>
      <w:r w:rsidR="00DC6A7D">
        <w:t xml:space="preserve"> that the term New Age is notoriously</w:t>
      </w:r>
      <w:r w:rsidR="00F732E3" w:rsidRPr="00F732E3">
        <w:t xml:space="preserve"> difficul</w:t>
      </w:r>
      <w:r w:rsidR="00F064A8">
        <w:t>t to define</w:t>
      </w:r>
      <w:r w:rsidR="00F732E3" w:rsidRPr="00F732E3">
        <w:t>,</w:t>
      </w:r>
      <w:r w:rsidR="00413E7D">
        <w:t xml:space="preserve"> they rather tie themselves in </w:t>
      </w:r>
      <w:r w:rsidR="00DF0425">
        <w:t>k</w:t>
      </w:r>
      <w:r w:rsidR="00413E7D">
        <w:t xml:space="preserve">nots </w:t>
      </w:r>
      <w:r w:rsidR="00AC1FD0">
        <w:t>attempting to do so, reason</w:t>
      </w:r>
      <w:r w:rsidR="00FE3B7B">
        <w:t>ing</w:t>
      </w:r>
      <w:r w:rsidR="00AC1FD0">
        <w:t xml:space="preserve"> that </w:t>
      </w:r>
      <w:r w:rsidR="008A6CD7">
        <w:t xml:space="preserve">reincarnation </w:t>
      </w:r>
      <w:r w:rsidR="00FE3B7B">
        <w:t>must be</w:t>
      </w:r>
      <w:r w:rsidR="008A6CD7">
        <w:t xml:space="preserve"> part of a package of </w:t>
      </w:r>
      <w:r w:rsidR="00806689">
        <w:t xml:space="preserve">New Age </w:t>
      </w:r>
      <w:r w:rsidR="008A6CD7">
        <w:t>beliefs</w:t>
      </w:r>
      <w:r w:rsidR="00497339">
        <w:t>,</w:t>
      </w:r>
      <w:r w:rsidR="00AE7702">
        <w:t xml:space="preserve"> on the basis that </w:t>
      </w:r>
      <w:r w:rsidR="00AE7702" w:rsidRPr="004D72EF">
        <w:t xml:space="preserve">adverts for past-life regression </w:t>
      </w:r>
      <w:r w:rsidR="00372DFF">
        <w:t>appear in</w:t>
      </w:r>
      <w:r w:rsidR="004D72EF" w:rsidRPr="004D72EF">
        <w:t xml:space="preserve"> </w:t>
      </w:r>
      <w:r w:rsidR="00806689">
        <w:t>N</w:t>
      </w:r>
      <w:r w:rsidR="004D72EF" w:rsidRPr="004D72EF">
        <w:t>ew Age magazines</w:t>
      </w:r>
      <w:r w:rsidR="00E953EC">
        <w:t>.</w:t>
      </w:r>
      <w:r w:rsidR="00E953EC">
        <w:rPr>
          <w:rStyle w:val="FootnoteReference"/>
        </w:rPr>
        <w:footnoteReference w:id="27"/>
      </w:r>
      <w:r w:rsidR="003F4E8B">
        <w:t xml:space="preserve"> </w:t>
      </w:r>
      <w:r w:rsidR="00372DFF">
        <w:t xml:space="preserve">Their </w:t>
      </w:r>
      <w:r w:rsidR="00A96E74">
        <w:t xml:space="preserve">method of determining which of their </w:t>
      </w:r>
      <w:r w:rsidR="007A184D">
        <w:t>respondents</w:t>
      </w:r>
      <w:r w:rsidR="00A96E74">
        <w:t xml:space="preserve"> is a fully fledged New Ager, </w:t>
      </w:r>
      <w:r w:rsidR="00806689">
        <w:t>seems to be largely based on</w:t>
      </w:r>
      <w:r w:rsidR="009522A2">
        <w:t xml:space="preserve"> a stereotype</w:t>
      </w:r>
      <w:r w:rsidR="0098616F">
        <w:t>:</w:t>
      </w:r>
    </w:p>
    <w:p w14:paraId="01404838" w14:textId="77777777" w:rsidR="00986D4B" w:rsidRDefault="00986D4B" w:rsidP="00653251">
      <w:pPr>
        <w:contextualSpacing/>
      </w:pPr>
    </w:p>
    <w:p w14:paraId="0F1BB96A" w14:textId="1A1F3183" w:rsidR="00891209" w:rsidRDefault="009522A2" w:rsidP="00986D4B">
      <w:pPr>
        <w:ind w:left="720" w:right="804"/>
        <w:contextualSpacing/>
        <w:jc w:val="both"/>
      </w:pPr>
      <w:r>
        <w:t>Ou</w:t>
      </w:r>
      <w:r w:rsidRPr="00F732E3">
        <w:t>r respondents simply did not seem to us like New Agers. Virtually none of our respondents nor their homes exuded typical images of the New Age such as Indian skirts, crystals, or New Age mus</w:t>
      </w:r>
      <w:r>
        <w:t>ic</w:t>
      </w:r>
      <w:r w:rsidR="008553E3">
        <w:t>.</w:t>
      </w:r>
      <w:r w:rsidR="008553E3">
        <w:rPr>
          <w:rStyle w:val="FootnoteReference"/>
        </w:rPr>
        <w:footnoteReference w:id="28"/>
      </w:r>
    </w:p>
    <w:p w14:paraId="30B73978" w14:textId="77777777" w:rsidR="00986D4B" w:rsidRDefault="00986D4B" w:rsidP="00986D4B">
      <w:pPr>
        <w:contextualSpacing/>
      </w:pPr>
    </w:p>
    <w:p w14:paraId="5EF6C25E" w14:textId="1FE1099E" w:rsidR="00F732E3" w:rsidRDefault="00F732E3" w:rsidP="009E6684">
      <w:pPr>
        <w:contextualSpacing/>
        <w:jc w:val="both"/>
      </w:pPr>
      <w:r w:rsidRPr="00F732E3">
        <w:t>Similar generalisations are displayed elsewhere</w:t>
      </w:r>
      <w:r w:rsidR="00B107EC">
        <w:t xml:space="preserve">. Other lifestyle choices </w:t>
      </w:r>
      <w:r w:rsidR="005A7941">
        <w:t>which the authors</w:t>
      </w:r>
      <w:r w:rsidR="00B15A03">
        <w:t xml:space="preserve"> </w:t>
      </w:r>
      <w:r w:rsidR="00C62712">
        <w:t>deem</w:t>
      </w:r>
      <w:r w:rsidR="005A7941">
        <w:t xml:space="preserve"> likely indicators of belief in reincarnation, include involvement </w:t>
      </w:r>
      <w:r w:rsidRPr="00F732E3">
        <w:t xml:space="preserve">in </w:t>
      </w:r>
      <w:r w:rsidR="00C62712">
        <w:t>environmentalism</w:t>
      </w:r>
      <w:r w:rsidRPr="00F732E3">
        <w:t xml:space="preserve">, alternative healing, </w:t>
      </w:r>
      <w:r w:rsidR="00ED3645" w:rsidRPr="00F732E3">
        <w:t>vegetarianism,</w:t>
      </w:r>
      <w:r w:rsidR="00C62712">
        <w:t xml:space="preserve"> and </w:t>
      </w:r>
      <w:r w:rsidRPr="00F732E3">
        <w:t>yoga</w:t>
      </w:r>
      <w:r w:rsidR="008553E3">
        <w:t>.</w:t>
      </w:r>
      <w:r w:rsidR="004A190A">
        <w:rPr>
          <w:rStyle w:val="FootnoteReference"/>
        </w:rPr>
        <w:footnoteReference w:id="29"/>
      </w:r>
      <w:r w:rsidR="004A190A">
        <w:t xml:space="preserve"> </w:t>
      </w:r>
      <w:r w:rsidR="00C62712">
        <w:t>N</w:t>
      </w:r>
      <w:r w:rsidR="00F924D2">
        <w:t>o sources are provided to back-up these assumptions</w:t>
      </w:r>
      <w:r w:rsidR="00600B45">
        <w:t>.</w:t>
      </w:r>
    </w:p>
    <w:p w14:paraId="646AD08A" w14:textId="61746E56" w:rsidR="00A327CB" w:rsidRPr="00F732E3" w:rsidRDefault="00D516CC" w:rsidP="009E6684">
      <w:pPr>
        <w:ind w:firstLine="720"/>
        <w:contextualSpacing/>
        <w:jc w:val="both"/>
      </w:pPr>
      <w:r>
        <w:t xml:space="preserve">Walter and Waterhouse’s </w:t>
      </w:r>
      <w:r w:rsidR="009B72A1">
        <w:t>statement that r</w:t>
      </w:r>
      <w:r w:rsidR="00A327CB" w:rsidRPr="00A327CB">
        <w:t xml:space="preserve">eincarnation </w:t>
      </w:r>
      <w:r w:rsidR="009B72A1">
        <w:t>‘</w:t>
      </w:r>
      <w:r w:rsidR="00A327CB" w:rsidRPr="00A327CB">
        <w:t xml:space="preserve">is perhaps the folk religion of the media age’ is </w:t>
      </w:r>
      <w:r w:rsidR="009B72A1">
        <w:t xml:space="preserve">also </w:t>
      </w:r>
      <w:r w:rsidR="00727D0F">
        <w:t xml:space="preserve">questionable. </w:t>
      </w:r>
      <w:r w:rsidR="00727D0F" w:rsidRPr="00C233BE">
        <w:t>Partridge</w:t>
      </w:r>
      <w:r w:rsidR="00C233BE">
        <w:t xml:space="preserve">, </w:t>
      </w:r>
      <w:r w:rsidR="00727D0F" w:rsidRPr="00A327CB">
        <w:t>for example, has written o</w:t>
      </w:r>
      <w:r w:rsidR="00C233BE">
        <w:t>f</w:t>
      </w:r>
      <w:r w:rsidR="00727D0F" w:rsidRPr="00A327CB">
        <w:t xml:space="preserve"> the variety of ways in which increasing numbers of </w:t>
      </w:r>
      <w:r w:rsidR="00C233BE">
        <w:t>w</w:t>
      </w:r>
      <w:r w:rsidR="00727D0F" w:rsidRPr="00A327CB">
        <w:t xml:space="preserve">esterners are discovering and </w:t>
      </w:r>
      <w:r w:rsidR="000F7F0E">
        <w:t>expressing</w:t>
      </w:r>
      <w:r w:rsidR="00727D0F" w:rsidRPr="00A327CB">
        <w:t xml:space="preserve"> </w:t>
      </w:r>
      <w:r w:rsidR="00457A31">
        <w:t>spirituality</w:t>
      </w:r>
      <w:r w:rsidR="000F7F0E">
        <w:t>,</w:t>
      </w:r>
      <w:r w:rsidR="00A327CB" w:rsidRPr="00A327CB">
        <w:t xml:space="preserve"> </w:t>
      </w:r>
      <w:r w:rsidR="001B6157">
        <w:t>identifying</w:t>
      </w:r>
      <w:r w:rsidR="00A327CB" w:rsidRPr="00A327CB">
        <w:t xml:space="preserve"> </w:t>
      </w:r>
      <w:r w:rsidR="00727D0F">
        <w:t>countless</w:t>
      </w:r>
      <w:r w:rsidR="00A327CB" w:rsidRPr="00A327CB">
        <w:t xml:space="preserve"> other practices or beliefs</w:t>
      </w:r>
      <w:r w:rsidR="001A33DC">
        <w:t>,</w:t>
      </w:r>
      <w:r w:rsidR="004F3F8B">
        <w:t xml:space="preserve"> such as</w:t>
      </w:r>
      <w:r w:rsidR="00A327CB" w:rsidRPr="00A327CB">
        <w:t xml:space="preserve"> yoga, </w:t>
      </w:r>
      <w:r w:rsidR="001B6157" w:rsidRPr="00A327CB">
        <w:t>meditation</w:t>
      </w:r>
      <w:r w:rsidR="000C69D6">
        <w:t xml:space="preserve">, </w:t>
      </w:r>
      <w:r w:rsidR="00ED3645" w:rsidRPr="00A327CB">
        <w:t>paganism,</w:t>
      </w:r>
      <w:r w:rsidR="005D2FC1">
        <w:t xml:space="preserve"> and </w:t>
      </w:r>
      <w:r w:rsidR="00A327CB" w:rsidRPr="00A327CB">
        <w:t xml:space="preserve">occult </w:t>
      </w:r>
      <w:r w:rsidR="001A33DC">
        <w:t>practices,</w:t>
      </w:r>
      <w:r w:rsidR="00A327CB" w:rsidRPr="00A327CB">
        <w:t xml:space="preserve"> for which </w:t>
      </w:r>
      <w:r w:rsidR="001B6157">
        <w:t xml:space="preserve">a </w:t>
      </w:r>
      <w:r w:rsidR="00A327CB" w:rsidRPr="00A327CB">
        <w:t>similar claim could be made.</w:t>
      </w:r>
      <w:r w:rsidR="000F7F0E" w:rsidRPr="000F7F0E">
        <w:rPr>
          <w:rStyle w:val="FootnoteReference"/>
        </w:rPr>
        <w:t xml:space="preserve"> </w:t>
      </w:r>
      <w:r w:rsidR="000F7F0E">
        <w:rPr>
          <w:rStyle w:val="FootnoteReference"/>
        </w:rPr>
        <w:footnoteReference w:id="30"/>
      </w:r>
      <w:r w:rsidR="00A327CB" w:rsidRPr="00A327CB">
        <w:t xml:space="preserve"> </w:t>
      </w:r>
    </w:p>
    <w:p w14:paraId="29370227" w14:textId="0366AC83" w:rsidR="004424B7" w:rsidRDefault="0015393C" w:rsidP="009E6684">
      <w:pPr>
        <w:ind w:firstLine="720"/>
        <w:contextualSpacing/>
        <w:jc w:val="both"/>
      </w:pPr>
      <w:r>
        <w:t xml:space="preserve">Bennett </w:t>
      </w:r>
      <w:r w:rsidR="009F75D4">
        <w:t>is also guilty of making a</w:t>
      </w:r>
      <w:r w:rsidR="00F732E3" w:rsidRPr="009F75D4">
        <w:t>ssumptions</w:t>
      </w:r>
      <w:r w:rsidR="0045261B">
        <w:t>. For example, she provides no evidence for her claim</w:t>
      </w:r>
      <w:r w:rsidR="00AD7165">
        <w:t xml:space="preserve"> that </w:t>
      </w:r>
      <w:r w:rsidR="00152895">
        <w:t xml:space="preserve">because of their </w:t>
      </w:r>
      <w:r w:rsidR="00AD7165">
        <w:t xml:space="preserve">age, </w:t>
      </w:r>
      <w:r w:rsidR="00E82768">
        <w:t>class,</w:t>
      </w:r>
      <w:r w:rsidR="00AD7165">
        <w:t xml:space="preserve"> and religion</w:t>
      </w:r>
      <w:r w:rsidR="00152895">
        <w:t xml:space="preserve">, </w:t>
      </w:r>
      <w:r w:rsidR="008E5847">
        <w:t>her participants must bel</w:t>
      </w:r>
      <w:r w:rsidR="00D56D9D">
        <w:t>ieve that</w:t>
      </w:r>
      <w:r w:rsidR="003C5264">
        <w:t>,</w:t>
      </w:r>
    </w:p>
    <w:p w14:paraId="365D418E" w14:textId="77777777" w:rsidR="009E6684" w:rsidRDefault="009E6684" w:rsidP="009E6684">
      <w:pPr>
        <w:ind w:left="720" w:right="946"/>
        <w:contextualSpacing/>
        <w:jc w:val="both"/>
      </w:pPr>
    </w:p>
    <w:p w14:paraId="34DCB7A8" w14:textId="32A8AA45" w:rsidR="00F732E3" w:rsidRDefault="004424B7" w:rsidP="009E6684">
      <w:pPr>
        <w:ind w:left="720" w:right="946"/>
        <w:contextualSpacing/>
        <w:jc w:val="both"/>
      </w:pPr>
      <w:r>
        <w:t xml:space="preserve">the </w:t>
      </w:r>
      <w:r w:rsidR="00E05B3E">
        <w:t xml:space="preserve">ideal </w:t>
      </w:r>
      <w:r w:rsidR="00F732E3" w:rsidRPr="009F75D4">
        <w:t>member of their sex is an intuitive, caring, unassertive person for whom direct action, independent thought, and concern with self are unbecoming and whose "natural" role is as support, nurse, and helpmate</w:t>
      </w:r>
      <w:r w:rsidR="00026514">
        <w:t>.</w:t>
      </w:r>
      <w:r w:rsidR="00FD1B8E">
        <w:rPr>
          <w:rStyle w:val="FootnoteReference"/>
        </w:rPr>
        <w:footnoteReference w:id="31"/>
      </w:r>
    </w:p>
    <w:p w14:paraId="0B98F010" w14:textId="77777777" w:rsidR="009E6684" w:rsidRDefault="009E6684" w:rsidP="009E6684">
      <w:pPr>
        <w:ind w:left="720" w:right="946"/>
        <w:contextualSpacing/>
        <w:jc w:val="both"/>
      </w:pPr>
    </w:p>
    <w:p w14:paraId="6EE7CF3C" w14:textId="0CB8055D" w:rsidR="00F37671" w:rsidRPr="001D161C" w:rsidRDefault="00F87FAC" w:rsidP="009E6684">
      <w:pPr>
        <w:ind w:firstLine="720"/>
        <w:contextualSpacing/>
        <w:jc w:val="both"/>
      </w:pPr>
      <w:r>
        <w:t>In contrast to</w:t>
      </w:r>
      <w:r w:rsidR="001B030E">
        <w:t xml:space="preserve"> the recommendations of Hennink et al.,</w:t>
      </w:r>
      <w:r w:rsidR="009459F5">
        <w:t xml:space="preserve"> that </w:t>
      </w:r>
      <w:r w:rsidR="006305A5">
        <w:t>the</w:t>
      </w:r>
      <w:r w:rsidR="00980364">
        <w:t xml:space="preserve"> conclusion of study should simply summarize its findings</w:t>
      </w:r>
      <w:r w:rsidR="006305A5">
        <w:t xml:space="preserve">, </w:t>
      </w:r>
      <w:r w:rsidR="00CF1F23">
        <w:t xml:space="preserve">the conclusion </w:t>
      </w:r>
      <w:r w:rsidR="006305A5">
        <w:t>of</w:t>
      </w:r>
      <w:r w:rsidR="00CF1F23">
        <w:t xml:space="preserve"> </w:t>
      </w:r>
      <w:r w:rsidR="00F37671">
        <w:t>Bennett</w:t>
      </w:r>
      <w:r w:rsidR="006305A5">
        <w:t>’s</w:t>
      </w:r>
      <w:r w:rsidR="00F37671">
        <w:t xml:space="preserve"> </w:t>
      </w:r>
      <w:r w:rsidR="00CF1F23">
        <w:t>introduces</w:t>
      </w:r>
      <w:r w:rsidR="00F37671" w:rsidRPr="001D161C">
        <w:t xml:space="preserve"> new data</w:t>
      </w:r>
      <w:r w:rsidR="006305A5">
        <w:t>.</w:t>
      </w:r>
      <w:r w:rsidR="00FB7BFF">
        <w:rPr>
          <w:rStyle w:val="FootnoteReference"/>
        </w:rPr>
        <w:footnoteReference w:id="32"/>
      </w:r>
      <w:r w:rsidR="006305A5">
        <w:t xml:space="preserve"> This is</w:t>
      </w:r>
      <w:r w:rsidR="00F37671">
        <w:t xml:space="preserve"> in the</w:t>
      </w:r>
      <w:r w:rsidR="00D84F65">
        <w:t xml:space="preserve"> form</w:t>
      </w:r>
      <w:r w:rsidR="00F37671">
        <w:t xml:space="preserve"> of</w:t>
      </w:r>
      <w:r w:rsidR="006305A5">
        <w:t xml:space="preserve"> the</w:t>
      </w:r>
      <w:r w:rsidR="00F37671">
        <w:t xml:space="preserve"> results of interviews with men and younger women, </w:t>
      </w:r>
      <w:r w:rsidR="007979B9">
        <w:t xml:space="preserve">initially excluded from her study, </w:t>
      </w:r>
      <w:r w:rsidR="00F37671" w:rsidRPr="001D161C">
        <w:t xml:space="preserve">which </w:t>
      </w:r>
      <w:r w:rsidR="00D84F65">
        <w:t>go</w:t>
      </w:r>
      <w:r w:rsidR="00F37671" w:rsidRPr="001D161C">
        <w:t xml:space="preserve"> </w:t>
      </w:r>
      <w:r w:rsidR="007B0F3D" w:rsidRPr="001D161C">
        <w:t>some way</w:t>
      </w:r>
      <w:r w:rsidR="00F37671" w:rsidRPr="001D161C">
        <w:t xml:space="preserve"> to supporting her contention that women’s age and sex reflects the</w:t>
      </w:r>
      <w:r w:rsidR="007B0F3D">
        <w:t>i</w:t>
      </w:r>
      <w:r w:rsidR="00F37671" w:rsidRPr="001D161C">
        <w:t>r views on foreknowledge.</w:t>
      </w:r>
      <w:r w:rsidR="00CE3660" w:rsidRPr="00CE3660">
        <w:rPr>
          <w:rStyle w:val="FootnoteReference"/>
        </w:rPr>
        <w:t xml:space="preserve"> </w:t>
      </w:r>
      <w:r w:rsidR="00CE3660">
        <w:rPr>
          <w:rStyle w:val="FootnoteReference"/>
        </w:rPr>
        <w:footnoteReference w:id="33"/>
      </w:r>
      <w:r w:rsidR="00F37671" w:rsidRPr="001D161C">
        <w:t xml:space="preserve"> </w:t>
      </w:r>
      <w:r w:rsidR="00FC794B">
        <w:t xml:space="preserve">This argument, however, would be more robust </w:t>
      </w:r>
      <w:r w:rsidR="002C4070">
        <w:t>had it been</w:t>
      </w:r>
      <w:r w:rsidR="00F37671" w:rsidRPr="001D161C">
        <w:t xml:space="preserve"> discussed in </w:t>
      </w:r>
      <w:r w:rsidR="002C4070">
        <w:t xml:space="preserve">more </w:t>
      </w:r>
      <w:r w:rsidR="00F37671" w:rsidRPr="001D161C">
        <w:t>depth</w:t>
      </w:r>
      <w:r w:rsidR="000416FF">
        <w:t xml:space="preserve"> within the body of the work</w:t>
      </w:r>
      <w:r w:rsidR="009D1219">
        <w:t>.</w:t>
      </w:r>
    </w:p>
    <w:p w14:paraId="2D736EE1" w14:textId="59D181C8" w:rsidR="00050F1A" w:rsidRDefault="008E7DCE" w:rsidP="009E6684">
      <w:pPr>
        <w:ind w:firstLine="720"/>
        <w:contextualSpacing/>
        <w:jc w:val="both"/>
      </w:pPr>
      <w:r>
        <w:t xml:space="preserve">Bennett also displays a </w:t>
      </w:r>
      <w:r w:rsidR="00BC0972">
        <w:t xml:space="preserve">tendency </w:t>
      </w:r>
      <w:r w:rsidR="00D56D9D">
        <w:t>for</w:t>
      </w:r>
      <w:r w:rsidR="00F732E3" w:rsidRPr="009F75D4">
        <w:t xml:space="preserve"> </w:t>
      </w:r>
      <w:r w:rsidR="00D05453">
        <w:t xml:space="preserve">imposing an </w:t>
      </w:r>
      <w:r w:rsidR="00F732E3" w:rsidRPr="009F75D4">
        <w:t>interpret</w:t>
      </w:r>
      <w:r w:rsidR="00D278B8">
        <w:t>ation</w:t>
      </w:r>
      <w:r w:rsidR="00F732E3" w:rsidRPr="009F75D4">
        <w:t xml:space="preserve"> </w:t>
      </w:r>
      <w:r w:rsidR="00F7548D">
        <w:t xml:space="preserve">on </w:t>
      </w:r>
      <w:r w:rsidR="00F732E3" w:rsidRPr="009F75D4">
        <w:t>the</w:t>
      </w:r>
      <w:r w:rsidR="00BC0972">
        <w:t xml:space="preserve"> women’s</w:t>
      </w:r>
      <w:r w:rsidR="00F732E3" w:rsidRPr="009F75D4">
        <w:t xml:space="preserve"> stories, rather than letting t</w:t>
      </w:r>
      <w:r w:rsidR="00726235">
        <w:t>h</w:t>
      </w:r>
      <w:r w:rsidR="00F732E3" w:rsidRPr="009F75D4">
        <w:t>e</w:t>
      </w:r>
      <w:r w:rsidR="00770645">
        <w:t>m</w:t>
      </w:r>
      <w:r w:rsidR="00F732E3" w:rsidRPr="009F75D4">
        <w:t xml:space="preserve"> speak for themselves.</w:t>
      </w:r>
      <w:r w:rsidR="00D278B8">
        <w:t xml:space="preserve"> </w:t>
      </w:r>
      <w:r w:rsidR="00770645">
        <w:t xml:space="preserve">For example, she writes that </w:t>
      </w:r>
      <w:r w:rsidR="006B652C">
        <w:t>the women use their stories</w:t>
      </w:r>
      <w:r w:rsidR="00F732E3" w:rsidRPr="009F75D4">
        <w:t xml:space="preserve"> </w:t>
      </w:r>
      <w:r w:rsidR="006B652C">
        <w:t>‘</w:t>
      </w:r>
      <w:r w:rsidR="00F732E3" w:rsidRPr="009F75D4">
        <w:t>as vehicles of moral judgments, accepting elements of the traditional folklore which fit in with their values and rejecting those that run contrary to them’.</w:t>
      </w:r>
      <w:r w:rsidR="00DB03C7">
        <w:rPr>
          <w:rStyle w:val="FootnoteReference"/>
        </w:rPr>
        <w:footnoteReference w:id="34"/>
      </w:r>
      <w:r w:rsidR="00F732E3" w:rsidRPr="009F75D4">
        <w:t xml:space="preserve"> </w:t>
      </w:r>
      <w:r w:rsidR="00D56D9D">
        <w:t>On</w:t>
      </w:r>
      <w:r w:rsidR="00F732E3" w:rsidRPr="009F75D4">
        <w:t xml:space="preserve"> other occasions, however, Bennet</w:t>
      </w:r>
      <w:r w:rsidR="00FD616B">
        <w:t>t’</w:t>
      </w:r>
      <w:r w:rsidR="00F732E3" w:rsidRPr="009F75D4">
        <w:t>s interpretations are supported by the evidence of the women’s own words. This is best exemplified by her handling of narratives told to her about deaths of the women’s husbands. She reports many of the women fe</w:t>
      </w:r>
      <w:r w:rsidR="00EB75DA">
        <w:t>e</w:t>
      </w:r>
      <w:r w:rsidR="00F732E3" w:rsidRPr="009F75D4">
        <w:t xml:space="preserve">ling helpless when faced with something </w:t>
      </w:r>
      <w:r w:rsidR="00916608">
        <w:t xml:space="preserve">they regard as </w:t>
      </w:r>
      <w:r w:rsidR="00D56D9D">
        <w:t>their</w:t>
      </w:r>
      <w:r w:rsidR="00F732E3" w:rsidRPr="009F75D4">
        <w:t xml:space="preserve"> husband's task</w:t>
      </w:r>
      <w:r w:rsidR="00916608">
        <w:t xml:space="preserve">, such as completing </w:t>
      </w:r>
      <w:r w:rsidR="00F732E3" w:rsidRPr="009F75D4">
        <w:t>tax forms</w:t>
      </w:r>
      <w:r w:rsidR="00D56D9D">
        <w:t>.</w:t>
      </w:r>
      <w:r w:rsidR="009C2EA9">
        <w:rPr>
          <w:rStyle w:val="FootnoteReference"/>
        </w:rPr>
        <w:footnoteReference w:id="35"/>
      </w:r>
      <w:r w:rsidR="009C2EA9">
        <w:t xml:space="preserve"> </w:t>
      </w:r>
      <w:r w:rsidR="00F732E3" w:rsidRPr="009F75D4">
        <w:t xml:space="preserve">Such is </w:t>
      </w:r>
      <w:r w:rsidR="00552222">
        <w:t xml:space="preserve">the women’s </w:t>
      </w:r>
      <w:r w:rsidR="00150491">
        <w:t xml:space="preserve">acceptance of their </w:t>
      </w:r>
      <w:r w:rsidR="00F732E3" w:rsidRPr="009F75D4">
        <w:t>inability to undertake these tasks</w:t>
      </w:r>
      <w:r w:rsidR="00150491">
        <w:t>,</w:t>
      </w:r>
      <w:r w:rsidR="00F71721">
        <w:t xml:space="preserve"> </w:t>
      </w:r>
      <w:r w:rsidR="00F732E3" w:rsidRPr="009F75D4">
        <w:t xml:space="preserve">their subsequent completion is </w:t>
      </w:r>
      <w:r w:rsidR="00F71721">
        <w:t>given a</w:t>
      </w:r>
      <w:r w:rsidR="00F732E3" w:rsidRPr="009F75D4">
        <w:t xml:space="preserve"> supernatural explanation: </w:t>
      </w:r>
      <w:r w:rsidR="001E72CF">
        <w:t>‘</w:t>
      </w:r>
      <w:r w:rsidR="00F732E3" w:rsidRPr="009F75D4">
        <w:t>I firmly believe that my husband was beside me telling me what to do.</w:t>
      </w:r>
      <w:r w:rsidR="00F71721">
        <w:t>’</w:t>
      </w:r>
      <w:r w:rsidR="00571873">
        <w:rPr>
          <w:rStyle w:val="FootnoteReference"/>
        </w:rPr>
        <w:footnoteReference w:id="36"/>
      </w:r>
      <w:r w:rsidR="001E72CF">
        <w:t xml:space="preserve"> </w:t>
      </w:r>
      <w:r w:rsidR="00F732E3" w:rsidRPr="009F75D4">
        <w:t>Bennet</w:t>
      </w:r>
      <w:r w:rsidR="00F71721">
        <w:t>t’</w:t>
      </w:r>
      <w:r w:rsidR="00F732E3" w:rsidRPr="009F75D4">
        <w:t>s suggestion</w:t>
      </w:r>
      <w:r w:rsidR="00235D65">
        <w:t>,</w:t>
      </w:r>
      <w:r w:rsidR="00F732E3" w:rsidRPr="009F75D4">
        <w:t xml:space="preserve"> that these narratives provide </w:t>
      </w:r>
      <w:r w:rsidR="00235D65">
        <w:t>a</w:t>
      </w:r>
      <w:r w:rsidR="00F732E3" w:rsidRPr="009F75D4">
        <w:t xml:space="preserve"> way </w:t>
      </w:r>
      <w:r w:rsidR="00235D65">
        <w:t xml:space="preserve">for these </w:t>
      </w:r>
      <w:r w:rsidR="00F732E3" w:rsidRPr="009F75D4">
        <w:t>wom</w:t>
      </w:r>
      <w:r w:rsidR="00235D65">
        <w:t>e</w:t>
      </w:r>
      <w:r w:rsidR="00F732E3" w:rsidRPr="009F75D4">
        <w:t xml:space="preserve">n </w:t>
      </w:r>
      <w:r w:rsidR="00235D65">
        <w:t>to</w:t>
      </w:r>
      <w:r w:rsidR="00F732E3" w:rsidRPr="009F75D4">
        <w:t xml:space="preserve"> claim status </w:t>
      </w:r>
      <w:r w:rsidR="00235D65">
        <w:t>without</w:t>
      </w:r>
      <w:r w:rsidR="00F732E3" w:rsidRPr="009F75D4">
        <w:t xml:space="preserve"> challeng</w:t>
      </w:r>
      <w:r w:rsidR="00235D65">
        <w:t>ing</w:t>
      </w:r>
      <w:r w:rsidR="00F732E3" w:rsidRPr="009F75D4">
        <w:t xml:space="preserve"> the perception of </w:t>
      </w:r>
      <w:r w:rsidR="006F289C">
        <w:t>t</w:t>
      </w:r>
      <w:r w:rsidR="006F289C" w:rsidRPr="009F75D4">
        <w:t>h</w:t>
      </w:r>
      <w:r w:rsidR="006F289C">
        <w:t>e</w:t>
      </w:r>
      <w:r w:rsidR="006F289C" w:rsidRPr="009F75D4">
        <w:t>ir</w:t>
      </w:r>
      <w:r w:rsidR="00F732E3" w:rsidRPr="009F75D4">
        <w:t xml:space="preserve"> </w:t>
      </w:r>
      <w:r w:rsidR="00235D65">
        <w:t>traditional</w:t>
      </w:r>
      <w:r w:rsidR="00F732E3" w:rsidRPr="009F75D4">
        <w:t xml:space="preserve"> role</w:t>
      </w:r>
      <w:r w:rsidR="00235D65">
        <w:t>,</w:t>
      </w:r>
      <w:r w:rsidR="00F732E3" w:rsidRPr="009F75D4">
        <w:t xml:space="preserve"> is</w:t>
      </w:r>
      <w:r w:rsidR="00584789">
        <w:t xml:space="preserve"> all the more</w:t>
      </w:r>
      <w:r w:rsidR="00F732E3" w:rsidRPr="009F75D4">
        <w:t xml:space="preserve"> persuasive because it is based on the women’s own testimony.</w:t>
      </w:r>
      <w:r w:rsidR="003E72EB">
        <w:t xml:space="preserve"> </w:t>
      </w:r>
    </w:p>
    <w:p w14:paraId="159E8348" w14:textId="77777777" w:rsidR="00AD2039" w:rsidRDefault="00AD2039" w:rsidP="00AD2039">
      <w:pPr>
        <w:contextualSpacing/>
      </w:pPr>
    </w:p>
    <w:p w14:paraId="2E80E457" w14:textId="0768417D" w:rsidR="00AD2039" w:rsidRDefault="00651D7D" w:rsidP="00AD2039">
      <w:pPr>
        <w:contextualSpacing/>
        <w:rPr>
          <w:b/>
          <w:bCs/>
        </w:rPr>
      </w:pPr>
      <w:r w:rsidRPr="00651D7D">
        <w:rPr>
          <w:b/>
          <w:bCs/>
        </w:rPr>
        <w:t>Results: the benefits of qualitative data</w:t>
      </w:r>
    </w:p>
    <w:p w14:paraId="050D4AF8" w14:textId="0A6FD397" w:rsidR="00AD2039" w:rsidRDefault="001F643C" w:rsidP="00611B1B">
      <w:pPr>
        <w:ind w:left="720"/>
        <w:contextualSpacing/>
        <w:jc w:val="both"/>
        <w:rPr>
          <w:rFonts w:ascii="Calibri" w:eastAsia="Calibri" w:hAnsi="Calibri" w:cs="Calibri"/>
          <w:color w:val="000000" w:themeColor="text1"/>
        </w:rPr>
      </w:pPr>
      <w:r>
        <w:rPr>
          <w:rFonts w:ascii="Calibri" w:eastAsia="Calibri" w:hAnsi="Calibri" w:cs="Calibri"/>
          <w:color w:val="000000" w:themeColor="text1"/>
        </w:rPr>
        <w:t>Both paper</w:t>
      </w:r>
      <w:r w:rsidR="003A3874">
        <w:rPr>
          <w:rFonts w:ascii="Calibri" w:eastAsia="Calibri" w:hAnsi="Calibri" w:cs="Calibri"/>
          <w:color w:val="000000" w:themeColor="text1"/>
        </w:rPr>
        <w:t>s</w:t>
      </w:r>
      <w:r>
        <w:rPr>
          <w:rFonts w:ascii="Calibri" w:eastAsia="Calibri" w:hAnsi="Calibri" w:cs="Calibri"/>
          <w:color w:val="000000" w:themeColor="text1"/>
        </w:rPr>
        <w:t xml:space="preserve"> demonstrat</w:t>
      </w:r>
      <w:r w:rsidR="00CE2D88">
        <w:rPr>
          <w:rFonts w:ascii="Calibri" w:eastAsia="Calibri" w:hAnsi="Calibri" w:cs="Calibri"/>
          <w:color w:val="000000" w:themeColor="text1"/>
        </w:rPr>
        <w:t>e</w:t>
      </w:r>
      <w:r>
        <w:rPr>
          <w:rFonts w:ascii="Calibri" w:eastAsia="Calibri" w:hAnsi="Calibri" w:cs="Calibri"/>
          <w:color w:val="000000" w:themeColor="text1"/>
        </w:rPr>
        <w:t xml:space="preserve"> the </w:t>
      </w:r>
      <w:r w:rsidR="00CA6F49">
        <w:rPr>
          <w:rFonts w:ascii="Calibri" w:eastAsia="Calibri" w:hAnsi="Calibri" w:cs="Calibri"/>
          <w:color w:val="000000" w:themeColor="text1"/>
        </w:rPr>
        <w:t>strengths of</w:t>
      </w:r>
      <w:r>
        <w:rPr>
          <w:rFonts w:ascii="Calibri" w:eastAsia="Calibri" w:hAnsi="Calibri" w:cs="Calibri"/>
          <w:color w:val="000000" w:themeColor="text1"/>
        </w:rPr>
        <w:t xml:space="preserve"> interview</w:t>
      </w:r>
      <w:r w:rsidR="00013B45">
        <w:rPr>
          <w:rFonts w:ascii="Calibri" w:eastAsia="Calibri" w:hAnsi="Calibri" w:cs="Calibri"/>
          <w:color w:val="000000" w:themeColor="text1"/>
        </w:rPr>
        <w:t>s</w:t>
      </w:r>
      <w:r w:rsidR="00E77DC5">
        <w:rPr>
          <w:rFonts w:ascii="Calibri" w:eastAsia="Calibri" w:hAnsi="Calibri" w:cs="Calibri"/>
          <w:color w:val="000000" w:themeColor="text1"/>
        </w:rPr>
        <w:t xml:space="preserve">, as </w:t>
      </w:r>
      <w:r w:rsidR="00E9548B">
        <w:rPr>
          <w:rFonts w:ascii="Calibri" w:eastAsia="Calibri" w:hAnsi="Calibri" w:cs="Calibri"/>
          <w:color w:val="000000" w:themeColor="text1"/>
        </w:rPr>
        <w:t>noted by Bell and Waters,</w:t>
      </w:r>
      <w:r>
        <w:rPr>
          <w:rFonts w:ascii="Calibri" w:eastAsia="Calibri" w:hAnsi="Calibri" w:cs="Calibri"/>
          <w:color w:val="000000" w:themeColor="text1"/>
        </w:rPr>
        <w:t xml:space="preserve"> </w:t>
      </w:r>
      <w:r w:rsidR="00E9548B">
        <w:rPr>
          <w:rFonts w:ascii="Calibri" w:eastAsia="Calibri" w:hAnsi="Calibri" w:cs="Calibri"/>
          <w:color w:val="000000" w:themeColor="text1"/>
        </w:rPr>
        <w:t>in</w:t>
      </w:r>
      <w:r>
        <w:rPr>
          <w:rFonts w:ascii="Calibri" w:eastAsia="Calibri" w:hAnsi="Calibri" w:cs="Calibri"/>
          <w:color w:val="000000" w:themeColor="text1"/>
        </w:rPr>
        <w:t xml:space="preserve"> picking </w:t>
      </w:r>
    </w:p>
    <w:p w14:paraId="7E525F03" w14:textId="0DE98F15" w:rsidR="001F643C" w:rsidRDefault="001F643C" w:rsidP="00611B1B">
      <w:pPr>
        <w:contextualSpacing/>
        <w:jc w:val="both"/>
        <w:rPr>
          <w:rFonts w:ascii="Calibri" w:eastAsia="Calibri" w:hAnsi="Calibri" w:cs="Calibri"/>
          <w:color w:val="000000" w:themeColor="text1"/>
        </w:rPr>
      </w:pPr>
      <w:r>
        <w:rPr>
          <w:rFonts w:ascii="Calibri" w:eastAsia="Calibri" w:hAnsi="Calibri" w:cs="Calibri"/>
          <w:color w:val="000000" w:themeColor="text1"/>
        </w:rPr>
        <w:t xml:space="preserve">out nuances that </w:t>
      </w:r>
      <w:r w:rsidR="00CA6F49">
        <w:rPr>
          <w:rFonts w:ascii="Calibri" w:eastAsia="Calibri" w:hAnsi="Calibri" w:cs="Calibri"/>
          <w:color w:val="000000" w:themeColor="text1"/>
        </w:rPr>
        <w:t>survey</w:t>
      </w:r>
      <w:r>
        <w:rPr>
          <w:rFonts w:ascii="Calibri" w:eastAsia="Calibri" w:hAnsi="Calibri" w:cs="Calibri"/>
          <w:color w:val="000000" w:themeColor="text1"/>
        </w:rPr>
        <w:t xml:space="preserve"> data </w:t>
      </w:r>
      <w:r w:rsidR="00CA6F49">
        <w:rPr>
          <w:rFonts w:ascii="Calibri" w:eastAsia="Calibri" w:hAnsi="Calibri" w:cs="Calibri"/>
          <w:color w:val="000000" w:themeColor="text1"/>
        </w:rPr>
        <w:t xml:space="preserve">can </w:t>
      </w:r>
      <w:r>
        <w:rPr>
          <w:rFonts w:ascii="Calibri" w:eastAsia="Calibri" w:hAnsi="Calibri" w:cs="Calibri"/>
          <w:color w:val="000000" w:themeColor="text1"/>
        </w:rPr>
        <w:t>miss</w:t>
      </w:r>
      <w:r w:rsidR="00506513">
        <w:rPr>
          <w:rFonts w:ascii="Calibri" w:eastAsia="Calibri" w:hAnsi="Calibri" w:cs="Calibri"/>
          <w:color w:val="000000" w:themeColor="text1"/>
        </w:rPr>
        <w:t>.</w:t>
      </w:r>
      <w:r w:rsidR="00505086">
        <w:rPr>
          <w:rStyle w:val="FootnoteReference"/>
          <w:rFonts w:ascii="Calibri" w:eastAsia="Calibri" w:hAnsi="Calibri" w:cs="Calibri"/>
          <w:color w:val="000000" w:themeColor="text1"/>
        </w:rPr>
        <w:footnoteReference w:id="37"/>
      </w:r>
      <w:r w:rsidR="00AD2039">
        <w:rPr>
          <w:rFonts w:ascii="Calibri" w:eastAsia="Calibri" w:hAnsi="Calibri" w:cs="Calibri"/>
          <w:color w:val="000000" w:themeColor="text1"/>
        </w:rPr>
        <w:t xml:space="preserve"> </w:t>
      </w:r>
      <w:r w:rsidRPr="00D515CB">
        <w:rPr>
          <w:rFonts w:ascii="Calibri" w:eastAsia="Calibri" w:hAnsi="Calibri" w:cs="Calibri"/>
          <w:color w:val="000000" w:themeColor="text1"/>
        </w:rPr>
        <w:t xml:space="preserve">Walter </w:t>
      </w:r>
      <w:r w:rsidR="00AB3884">
        <w:rPr>
          <w:rFonts w:ascii="Calibri" w:eastAsia="Calibri" w:hAnsi="Calibri" w:cs="Calibri"/>
          <w:color w:val="000000" w:themeColor="text1"/>
        </w:rPr>
        <w:t>and</w:t>
      </w:r>
      <w:r w:rsidRPr="00D515CB">
        <w:rPr>
          <w:rFonts w:ascii="Calibri" w:eastAsia="Calibri" w:hAnsi="Calibri" w:cs="Calibri"/>
          <w:color w:val="000000" w:themeColor="text1"/>
        </w:rPr>
        <w:t xml:space="preserve"> Waterhouse</w:t>
      </w:r>
      <w:r w:rsidR="004E2EF9" w:rsidRPr="00D515CB">
        <w:rPr>
          <w:rFonts w:ascii="Calibri" w:eastAsia="Calibri" w:hAnsi="Calibri" w:cs="Calibri"/>
          <w:color w:val="000000" w:themeColor="text1"/>
        </w:rPr>
        <w:t xml:space="preserve"> </w:t>
      </w:r>
      <w:r w:rsidR="00D515CB" w:rsidRPr="00D515CB">
        <w:rPr>
          <w:rFonts w:ascii="Calibri" w:eastAsia="Calibri" w:hAnsi="Calibri" w:cs="Calibri"/>
          <w:color w:val="000000" w:themeColor="text1"/>
        </w:rPr>
        <w:t xml:space="preserve">observe that </w:t>
      </w:r>
      <w:r w:rsidR="0060694E">
        <w:rPr>
          <w:rFonts w:ascii="Calibri" w:eastAsia="Calibri" w:hAnsi="Calibri" w:cs="Calibri"/>
          <w:color w:val="000000" w:themeColor="text1"/>
        </w:rPr>
        <w:t xml:space="preserve">the </w:t>
      </w:r>
      <w:r w:rsidR="00D515CB">
        <w:rPr>
          <w:rFonts w:ascii="Calibri" w:eastAsia="Calibri" w:hAnsi="Calibri" w:cs="Calibri"/>
          <w:color w:val="000000" w:themeColor="text1"/>
        </w:rPr>
        <w:t>survey</w:t>
      </w:r>
      <w:r w:rsidR="0060694E">
        <w:rPr>
          <w:rFonts w:ascii="Calibri" w:eastAsia="Calibri" w:hAnsi="Calibri" w:cs="Calibri"/>
          <w:color w:val="000000" w:themeColor="text1"/>
        </w:rPr>
        <w:t>s</w:t>
      </w:r>
      <w:r w:rsidR="00D515CB">
        <w:rPr>
          <w:rFonts w:ascii="Calibri" w:eastAsia="Calibri" w:hAnsi="Calibri" w:cs="Calibri"/>
          <w:color w:val="000000" w:themeColor="text1"/>
        </w:rPr>
        <w:t xml:space="preserve"> </w:t>
      </w:r>
      <w:r w:rsidR="005070D6">
        <w:rPr>
          <w:rFonts w:ascii="Calibri" w:eastAsia="Calibri" w:hAnsi="Calibri" w:cs="Calibri"/>
          <w:color w:val="000000" w:themeColor="text1"/>
        </w:rPr>
        <w:t>on which their research is founded</w:t>
      </w:r>
      <w:r w:rsidR="0060694E">
        <w:rPr>
          <w:rFonts w:ascii="Calibri" w:eastAsia="Calibri" w:hAnsi="Calibri" w:cs="Calibri"/>
          <w:color w:val="000000" w:themeColor="text1"/>
        </w:rPr>
        <w:t xml:space="preserve"> tend to ask </w:t>
      </w:r>
      <w:r w:rsidR="00506513">
        <w:rPr>
          <w:rFonts w:ascii="Calibri" w:eastAsia="Calibri" w:hAnsi="Calibri" w:cs="Calibri"/>
          <w:color w:val="000000" w:themeColor="text1"/>
        </w:rPr>
        <w:t xml:space="preserve">closed </w:t>
      </w:r>
      <w:r w:rsidR="00083228">
        <w:rPr>
          <w:rFonts w:ascii="Calibri" w:eastAsia="Calibri" w:hAnsi="Calibri" w:cs="Calibri"/>
          <w:color w:val="000000" w:themeColor="text1"/>
        </w:rPr>
        <w:t>questions</w:t>
      </w:r>
      <w:r w:rsidR="0060694E">
        <w:rPr>
          <w:rFonts w:ascii="Calibri" w:eastAsia="Calibri" w:hAnsi="Calibri" w:cs="Calibri"/>
          <w:color w:val="000000" w:themeColor="text1"/>
        </w:rPr>
        <w:t xml:space="preserve"> such as </w:t>
      </w:r>
      <w:r w:rsidR="00083228">
        <w:rPr>
          <w:rFonts w:ascii="Calibri" w:eastAsia="Calibri" w:hAnsi="Calibri" w:cs="Calibri"/>
          <w:color w:val="000000" w:themeColor="text1"/>
        </w:rPr>
        <w:t>‘</w:t>
      </w:r>
      <w:r w:rsidRPr="00B33D89">
        <w:rPr>
          <w:rFonts w:ascii="Calibri" w:eastAsia="Calibri" w:hAnsi="Calibri" w:cs="Calibri"/>
          <w:color w:val="000000" w:themeColor="text1"/>
        </w:rPr>
        <w:t>Do you believe in reincarnation?</w:t>
      </w:r>
      <w:r w:rsidR="00083228">
        <w:rPr>
          <w:rFonts w:ascii="Calibri" w:eastAsia="Calibri" w:hAnsi="Calibri" w:cs="Calibri"/>
          <w:color w:val="000000" w:themeColor="text1"/>
        </w:rPr>
        <w:t>’</w:t>
      </w:r>
      <w:r w:rsidR="00416E46">
        <w:rPr>
          <w:rStyle w:val="FootnoteReference"/>
          <w:rFonts w:ascii="Calibri" w:eastAsia="Calibri" w:hAnsi="Calibri" w:cs="Calibri"/>
          <w:color w:val="000000" w:themeColor="text1"/>
        </w:rPr>
        <w:footnoteReference w:id="38"/>
      </w:r>
      <w:r w:rsidR="00416E46">
        <w:rPr>
          <w:rFonts w:ascii="Calibri" w:eastAsia="Calibri" w:hAnsi="Calibri" w:cs="Calibri"/>
          <w:color w:val="000000" w:themeColor="text1"/>
        </w:rPr>
        <w:t xml:space="preserve"> </w:t>
      </w:r>
      <w:r w:rsidR="0040340E">
        <w:rPr>
          <w:rFonts w:ascii="Calibri" w:eastAsia="Calibri" w:hAnsi="Calibri" w:cs="Calibri"/>
          <w:color w:val="000000" w:themeColor="text1"/>
        </w:rPr>
        <w:t xml:space="preserve">However, </w:t>
      </w:r>
      <w:r w:rsidR="003A3874">
        <w:rPr>
          <w:rFonts w:ascii="Calibri" w:eastAsia="Calibri" w:hAnsi="Calibri" w:cs="Calibri"/>
          <w:color w:val="000000" w:themeColor="text1"/>
        </w:rPr>
        <w:t>the authors report that their respondents</w:t>
      </w:r>
      <w:r w:rsidR="007C2F4C">
        <w:rPr>
          <w:rFonts w:ascii="Calibri" w:eastAsia="Calibri" w:hAnsi="Calibri" w:cs="Calibri"/>
          <w:color w:val="000000" w:themeColor="text1"/>
        </w:rPr>
        <w:t xml:space="preserve"> </w:t>
      </w:r>
      <w:r w:rsidR="0040340E">
        <w:rPr>
          <w:rFonts w:ascii="Calibri" w:eastAsia="Calibri" w:hAnsi="Calibri" w:cs="Calibri"/>
          <w:color w:val="000000" w:themeColor="text1"/>
        </w:rPr>
        <w:t xml:space="preserve">were more likely </w:t>
      </w:r>
      <w:r w:rsidR="0040340E" w:rsidRPr="00B33D89">
        <w:rPr>
          <w:rFonts w:ascii="Calibri" w:eastAsia="Calibri" w:hAnsi="Calibri" w:cs="Calibri"/>
          <w:color w:val="000000" w:themeColor="text1"/>
        </w:rPr>
        <w:t xml:space="preserve">to </w:t>
      </w:r>
      <w:r w:rsidR="0040340E">
        <w:rPr>
          <w:rFonts w:ascii="Calibri" w:eastAsia="Calibri" w:hAnsi="Calibri" w:cs="Calibri"/>
          <w:color w:val="000000" w:themeColor="text1"/>
        </w:rPr>
        <w:t xml:space="preserve">use phrases such as ‘I </w:t>
      </w:r>
      <w:r w:rsidR="0040340E" w:rsidRPr="00B33D89">
        <w:rPr>
          <w:rFonts w:ascii="Calibri" w:eastAsia="Calibri" w:hAnsi="Calibri" w:cs="Calibri"/>
          <w:color w:val="000000" w:themeColor="text1"/>
        </w:rPr>
        <w:t>think</w:t>
      </w:r>
      <w:r w:rsidR="00A363E0">
        <w:rPr>
          <w:rFonts w:ascii="Calibri" w:eastAsia="Calibri" w:hAnsi="Calibri" w:cs="Calibri"/>
          <w:color w:val="000000" w:themeColor="text1"/>
        </w:rPr>
        <w:t>’</w:t>
      </w:r>
      <w:r w:rsidR="0040340E" w:rsidRPr="00B33D89">
        <w:rPr>
          <w:rFonts w:ascii="Calibri" w:eastAsia="Calibri" w:hAnsi="Calibri" w:cs="Calibri"/>
          <w:color w:val="000000" w:themeColor="text1"/>
        </w:rPr>
        <w:t>,</w:t>
      </w:r>
      <w:r w:rsidR="00A363E0">
        <w:rPr>
          <w:rFonts w:ascii="Calibri" w:eastAsia="Calibri" w:hAnsi="Calibri" w:cs="Calibri"/>
          <w:color w:val="000000" w:themeColor="text1"/>
        </w:rPr>
        <w:t xml:space="preserve"> ‘</w:t>
      </w:r>
      <w:r w:rsidR="00C358E9">
        <w:rPr>
          <w:rFonts w:ascii="Calibri" w:eastAsia="Calibri" w:hAnsi="Calibri" w:cs="Calibri"/>
          <w:color w:val="000000" w:themeColor="text1"/>
        </w:rPr>
        <w:t>m</w:t>
      </w:r>
      <w:r w:rsidR="00A363E0">
        <w:rPr>
          <w:rFonts w:ascii="Calibri" w:eastAsia="Calibri" w:hAnsi="Calibri" w:cs="Calibri"/>
          <w:color w:val="000000" w:themeColor="text1"/>
        </w:rPr>
        <w:t>aybe’</w:t>
      </w:r>
      <w:r w:rsidR="00DB4A42">
        <w:rPr>
          <w:rFonts w:ascii="Calibri" w:eastAsia="Calibri" w:hAnsi="Calibri" w:cs="Calibri"/>
          <w:color w:val="000000" w:themeColor="text1"/>
        </w:rPr>
        <w:t>,</w:t>
      </w:r>
      <w:r w:rsidR="00A363E0">
        <w:rPr>
          <w:rFonts w:ascii="Calibri" w:eastAsia="Calibri" w:hAnsi="Calibri" w:cs="Calibri"/>
          <w:color w:val="000000" w:themeColor="text1"/>
        </w:rPr>
        <w:t xml:space="preserve"> or</w:t>
      </w:r>
      <w:r w:rsidR="0040340E" w:rsidRPr="00B33D89">
        <w:rPr>
          <w:rFonts w:ascii="Calibri" w:eastAsia="Calibri" w:hAnsi="Calibri" w:cs="Calibri"/>
          <w:color w:val="000000" w:themeColor="text1"/>
        </w:rPr>
        <w:t xml:space="preserve"> '</w:t>
      </w:r>
      <w:r w:rsidR="00C358E9">
        <w:rPr>
          <w:rFonts w:ascii="Calibri" w:eastAsia="Calibri" w:hAnsi="Calibri" w:cs="Calibri"/>
          <w:color w:val="000000" w:themeColor="text1"/>
        </w:rPr>
        <w:t>p</w:t>
      </w:r>
      <w:r w:rsidR="0040340E" w:rsidRPr="00B33D89">
        <w:rPr>
          <w:rFonts w:ascii="Calibri" w:eastAsia="Calibri" w:hAnsi="Calibri" w:cs="Calibri"/>
          <w:color w:val="000000" w:themeColor="text1"/>
        </w:rPr>
        <w:t>erhaps</w:t>
      </w:r>
      <w:r w:rsidR="00A363E0">
        <w:rPr>
          <w:rFonts w:ascii="Calibri" w:eastAsia="Calibri" w:hAnsi="Calibri" w:cs="Calibri"/>
          <w:color w:val="000000" w:themeColor="text1"/>
        </w:rPr>
        <w:t>’</w:t>
      </w:r>
      <w:r w:rsidR="00BC2FE4">
        <w:rPr>
          <w:rFonts w:ascii="Calibri" w:eastAsia="Calibri" w:hAnsi="Calibri" w:cs="Calibri"/>
          <w:color w:val="000000" w:themeColor="text1"/>
        </w:rPr>
        <w:t>,</w:t>
      </w:r>
      <w:r w:rsidR="00A363E0">
        <w:rPr>
          <w:rFonts w:ascii="Calibri" w:eastAsia="Calibri" w:hAnsi="Calibri" w:cs="Calibri"/>
          <w:color w:val="000000" w:themeColor="text1"/>
        </w:rPr>
        <w:t xml:space="preserve"> </w:t>
      </w:r>
      <w:r w:rsidR="00DB4A42">
        <w:rPr>
          <w:rFonts w:ascii="Calibri" w:eastAsia="Calibri" w:hAnsi="Calibri" w:cs="Calibri"/>
          <w:color w:val="000000" w:themeColor="text1"/>
        </w:rPr>
        <w:t xml:space="preserve">rather than </w:t>
      </w:r>
      <w:r w:rsidR="00A363E0">
        <w:rPr>
          <w:rFonts w:ascii="Calibri" w:eastAsia="Calibri" w:hAnsi="Calibri" w:cs="Calibri"/>
          <w:color w:val="000000" w:themeColor="text1"/>
        </w:rPr>
        <w:t xml:space="preserve">to </w:t>
      </w:r>
      <w:r w:rsidR="00A8348C">
        <w:rPr>
          <w:rFonts w:ascii="Calibri" w:eastAsia="Calibri" w:hAnsi="Calibri" w:cs="Calibri"/>
          <w:color w:val="000000" w:themeColor="text1"/>
        </w:rPr>
        <w:t>emphatically</w:t>
      </w:r>
      <w:r w:rsidR="00DB4A42">
        <w:rPr>
          <w:rFonts w:ascii="Calibri" w:eastAsia="Calibri" w:hAnsi="Calibri" w:cs="Calibri"/>
          <w:color w:val="000000" w:themeColor="text1"/>
        </w:rPr>
        <w:t xml:space="preserve"> state that</w:t>
      </w:r>
      <w:r w:rsidR="00F562FD">
        <w:rPr>
          <w:rFonts w:ascii="Calibri" w:eastAsia="Calibri" w:hAnsi="Calibri" w:cs="Calibri"/>
          <w:color w:val="000000" w:themeColor="text1"/>
        </w:rPr>
        <w:t xml:space="preserve"> </w:t>
      </w:r>
      <w:r w:rsidR="00DB4A42">
        <w:rPr>
          <w:rFonts w:ascii="Calibri" w:eastAsia="Calibri" w:hAnsi="Calibri" w:cs="Calibri"/>
          <w:color w:val="000000" w:themeColor="text1"/>
        </w:rPr>
        <w:t>‘</w:t>
      </w:r>
      <w:r w:rsidRPr="00B33D89">
        <w:rPr>
          <w:rFonts w:ascii="Calibri" w:eastAsia="Calibri" w:hAnsi="Calibri" w:cs="Calibri"/>
          <w:color w:val="000000" w:themeColor="text1"/>
        </w:rPr>
        <w:t>I believe</w:t>
      </w:r>
      <w:r w:rsidR="00DB4A42">
        <w:rPr>
          <w:rFonts w:ascii="Calibri" w:eastAsia="Calibri" w:hAnsi="Calibri" w:cs="Calibri"/>
          <w:color w:val="000000" w:themeColor="text1"/>
        </w:rPr>
        <w:t>’</w:t>
      </w:r>
      <w:r w:rsidR="00BE07A7">
        <w:rPr>
          <w:rFonts w:ascii="Calibri" w:eastAsia="Calibri" w:hAnsi="Calibri" w:cs="Calibri"/>
          <w:color w:val="000000" w:themeColor="text1"/>
        </w:rPr>
        <w:t>.</w:t>
      </w:r>
      <w:r w:rsidR="004A163C">
        <w:rPr>
          <w:rStyle w:val="FootnoteReference"/>
          <w:rFonts w:ascii="Calibri" w:eastAsia="Calibri" w:hAnsi="Calibri" w:cs="Calibri"/>
          <w:color w:val="000000" w:themeColor="text1"/>
        </w:rPr>
        <w:footnoteReference w:id="39"/>
      </w:r>
      <w:r w:rsidRPr="00F40B1C">
        <w:t xml:space="preserve"> </w:t>
      </w:r>
    </w:p>
    <w:p w14:paraId="79DF788A" w14:textId="7F1500F3" w:rsidR="008F4EA5" w:rsidRPr="008F4EA5" w:rsidRDefault="001E0E46" w:rsidP="00611B1B">
      <w:pPr>
        <w:ind w:firstLine="720"/>
        <w:contextualSpacing/>
        <w:jc w:val="both"/>
        <w:rPr>
          <w:rFonts w:ascii="Calibri" w:eastAsia="Calibri" w:hAnsi="Calibri" w:cs="Calibri"/>
          <w:color w:val="000000" w:themeColor="text1"/>
        </w:rPr>
      </w:pPr>
      <w:r w:rsidRPr="005723D7">
        <w:rPr>
          <w:rFonts w:ascii="Calibri" w:eastAsia="Calibri" w:hAnsi="Calibri" w:cs="Calibri"/>
          <w:color w:val="000000" w:themeColor="text1"/>
        </w:rPr>
        <w:t>The interview method</w:t>
      </w:r>
      <w:r w:rsidR="005723D7" w:rsidRPr="005723D7">
        <w:rPr>
          <w:rFonts w:ascii="Calibri" w:eastAsia="Calibri" w:hAnsi="Calibri" w:cs="Calibri"/>
          <w:color w:val="000000" w:themeColor="text1"/>
        </w:rPr>
        <w:t xml:space="preserve"> </w:t>
      </w:r>
      <w:r w:rsidR="005217BF">
        <w:rPr>
          <w:rFonts w:ascii="Calibri" w:eastAsia="Calibri" w:hAnsi="Calibri" w:cs="Calibri"/>
          <w:color w:val="000000" w:themeColor="text1"/>
        </w:rPr>
        <w:t xml:space="preserve">also </w:t>
      </w:r>
      <w:r w:rsidR="004C4DB7" w:rsidRPr="005723D7">
        <w:rPr>
          <w:rFonts w:ascii="Calibri" w:eastAsia="Calibri" w:hAnsi="Calibri" w:cs="Calibri"/>
          <w:color w:val="000000" w:themeColor="text1"/>
        </w:rPr>
        <w:t>enabled</w:t>
      </w:r>
      <w:r w:rsidR="005723D7" w:rsidRPr="005723D7">
        <w:rPr>
          <w:rFonts w:ascii="Calibri" w:eastAsia="Calibri" w:hAnsi="Calibri" w:cs="Calibri"/>
          <w:color w:val="000000" w:themeColor="text1"/>
        </w:rPr>
        <w:t xml:space="preserve"> Walter and Waterhouse to</w:t>
      </w:r>
      <w:r w:rsidR="005723D7">
        <w:rPr>
          <w:rFonts w:ascii="Calibri" w:eastAsia="Calibri" w:hAnsi="Calibri" w:cs="Calibri"/>
          <w:b/>
          <w:bCs/>
          <w:color w:val="000000" w:themeColor="text1"/>
        </w:rPr>
        <w:t xml:space="preserve"> </w:t>
      </w:r>
      <w:r w:rsidR="008F4EA5" w:rsidRPr="008F4EA5">
        <w:rPr>
          <w:rFonts w:ascii="Calibri" w:eastAsia="Calibri" w:hAnsi="Calibri" w:cs="Calibri"/>
          <w:color w:val="000000" w:themeColor="text1"/>
        </w:rPr>
        <w:t xml:space="preserve">identify </w:t>
      </w:r>
      <w:r w:rsidR="00106681">
        <w:rPr>
          <w:rFonts w:ascii="Calibri" w:eastAsia="Calibri" w:hAnsi="Calibri" w:cs="Calibri"/>
          <w:color w:val="000000" w:themeColor="text1"/>
        </w:rPr>
        <w:t>the</w:t>
      </w:r>
      <w:r w:rsidR="008F4EA5" w:rsidRPr="008F4EA5">
        <w:rPr>
          <w:rFonts w:ascii="Calibri" w:eastAsia="Calibri" w:hAnsi="Calibri" w:cs="Calibri"/>
          <w:color w:val="000000" w:themeColor="text1"/>
        </w:rPr>
        <w:t xml:space="preserve"> key influences on their </w:t>
      </w:r>
      <w:r w:rsidR="007443D2" w:rsidRPr="008F4EA5">
        <w:rPr>
          <w:rFonts w:ascii="Calibri" w:eastAsia="Calibri" w:hAnsi="Calibri" w:cs="Calibri"/>
          <w:color w:val="000000" w:themeColor="text1"/>
        </w:rPr>
        <w:t>respondents’</w:t>
      </w:r>
      <w:r w:rsidR="008F4EA5" w:rsidRPr="008F4EA5">
        <w:rPr>
          <w:rFonts w:ascii="Calibri" w:eastAsia="Calibri" w:hAnsi="Calibri" w:cs="Calibri"/>
          <w:color w:val="000000" w:themeColor="text1"/>
        </w:rPr>
        <w:t xml:space="preserve"> attitudes toward reincarnation</w:t>
      </w:r>
      <w:r w:rsidR="008520BF">
        <w:rPr>
          <w:rFonts w:ascii="Calibri" w:eastAsia="Calibri" w:hAnsi="Calibri" w:cs="Calibri"/>
          <w:color w:val="000000" w:themeColor="text1"/>
        </w:rPr>
        <w:t>.</w:t>
      </w:r>
      <w:r w:rsidR="007443D2">
        <w:rPr>
          <w:rStyle w:val="FootnoteReference"/>
          <w:rFonts w:ascii="Calibri" w:eastAsia="Calibri" w:hAnsi="Calibri" w:cs="Calibri"/>
          <w:color w:val="000000" w:themeColor="text1"/>
        </w:rPr>
        <w:footnoteReference w:id="40"/>
      </w:r>
      <w:r w:rsidR="008520BF">
        <w:rPr>
          <w:rFonts w:ascii="Calibri" w:eastAsia="Calibri" w:hAnsi="Calibri" w:cs="Calibri"/>
          <w:color w:val="000000" w:themeColor="text1"/>
        </w:rPr>
        <w:t xml:space="preserve"> </w:t>
      </w:r>
      <w:r w:rsidR="00767D5E">
        <w:rPr>
          <w:rFonts w:ascii="Calibri" w:eastAsia="Calibri" w:hAnsi="Calibri" w:cs="Calibri"/>
          <w:color w:val="000000" w:themeColor="text1"/>
        </w:rPr>
        <w:t>A</w:t>
      </w:r>
      <w:r w:rsidR="008520BF">
        <w:rPr>
          <w:rFonts w:ascii="Calibri" w:eastAsia="Calibri" w:hAnsi="Calibri" w:cs="Calibri"/>
          <w:color w:val="000000" w:themeColor="text1"/>
        </w:rPr>
        <w:t xml:space="preserve">n </w:t>
      </w:r>
      <w:r w:rsidR="00A8348C">
        <w:rPr>
          <w:rFonts w:ascii="Calibri" w:eastAsia="Calibri" w:hAnsi="Calibri" w:cs="Calibri"/>
          <w:color w:val="000000" w:themeColor="text1"/>
        </w:rPr>
        <w:t>i</w:t>
      </w:r>
      <w:r w:rsidR="00A8348C" w:rsidRPr="00EB5AD0">
        <w:rPr>
          <w:rFonts w:ascii="Calibri" w:eastAsia="Calibri" w:hAnsi="Calibri" w:cs="Calibri"/>
          <w:color w:val="000000" w:themeColor="text1"/>
        </w:rPr>
        <w:t>ntellectual</w:t>
      </w:r>
      <w:r w:rsidR="008F4EA5" w:rsidRPr="00EB5AD0">
        <w:rPr>
          <w:rFonts w:ascii="Calibri" w:eastAsia="Calibri" w:hAnsi="Calibri" w:cs="Calibri"/>
          <w:color w:val="000000" w:themeColor="text1"/>
        </w:rPr>
        <w:t xml:space="preserve"> </w:t>
      </w:r>
      <w:r w:rsidR="00B16F95" w:rsidRPr="00EB5AD0">
        <w:rPr>
          <w:rFonts w:ascii="Calibri" w:eastAsia="Calibri" w:hAnsi="Calibri" w:cs="Calibri"/>
          <w:color w:val="000000" w:themeColor="text1"/>
        </w:rPr>
        <w:t xml:space="preserve">basis was observed, especially amongst </w:t>
      </w:r>
      <w:r w:rsidR="00D7327E" w:rsidRPr="00EB5AD0">
        <w:rPr>
          <w:rFonts w:ascii="Calibri" w:eastAsia="Calibri" w:hAnsi="Calibri" w:cs="Calibri"/>
          <w:color w:val="000000" w:themeColor="text1"/>
        </w:rPr>
        <w:t>people</w:t>
      </w:r>
      <w:r w:rsidR="00B16F95" w:rsidRPr="00EB5AD0">
        <w:rPr>
          <w:rFonts w:ascii="Calibri" w:eastAsia="Calibri" w:hAnsi="Calibri" w:cs="Calibri"/>
          <w:color w:val="000000" w:themeColor="text1"/>
        </w:rPr>
        <w:t xml:space="preserve"> </w:t>
      </w:r>
      <w:r w:rsidR="004C4DB7" w:rsidRPr="00EB5AD0">
        <w:rPr>
          <w:rFonts w:ascii="Calibri" w:eastAsia="Calibri" w:hAnsi="Calibri" w:cs="Calibri"/>
          <w:color w:val="000000" w:themeColor="text1"/>
        </w:rPr>
        <w:t>for whom</w:t>
      </w:r>
      <w:r w:rsidR="002876B6" w:rsidRPr="00EB5AD0">
        <w:rPr>
          <w:rFonts w:ascii="Calibri" w:eastAsia="Calibri" w:hAnsi="Calibri" w:cs="Calibri"/>
          <w:color w:val="000000" w:themeColor="text1"/>
        </w:rPr>
        <w:t xml:space="preserve"> past lives </w:t>
      </w:r>
      <w:r w:rsidR="005068C3" w:rsidRPr="00EB5AD0">
        <w:rPr>
          <w:rFonts w:ascii="Calibri" w:eastAsia="Calibri" w:hAnsi="Calibri" w:cs="Calibri"/>
          <w:color w:val="000000" w:themeColor="text1"/>
        </w:rPr>
        <w:t xml:space="preserve">present </w:t>
      </w:r>
      <w:r w:rsidR="008E7206" w:rsidRPr="00EB5AD0">
        <w:rPr>
          <w:rFonts w:ascii="Calibri" w:eastAsia="Calibri" w:hAnsi="Calibri" w:cs="Calibri"/>
          <w:color w:val="000000" w:themeColor="text1"/>
        </w:rPr>
        <w:t xml:space="preserve">an alternative to </w:t>
      </w:r>
      <w:r w:rsidR="00EB5AD0" w:rsidRPr="00EB5AD0">
        <w:rPr>
          <w:rFonts w:ascii="Calibri" w:eastAsia="Calibri" w:hAnsi="Calibri" w:cs="Calibri"/>
          <w:color w:val="000000" w:themeColor="text1"/>
        </w:rPr>
        <w:t>Christian understanding</w:t>
      </w:r>
      <w:r w:rsidR="00013B45">
        <w:rPr>
          <w:rFonts w:ascii="Calibri" w:eastAsia="Calibri" w:hAnsi="Calibri" w:cs="Calibri"/>
          <w:color w:val="000000" w:themeColor="text1"/>
        </w:rPr>
        <w:t>s</w:t>
      </w:r>
      <w:r w:rsidR="00EB5AD0" w:rsidRPr="00EB5AD0">
        <w:rPr>
          <w:rFonts w:ascii="Calibri" w:eastAsia="Calibri" w:hAnsi="Calibri" w:cs="Calibri"/>
          <w:color w:val="000000" w:themeColor="text1"/>
        </w:rPr>
        <w:t xml:space="preserve"> of</w:t>
      </w:r>
      <w:r w:rsidR="009D64B5">
        <w:rPr>
          <w:rFonts w:ascii="Calibri" w:eastAsia="Calibri" w:hAnsi="Calibri" w:cs="Calibri"/>
          <w:color w:val="000000" w:themeColor="text1"/>
        </w:rPr>
        <w:t xml:space="preserve"> suffering</w:t>
      </w:r>
      <w:r w:rsidR="00EB5AD0" w:rsidRPr="00EB5AD0">
        <w:rPr>
          <w:rFonts w:ascii="Calibri" w:eastAsia="Calibri" w:hAnsi="Calibri" w:cs="Calibri"/>
          <w:color w:val="000000" w:themeColor="text1"/>
        </w:rPr>
        <w:t>.</w:t>
      </w:r>
      <w:r w:rsidR="004C7CB1">
        <w:rPr>
          <w:rFonts w:ascii="Calibri" w:eastAsia="Calibri" w:hAnsi="Calibri" w:cs="Calibri"/>
          <w:color w:val="000000" w:themeColor="text1"/>
        </w:rPr>
        <w:t xml:space="preserve"> </w:t>
      </w:r>
      <w:r w:rsidR="009D64B5">
        <w:rPr>
          <w:rFonts w:ascii="Calibri" w:eastAsia="Calibri" w:hAnsi="Calibri" w:cs="Calibri"/>
          <w:color w:val="000000" w:themeColor="text1"/>
        </w:rPr>
        <w:t>Others were</w:t>
      </w:r>
      <w:r w:rsidR="004C7CB1">
        <w:rPr>
          <w:rFonts w:ascii="Calibri" w:eastAsia="Calibri" w:hAnsi="Calibri" w:cs="Calibri"/>
          <w:color w:val="000000" w:themeColor="text1"/>
        </w:rPr>
        <w:t xml:space="preserve"> influenced </w:t>
      </w:r>
      <w:r w:rsidR="00E46BD5">
        <w:rPr>
          <w:rFonts w:ascii="Calibri" w:eastAsia="Calibri" w:hAnsi="Calibri" w:cs="Calibri"/>
          <w:color w:val="000000" w:themeColor="text1"/>
        </w:rPr>
        <w:t xml:space="preserve">by second-hand experiences of </w:t>
      </w:r>
      <w:r w:rsidR="00523B57">
        <w:rPr>
          <w:rFonts w:ascii="Calibri" w:eastAsia="Calibri" w:hAnsi="Calibri" w:cs="Calibri"/>
          <w:color w:val="000000" w:themeColor="text1"/>
        </w:rPr>
        <w:t>past lives</w:t>
      </w:r>
      <w:r w:rsidR="00E46BD5">
        <w:rPr>
          <w:rFonts w:ascii="Calibri" w:eastAsia="Calibri" w:hAnsi="Calibri" w:cs="Calibri"/>
          <w:color w:val="000000" w:themeColor="text1"/>
        </w:rPr>
        <w:t>, gleaned fro</w:t>
      </w:r>
      <w:r w:rsidR="00E0308E">
        <w:rPr>
          <w:rFonts w:ascii="Calibri" w:eastAsia="Calibri" w:hAnsi="Calibri" w:cs="Calibri"/>
          <w:color w:val="000000" w:themeColor="text1"/>
        </w:rPr>
        <w:t xml:space="preserve">m books or T.V. programmes. A third group claimed </w:t>
      </w:r>
      <w:r w:rsidR="00BC2FE4">
        <w:rPr>
          <w:rFonts w:ascii="Calibri" w:eastAsia="Calibri" w:hAnsi="Calibri" w:cs="Calibri"/>
          <w:color w:val="000000" w:themeColor="text1"/>
        </w:rPr>
        <w:t>first-hand</w:t>
      </w:r>
      <w:r w:rsidR="008F4EA5" w:rsidRPr="00A87CBF">
        <w:rPr>
          <w:rFonts w:ascii="Calibri" w:eastAsia="Calibri" w:hAnsi="Calibri" w:cs="Calibri"/>
          <w:color w:val="000000" w:themeColor="text1"/>
        </w:rPr>
        <w:t xml:space="preserve"> </w:t>
      </w:r>
      <w:r w:rsidR="00A87CBF" w:rsidRPr="00A87CBF">
        <w:rPr>
          <w:rFonts w:ascii="Calibri" w:eastAsia="Calibri" w:hAnsi="Calibri" w:cs="Calibri"/>
          <w:color w:val="000000" w:themeColor="text1"/>
        </w:rPr>
        <w:t>e</w:t>
      </w:r>
      <w:r w:rsidR="008F4EA5" w:rsidRPr="00A87CBF">
        <w:rPr>
          <w:rFonts w:ascii="Calibri" w:eastAsia="Calibri" w:hAnsi="Calibri" w:cs="Calibri"/>
          <w:color w:val="000000" w:themeColor="text1"/>
        </w:rPr>
        <w:t>xperience</w:t>
      </w:r>
      <w:r w:rsidR="00BC2FE4">
        <w:rPr>
          <w:rFonts w:ascii="Calibri" w:eastAsia="Calibri" w:hAnsi="Calibri" w:cs="Calibri"/>
          <w:color w:val="000000" w:themeColor="text1"/>
        </w:rPr>
        <w:t>,</w:t>
      </w:r>
      <w:r w:rsidR="00FA6006">
        <w:rPr>
          <w:rFonts w:ascii="Calibri" w:eastAsia="Calibri" w:hAnsi="Calibri" w:cs="Calibri"/>
          <w:color w:val="000000" w:themeColor="text1"/>
        </w:rPr>
        <w:t xml:space="preserve"> such as an unexplained </w:t>
      </w:r>
      <w:r w:rsidR="00FA6006" w:rsidRPr="008F4EA5">
        <w:rPr>
          <w:rFonts w:ascii="Calibri" w:eastAsia="Calibri" w:hAnsi="Calibri" w:cs="Calibri"/>
          <w:color w:val="000000" w:themeColor="text1"/>
        </w:rPr>
        <w:t>familiarity with</w:t>
      </w:r>
      <w:r w:rsidR="00FA6006">
        <w:rPr>
          <w:rFonts w:ascii="Calibri" w:eastAsia="Calibri" w:hAnsi="Calibri" w:cs="Calibri"/>
          <w:color w:val="000000" w:themeColor="text1"/>
        </w:rPr>
        <w:t xml:space="preserve"> ‘</w:t>
      </w:r>
      <w:r w:rsidR="00FA6006" w:rsidRPr="008F4EA5">
        <w:rPr>
          <w:rFonts w:ascii="Calibri" w:eastAsia="Calibri" w:hAnsi="Calibri" w:cs="Calibri"/>
          <w:color w:val="000000" w:themeColor="text1"/>
        </w:rPr>
        <w:t>places, people, music, and</w:t>
      </w:r>
      <w:r w:rsidR="00FA6006">
        <w:rPr>
          <w:rFonts w:ascii="Calibri" w:eastAsia="Calibri" w:hAnsi="Calibri" w:cs="Calibri"/>
          <w:color w:val="000000" w:themeColor="text1"/>
        </w:rPr>
        <w:t xml:space="preserve">… </w:t>
      </w:r>
      <w:r w:rsidR="00FA6006" w:rsidRPr="008F4EA5">
        <w:rPr>
          <w:rFonts w:ascii="Calibri" w:eastAsia="Calibri" w:hAnsi="Calibri" w:cs="Calibri"/>
          <w:color w:val="000000" w:themeColor="text1"/>
        </w:rPr>
        <w:t>food</w:t>
      </w:r>
      <w:r w:rsidR="00FA6006">
        <w:rPr>
          <w:rFonts w:ascii="Calibri" w:eastAsia="Calibri" w:hAnsi="Calibri" w:cs="Calibri"/>
          <w:color w:val="000000" w:themeColor="text1"/>
        </w:rPr>
        <w:t>’</w:t>
      </w:r>
      <w:r w:rsidR="00521D72">
        <w:rPr>
          <w:rFonts w:ascii="Calibri" w:eastAsia="Calibri" w:hAnsi="Calibri" w:cs="Calibri"/>
          <w:color w:val="000000" w:themeColor="text1"/>
        </w:rPr>
        <w:t xml:space="preserve"> which they took to be suggestive of </w:t>
      </w:r>
      <w:r w:rsidR="008F4EA5" w:rsidRPr="008F4EA5">
        <w:rPr>
          <w:rFonts w:ascii="Calibri" w:eastAsia="Calibri" w:hAnsi="Calibri" w:cs="Calibri"/>
          <w:color w:val="000000" w:themeColor="text1"/>
        </w:rPr>
        <w:t>a previous life</w:t>
      </w:r>
      <w:r w:rsidR="002D26C6">
        <w:rPr>
          <w:rFonts w:ascii="Calibri" w:eastAsia="Calibri" w:hAnsi="Calibri" w:cs="Calibri"/>
          <w:color w:val="000000" w:themeColor="text1"/>
        </w:rPr>
        <w:t>.</w:t>
      </w:r>
    </w:p>
    <w:p w14:paraId="362E4AD6" w14:textId="5D8D3598" w:rsidR="007A584B" w:rsidRPr="008F4EA5" w:rsidRDefault="00B4553C" w:rsidP="00611B1B">
      <w:pPr>
        <w:ind w:firstLine="720"/>
        <w:contextualSpacing/>
        <w:jc w:val="both"/>
        <w:rPr>
          <w:rFonts w:ascii="Calibri" w:eastAsia="Calibri" w:hAnsi="Calibri" w:cs="Calibri"/>
          <w:color w:val="000000" w:themeColor="text1"/>
        </w:rPr>
      </w:pPr>
      <w:r>
        <w:rPr>
          <w:rFonts w:ascii="Calibri" w:eastAsia="Calibri" w:hAnsi="Calibri" w:cs="Calibri"/>
          <w:color w:val="000000" w:themeColor="text1"/>
        </w:rPr>
        <w:t>K</w:t>
      </w:r>
      <w:r w:rsidR="008F4EA5" w:rsidRPr="008F4EA5">
        <w:rPr>
          <w:rFonts w:ascii="Calibri" w:eastAsia="Calibri" w:hAnsi="Calibri" w:cs="Calibri"/>
          <w:color w:val="000000" w:themeColor="text1"/>
        </w:rPr>
        <w:t xml:space="preserve">arma was used </w:t>
      </w:r>
      <w:r w:rsidR="007370AD">
        <w:rPr>
          <w:rFonts w:ascii="Calibri" w:eastAsia="Calibri" w:hAnsi="Calibri" w:cs="Calibri"/>
          <w:color w:val="000000" w:themeColor="text1"/>
        </w:rPr>
        <w:t>by some res</w:t>
      </w:r>
      <w:r w:rsidR="000745F4">
        <w:rPr>
          <w:rFonts w:ascii="Calibri" w:eastAsia="Calibri" w:hAnsi="Calibri" w:cs="Calibri"/>
          <w:color w:val="000000" w:themeColor="text1"/>
        </w:rPr>
        <w:t>p</w:t>
      </w:r>
      <w:r w:rsidR="007370AD">
        <w:rPr>
          <w:rFonts w:ascii="Calibri" w:eastAsia="Calibri" w:hAnsi="Calibri" w:cs="Calibri"/>
          <w:color w:val="000000" w:themeColor="text1"/>
        </w:rPr>
        <w:t xml:space="preserve">ondents </w:t>
      </w:r>
      <w:r w:rsidR="00BC2FE4">
        <w:rPr>
          <w:rFonts w:ascii="Calibri" w:eastAsia="Calibri" w:hAnsi="Calibri" w:cs="Calibri"/>
          <w:color w:val="000000" w:themeColor="text1"/>
        </w:rPr>
        <w:t>to frame their</w:t>
      </w:r>
      <w:r w:rsidR="008F4EA5" w:rsidRPr="008F4EA5">
        <w:rPr>
          <w:rFonts w:ascii="Calibri" w:eastAsia="Calibri" w:hAnsi="Calibri" w:cs="Calibri"/>
          <w:color w:val="000000" w:themeColor="text1"/>
        </w:rPr>
        <w:t xml:space="preserve"> interest in reincarnation</w:t>
      </w:r>
      <w:r w:rsidR="004C45CB">
        <w:rPr>
          <w:rFonts w:ascii="Calibri" w:eastAsia="Calibri" w:hAnsi="Calibri" w:cs="Calibri"/>
          <w:color w:val="000000" w:themeColor="text1"/>
        </w:rPr>
        <w:t xml:space="preserve">, </w:t>
      </w:r>
      <w:r w:rsidR="00EE7B83">
        <w:rPr>
          <w:rFonts w:ascii="Calibri" w:eastAsia="Calibri" w:hAnsi="Calibri" w:cs="Calibri"/>
          <w:color w:val="000000" w:themeColor="text1"/>
        </w:rPr>
        <w:t xml:space="preserve">demonstrated by </w:t>
      </w:r>
      <w:r w:rsidR="008F4EA5" w:rsidRPr="008F4EA5">
        <w:rPr>
          <w:rFonts w:ascii="Calibri" w:eastAsia="Calibri" w:hAnsi="Calibri" w:cs="Calibri"/>
          <w:color w:val="000000" w:themeColor="text1"/>
        </w:rPr>
        <w:t xml:space="preserve">one respondent </w:t>
      </w:r>
      <w:r w:rsidR="00EE7B83">
        <w:rPr>
          <w:rFonts w:ascii="Calibri" w:eastAsia="Calibri" w:hAnsi="Calibri" w:cs="Calibri"/>
          <w:color w:val="000000" w:themeColor="text1"/>
        </w:rPr>
        <w:t>believing that ‘</w:t>
      </w:r>
      <w:r>
        <w:rPr>
          <w:rFonts w:ascii="Calibri" w:eastAsia="Calibri" w:hAnsi="Calibri" w:cs="Calibri"/>
          <w:color w:val="000000" w:themeColor="text1"/>
        </w:rPr>
        <w:t>f</w:t>
      </w:r>
      <w:r w:rsidR="008F4EA5" w:rsidRPr="008F4EA5">
        <w:rPr>
          <w:rFonts w:ascii="Calibri" w:eastAsia="Calibri" w:hAnsi="Calibri" w:cs="Calibri"/>
          <w:color w:val="000000" w:themeColor="text1"/>
        </w:rPr>
        <w:t>or everything you do, you get something back.</w:t>
      </w:r>
      <w:r w:rsidR="00EE7B83">
        <w:rPr>
          <w:rFonts w:ascii="Calibri" w:eastAsia="Calibri" w:hAnsi="Calibri" w:cs="Calibri"/>
          <w:color w:val="000000" w:themeColor="text1"/>
        </w:rPr>
        <w:t>’</w:t>
      </w:r>
      <w:r w:rsidR="0049401F">
        <w:rPr>
          <w:rStyle w:val="FootnoteReference"/>
          <w:rFonts w:ascii="Calibri" w:eastAsia="Calibri" w:hAnsi="Calibri" w:cs="Calibri"/>
          <w:color w:val="000000" w:themeColor="text1"/>
        </w:rPr>
        <w:footnoteReference w:id="41"/>
      </w:r>
      <w:r w:rsidR="00D0155F">
        <w:rPr>
          <w:rFonts w:ascii="Calibri" w:eastAsia="Calibri" w:hAnsi="Calibri" w:cs="Calibri"/>
          <w:color w:val="000000" w:themeColor="text1"/>
        </w:rPr>
        <w:t xml:space="preserve"> However, the authors note that</w:t>
      </w:r>
      <w:r w:rsidR="004419D9">
        <w:rPr>
          <w:rFonts w:ascii="Calibri" w:eastAsia="Calibri" w:hAnsi="Calibri" w:cs="Calibri"/>
          <w:color w:val="000000" w:themeColor="text1"/>
        </w:rPr>
        <w:t xml:space="preserve"> the understanding of Karma</w:t>
      </w:r>
      <w:r w:rsidR="00984D86">
        <w:rPr>
          <w:rFonts w:ascii="Calibri" w:eastAsia="Calibri" w:hAnsi="Calibri" w:cs="Calibri"/>
          <w:color w:val="000000" w:themeColor="text1"/>
        </w:rPr>
        <w:t xml:space="preserve"> displayed</w:t>
      </w:r>
      <w:r w:rsidR="004419D9">
        <w:rPr>
          <w:rFonts w:ascii="Calibri" w:eastAsia="Calibri" w:hAnsi="Calibri" w:cs="Calibri"/>
          <w:color w:val="000000" w:themeColor="text1"/>
        </w:rPr>
        <w:t xml:space="preserve"> was </w:t>
      </w:r>
      <w:r w:rsidR="00FC1E53">
        <w:rPr>
          <w:rFonts w:ascii="Calibri" w:eastAsia="Calibri" w:hAnsi="Calibri" w:cs="Calibri"/>
          <w:color w:val="000000" w:themeColor="text1"/>
        </w:rPr>
        <w:t>rather westernised</w:t>
      </w:r>
      <w:r w:rsidR="00B35684">
        <w:rPr>
          <w:rFonts w:ascii="Calibri" w:eastAsia="Calibri" w:hAnsi="Calibri" w:cs="Calibri"/>
          <w:color w:val="000000" w:themeColor="text1"/>
        </w:rPr>
        <w:t xml:space="preserve">, involving degrees of personal autonomy </w:t>
      </w:r>
      <w:r w:rsidR="00282A70">
        <w:rPr>
          <w:rFonts w:ascii="Calibri" w:eastAsia="Calibri" w:hAnsi="Calibri" w:cs="Calibri"/>
          <w:color w:val="000000" w:themeColor="text1"/>
        </w:rPr>
        <w:t>about when</w:t>
      </w:r>
      <w:r w:rsidR="00BC2FE4">
        <w:rPr>
          <w:rFonts w:ascii="Calibri" w:eastAsia="Calibri" w:hAnsi="Calibri" w:cs="Calibri"/>
          <w:color w:val="000000" w:themeColor="text1"/>
        </w:rPr>
        <w:t>, and</w:t>
      </w:r>
      <w:r w:rsidR="00A631BF">
        <w:rPr>
          <w:rFonts w:ascii="Calibri" w:eastAsia="Calibri" w:hAnsi="Calibri" w:cs="Calibri"/>
          <w:color w:val="000000" w:themeColor="text1"/>
        </w:rPr>
        <w:t xml:space="preserve"> </w:t>
      </w:r>
      <w:r w:rsidR="008F4EA5" w:rsidRPr="008F4EA5">
        <w:rPr>
          <w:rFonts w:ascii="Calibri" w:eastAsia="Calibri" w:hAnsi="Calibri" w:cs="Calibri"/>
          <w:color w:val="000000" w:themeColor="text1"/>
        </w:rPr>
        <w:t xml:space="preserve">in what form, </w:t>
      </w:r>
      <w:r w:rsidR="00A631BF">
        <w:rPr>
          <w:rFonts w:ascii="Calibri" w:eastAsia="Calibri" w:hAnsi="Calibri" w:cs="Calibri"/>
          <w:color w:val="000000" w:themeColor="text1"/>
        </w:rPr>
        <w:t>they might</w:t>
      </w:r>
      <w:r w:rsidR="008F4EA5" w:rsidRPr="008F4EA5">
        <w:rPr>
          <w:rFonts w:ascii="Calibri" w:eastAsia="Calibri" w:hAnsi="Calibri" w:cs="Calibri"/>
          <w:color w:val="000000" w:themeColor="text1"/>
        </w:rPr>
        <w:t xml:space="preserve"> reincarnate.</w:t>
      </w:r>
      <w:r w:rsidR="008A75D8">
        <w:rPr>
          <w:rStyle w:val="FootnoteReference"/>
          <w:rFonts w:ascii="Calibri" w:eastAsia="Calibri" w:hAnsi="Calibri" w:cs="Calibri"/>
          <w:color w:val="000000" w:themeColor="text1"/>
        </w:rPr>
        <w:footnoteReference w:id="42"/>
      </w:r>
      <w:r w:rsidR="00A631BF">
        <w:rPr>
          <w:rFonts w:ascii="Calibri" w:eastAsia="Calibri" w:hAnsi="Calibri" w:cs="Calibri"/>
          <w:color w:val="000000" w:themeColor="text1"/>
        </w:rPr>
        <w:t xml:space="preserve"> </w:t>
      </w:r>
      <w:r w:rsidR="00BC2FE4">
        <w:rPr>
          <w:rFonts w:ascii="Calibri" w:eastAsia="Calibri" w:hAnsi="Calibri" w:cs="Calibri"/>
          <w:color w:val="000000" w:themeColor="text1"/>
        </w:rPr>
        <w:t>T</w:t>
      </w:r>
      <w:r w:rsidR="002C0822">
        <w:rPr>
          <w:rFonts w:ascii="Calibri" w:eastAsia="Calibri" w:hAnsi="Calibri" w:cs="Calibri"/>
          <w:color w:val="000000" w:themeColor="text1"/>
        </w:rPr>
        <w:t>he au</w:t>
      </w:r>
      <w:r w:rsidR="00984D86">
        <w:rPr>
          <w:rFonts w:ascii="Calibri" w:eastAsia="Calibri" w:hAnsi="Calibri" w:cs="Calibri"/>
          <w:color w:val="000000" w:themeColor="text1"/>
        </w:rPr>
        <w:t>t</w:t>
      </w:r>
      <w:r w:rsidR="002C0822">
        <w:rPr>
          <w:rFonts w:ascii="Calibri" w:eastAsia="Calibri" w:hAnsi="Calibri" w:cs="Calibri"/>
          <w:color w:val="000000" w:themeColor="text1"/>
        </w:rPr>
        <w:t>ho</w:t>
      </w:r>
      <w:r w:rsidR="00984D86">
        <w:rPr>
          <w:rFonts w:ascii="Calibri" w:eastAsia="Calibri" w:hAnsi="Calibri" w:cs="Calibri"/>
          <w:color w:val="000000" w:themeColor="text1"/>
        </w:rPr>
        <w:t>r</w:t>
      </w:r>
      <w:r w:rsidR="002C0822">
        <w:rPr>
          <w:rFonts w:ascii="Calibri" w:eastAsia="Calibri" w:hAnsi="Calibri" w:cs="Calibri"/>
          <w:color w:val="000000" w:themeColor="text1"/>
        </w:rPr>
        <w:t xml:space="preserve">s frame these observations </w:t>
      </w:r>
      <w:r w:rsidR="00BC2FE4">
        <w:rPr>
          <w:rFonts w:ascii="Calibri" w:eastAsia="Calibri" w:hAnsi="Calibri" w:cs="Calibri"/>
          <w:color w:val="000000" w:themeColor="text1"/>
        </w:rPr>
        <w:t>by referring back to the</w:t>
      </w:r>
      <w:r w:rsidR="005D41FF">
        <w:rPr>
          <w:rFonts w:ascii="Calibri" w:eastAsia="Calibri" w:hAnsi="Calibri" w:cs="Calibri"/>
          <w:color w:val="000000" w:themeColor="text1"/>
        </w:rPr>
        <w:t xml:space="preserve"> literature on the subject, citing research from</w:t>
      </w:r>
      <w:r w:rsidR="008F4EA5" w:rsidRPr="008F4EA5">
        <w:rPr>
          <w:rFonts w:ascii="Calibri" w:eastAsia="Calibri" w:hAnsi="Calibri" w:cs="Calibri"/>
          <w:color w:val="000000" w:themeColor="text1"/>
        </w:rPr>
        <w:t xml:space="preserve"> </w:t>
      </w:r>
      <w:r w:rsidR="008F4EA5" w:rsidRPr="0042687C">
        <w:rPr>
          <w:rFonts w:ascii="Calibri" w:eastAsia="Calibri" w:hAnsi="Calibri" w:cs="Calibri"/>
          <w:color w:val="000000" w:themeColor="text1"/>
        </w:rPr>
        <w:t>Du</w:t>
      </w:r>
      <w:r w:rsidR="00FC177D">
        <w:rPr>
          <w:rFonts w:ascii="Calibri" w:eastAsia="Calibri" w:hAnsi="Calibri" w:cs="Calibri"/>
          <w:color w:val="000000" w:themeColor="text1"/>
        </w:rPr>
        <w:t xml:space="preserve"> </w:t>
      </w:r>
      <w:r w:rsidR="008F4EA5" w:rsidRPr="0042687C">
        <w:rPr>
          <w:rFonts w:ascii="Calibri" w:eastAsia="Calibri" w:hAnsi="Calibri" w:cs="Calibri"/>
          <w:color w:val="000000" w:themeColor="text1"/>
        </w:rPr>
        <w:t>Pertui</w:t>
      </w:r>
      <w:r w:rsidR="00E62F95">
        <w:rPr>
          <w:rFonts w:ascii="Calibri" w:eastAsia="Calibri" w:hAnsi="Calibri" w:cs="Calibri"/>
          <w:color w:val="000000" w:themeColor="text1"/>
        </w:rPr>
        <w:t>s</w:t>
      </w:r>
      <w:r w:rsidR="00FC177D">
        <w:rPr>
          <w:rFonts w:ascii="Calibri" w:eastAsia="Calibri" w:hAnsi="Calibri" w:cs="Calibri"/>
          <w:color w:val="000000" w:themeColor="text1"/>
        </w:rPr>
        <w:t xml:space="preserve"> and</w:t>
      </w:r>
      <w:r w:rsidR="008F4EA5" w:rsidRPr="0042687C">
        <w:rPr>
          <w:rFonts w:ascii="Calibri" w:eastAsia="Calibri" w:hAnsi="Calibri" w:cs="Calibri"/>
          <w:color w:val="000000" w:themeColor="text1"/>
        </w:rPr>
        <w:t xml:space="preserve"> Mellor </w:t>
      </w:r>
      <w:r w:rsidR="00796016">
        <w:rPr>
          <w:rFonts w:ascii="Calibri" w:eastAsia="Calibri" w:hAnsi="Calibri" w:cs="Calibri"/>
          <w:color w:val="000000" w:themeColor="text1"/>
        </w:rPr>
        <w:t>regarding the formal conversion of westerners to</w:t>
      </w:r>
      <w:r w:rsidR="005D41FF" w:rsidRPr="005D41FF">
        <w:rPr>
          <w:rFonts w:ascii="Calibri" w:eastAsia="Calibri" w:hAnsi="Calibri" w:cs="Calibri"/>
          <w:color w:val="000000" w:themeColor="text1"/>
        </w:rPr>
        <w:t xml:space="preserve"> </w:t>
      </w:r>
      <w:r w:rsidR="00796016">
        <w:rPr>
          <w:rFonts w:ascii="Calibri" w:eastAsia="Calibri" w:hAnsi="Calibri" w:cs="Calibri"/>
          <w:color w:val="000000" w:themeColor="text1"/>
        </w:rPr>
        <w:t>Eastern religions</w:t>
      </w:r>
      <w:r w:rsidR="00FF101B">
        <w:rPr>
          <w:rFonts w:ascii="Calibri" w:eastAsia="Calibri" w:hAnsi="Calibri" w:cs="Calibri"/>
          <w:color w:val="000000" w:themeColor="text1"/>
        </w:rPr>
        <w:t>.</w:t>
      </w:r>
      <w:r w:rsidR="00F13EE7">
        <w:rPr>
          <w:rStyle w:val="FootnoteReference"/>
          <w:rFonts w:ascii="Calibri" w:eastAsia="Calibri" w:hAnsi="Calibri" w:cs="Calibri"/>
          <w:color w:val="000000" w:themeColor="text1"/>
        </w:rPr>
        <w:footnoteReference w:id="43"/>
      </w:r>
      <w:r w:rsidR="00FF101B">
        <w:rPr>
          <w:rFonts w:ascii="Calibri" w:eastAsia="Calibri" w:hAnsi="Calibri" w:cs="Calibri"/>
          <w:color w:val="000000" w:themeColor="text1"/>
        </w:rPr>
        <w:t xml:space="preserve"> </w:t>
      </w:r>
      <w:r w:rsidR="007A584B">
        <w:rPr>
          <w:rFonts w:ascii="Calibri" w:eastAsia="Calibri" w:hAnsi="Calibri" w:cs="Calibri"/>
          <w:color w:val="000000" w:themeColor="text1"/>
        </w:rPr>
        <w:t>Similarly, they</w:t>
      </w:r>
      <w:r w:rsidR="004870A2">
        <w:rPr>
          <w:rFonts w:ascii="Calibri" w:eastAsia="Calibri" w:hAnsi="Calibri" w:cs="Calibri"/>
          <w:color w:val="000000" w:themeColor="text1"/>
        </w:rPr>
        <w:t xml:space="preserve"> </w:t>
      </w:r>
      <w:r w:rsidR="009C3C83">
        <w:rPr>
          <w:rFonts w:ascii="Calibri" w:eastAsia="Calibri" w:hAnsi="Calibri" w:cs="Calibri"/>
          <w:color w:val="000000" w:themeColor="text1"/>
        </w:rPr>
        <w:t>challenge</w:t>
      </w:r>
      <w:r w:rsidR="006226FC">
        <w:rPr>
          <w:rFonts w:ascii="Calibri" w:eastAsia="Calibri" w:hAnsi="Calibri" w:cs="Calibri"/>
          <w:color w:val="000000" w:themeColor="text1"/>
        </w:rPr>
        <w:t xml:space="preserve"> </w:t>
      </w:r>
      <w:r w:rsidR="00143ACC" w:rsidRPr="006226FC">
        <w:rPr>
          <w:rFonts w:ascii="Calibri" w:eastAsia="Calibri" w:hAnsi="Calibri" w:cs="Calibri"/>
          <w:color w:val="000000" w:themeColor="text1"/>
        </w:rPr>
        <w:t>Giddens</w:t>
      </w:r>
      <w:r w:rsidR="006226FC" w:rsidRPr="006226FC">
        <w:rPr>
          <w:rFonts w:ascii="Calibri" w:eastAsia="Calibri" w:hAnsi="Calibri" w:cs="Calibri"/>
          <w:color w:val="000000" w:themeColor="text1"/>
        </w:rPr>
        <w:t>’</w:t>
      </w:r>
      <w:r w:rsidR="00143ACC">
        <w:rPr>
          <w:rFonts w:ascii="Calibri" w:eastAsia="Calibri" w:hAnsi="Calibri" w:cs="Calibri"/>
          <w:color w:val="000000" w:themeColor="text1"/>
        </w:rPr>
        <w:t xml:space="preserve"> </w:t>
      </w:r>
      <w:r w:rsidR="007D54BA">
        <w:rPr>
          <w:rFonts w:ascii="Calibri" w:eastAsia="Calibri" w:hAnsi="Calibri" w:cs="Calibri"/>
          <w:color w:val="000000" w:themeColor="text1"/>
        </w:rPr>
        <w:t xml:space="preserve">suggestion that the </w:t>
      </w:r>
      <w:r w:rsidR="006E2E4B">
        <w:rPr>
          <w:rFonts w:ascii="Calibri" w:eastAsia="Calibri" w:hAnsi="Calibri" w:cs="Calibri"/>
          <w:color w:val="000000" w:themeColor="text1"/>
        </w:rPr>
        <w:t>concept</w:t>
      </w:r>
      <w:r w:rsidR="00A12AF6">
        <w:rPr>
          <w:rFonts w:ascii="Calibri" w:eastAsia="Calibri" w:hAnsi="Calibri" w:cs="Calibri"/>
          <w:color w:val="000000" w:themeColor="text1"/>
        </w:rPr>
        <w:t xml:space="preserve"> </w:t>
      </w:r>
      <w:r w:rsidR="007D54BA">
        <w:rPr>
          <w:rFonts w:ascii="Calibri" w:eastAsia="Calibri" w:hAnsi="Calibri" w:cs="Calibri"/>
          <w:color w:val="000000" w:themeColor="text1"/>
        </w:rPr>
        <w:t>of</w:t>
      </w:r>
      <w:r w:rsidR="002C3604">
        <w:rPr>
          <w:rFonts w:ascii="Calibri" w:eastAsia="Calibri" w:hAnsi="Calibri" w:cs="Calibri"/>
          <w:color w:val="000000" w:themeColor="text1"/>
        </w:rPr>
        <w:t xml:space="preserve"> a</w:t>
      </w:r>
      <w:r w:rsidR="00FE1DB6">
        <w:rPr>
          <w:rFonts w:ascii="Calibri" w:eastAsia="Calibri" w:hAnsi="Calibri" w:cs="Calibri"/>
          <w:color w:val="000000" w:themeColor="text1"/>
        </w:rPr>
        <w:t xml:space="preserve"> </w:t>
      </w:r>
      <w:r w:rsidR="000852A1">
        <w:rPr>
          <w:rFonts w:ascii="Calibri" w:eastAsia="Calibri" w:hAnsi="Calibri" w:cs="Calibri"/>
          <w:color w:val="000000" w:themeColor="text1"/>
        </w:rPr>
        <w:t>corporeal</w:t>
      </w:r>
      <w:r w:rsidR="00C90B08">
        <w:rPr>
          <w:rFonts w:ascii="Calibri" w:eastAsia="Calibri" w:hAnsi="Calibri" w:cs="Calibri"/>
          <w:color w:val="000000" w:themeColor="text1"/>
        </w:rPr>
        <w:t xml:space="preserve"> afterlife </w:t>
      </w:r>
      <w:r w:rsidR="002C3604">
        <w:rPr>
          <w:rFonts w:ascii="Calibri" w:eastAsia="Calibri" w:hAnsi="Calibri" w:cs="Calibri"/>
          <w:color w:val="000000" w:themeColor="text1"/>
        </w:rPr>
        <w:t>is a response to modern people</w:t>
      </w:r>
      <w:r w:rsidR="000852A1">
        <w:rPr>
          <w:rFonts w:ascii="Calibri" w:eastAsia="Calibri" w:hAnsi="Calibri" w:cs="Calibri"/>
          <w:color w:val="000000" w:themeColor="text1"/>
        </w:rPr>
        <w:t>s’</w:t>
      </w:r>
      <w:r w:rsidR="002C3604">
        <w:rPr>
          <w:rFonts w:ascii="Calibri" w:eastAsia="Calibri" w:hAnsi="Calibri" w:cs="Calibri"/>
          <w:color w:val="000000" w:themeColor="text1"/>
        </w:rPr>
        <w:t xml:space="preserve"> preoccupation with their own physical body</w:t>
      </w:r>
      <w:r w:rsidR="000852A1">
        <w:rPr>
          <w:rFonts w:ascii="Calibri" w:eastAsia="Calibri" w:hAnsi="Calibri" w:cs="Calibri"/>
          <w:color w:val="000000" w:themeColor="text1"/>
        </w:rPr>
        <w:t>.</w:t>
      </w:r>
      <w:r w:rsidR="00F13EE7">
        <w:rPr>
          <w:rStyle w:val="FootnoteReference"/>
          <w:rFonts w:ascii="Calibri" w:eastAsia="Calibri" w:hAnsi="Calibri" w:cs="Calibri"/>
          <w:color w:val="000000" w:themeColor="text1"/>
        </w:rPr>
        <w:footnoteReference w:id="44"/>
      </w:r>
      <w:r w:rsidR="00BA5AC3">
        <w:rPr>
          <w:rFonts w:ascii="Calibri" w:eastAsia="Calibri" w:hAnsi="Calibri" w:cs="Calibri"/>
          <w:color w:val="000000" w:themeColor="text1"/>
        </w:rPr>
        <w:t xml:space="preserve"> On the contrary, Walter And Waterhouse observe that </w:t>
      </w:r>
      <w:r w:rsidR="004C2BBD" w:rsidRPr="008F4EA5">
        <w:rPr>
          <w:rFonts w:ascii="Calibri" w:eastAsia="Calibri" w:hAnsi="Calibri" w:cs="Calibri"/>
          <w:color w:val="000000" w:themeColor="text1"/>
        </w:rPr>
        <w:t>t</w:t>
      </w:r>
      <w:r w:rsidR="004C2BBD">
        <w:rPr>
          <w:rFonts w:ascii="Calibri" w:eastAsia="Calibri" w:hAnsi="Calibri" w:cs="Calibri"/>
          <w:color w:val="000000" w:themeColor="text1"/>
        </w:rPr>
        <w:t>heir participants</w:t>
      </w:r>
      <w:r w:rsidR="004C2BBD" w:rsidRPr="008F4EA5">
        <w:rPr>
          <w:rFonts w:ascii="Calibri" w:eastAsia="Calibri" w:hAnsi="Calibri" w:cs="Calibri"/>
          <w:color w:val="000000" w:themeColor="text1"/>
        </w:rPr>
        <w:t xml:space="preserve"> </w:t>
      </w:r>
      <w:r w:rsidR="00095EBB">
        <w:rPr>
          <w:rFonts w:ascii="Calibri" w:eastAsia="Calibri" w:hAnsi="Calibri" w:cs="Calibri"/>
          <w:color w:val="000000" w:themeColor="text1"/>
        </w:rPr>
        <w:t xml:space="preserve">value the spirit </w:t>
      </w:r>
      <w:r w:rsidR="004C2BBD" w:rsidRPr="008F4EA5">
        <w:rPr>
          <w:rFonts w:ascii="Calibri" w:eastAsia="Calibri" w:hAnsi="Calibri" w:cs="Calibri"/>
          <w:color w:val="000000" w:themeColor="text1"/>
        </w:rPr>
        <w:t>more highly than the body</w:t>
      </w:r>
      <w:r w:rsidR="00F13EE7">
        <w:rPr>
          <w:rFonts w:ascii="Calibri" w:eastAsia="Calibri" w:hAnsi="Calibri" w:cs="Calibri"/>
          <w:color w:val="000000" w:themeColor="text1"/>
        </w:rPr>
        <w:t>.</w:t>
      </w:r>
      <w:r w:rsidR="00F13EE7">
        <w:rPr>
          <w:rStyle w:val="FootnoteReference"/>
          <w:rFonts w:ascii="Calibri" w:eastAsia="Calibri" w:hAnsi="Calibri" w:cs="Calibri"/>
          <w:color w:val="000000" w:themeColor="text1"/>
        </w:rPr>
        <w:footnoteReference w:id="45"/>
      </w:r>
    </w:p>
    <w:p w14:paraId="3073A084" w14:textId="3236DC22" w:rsidR="00F11D62" w:rsidRPr="00F11D62" w:rsidRDefault="00D83911" w:rsidP="00611B1B">
      <w:pPr>
        <w:ind w:firstLine="720"/>
        <w:contextualSpacing/>
        <w:jc w:val="both"/>
      </w:pPr>
      <w:r>
        <w:rPr>
          <w:rFonts w:ascii="Calibri" w:eastAsia="Calibri" w:hAnsi="Calibri" w:cs="Calibri"/>
          <w:color w:val="000000" w:themeColor="text1"/>
        </w:rPr>
        <w:t>Bennet</w:t>
      </w:r>
      <w:r w:rsidR="00D555E2">
        <w:rPr>
          <w:rFonts w:ascii="Calibri" w:eastAsia="Calibri" w:hAnsi="Calibri" w:cs="Calibri"/>
          <w:color w:val="000000" w:themeColor="text1"/>
        </w:rPr>
        <w:t>t</w:t>
      </w:r>
      <w:r w:rsidR="008C4345">
        <w:rPr>
          <w:rFonts w:ascii="Calibri" w:eastAsia="Calibri" w:hAnsi="Calibri" w:cs="Calibri"/>
          <w:color w:val="000000" w:themeColor="text1"/>
        </w:rPr>
        <w:t>’s key observation</w:t>
      </w:r>
      <w:r w:rsidR="00D974DF">
        <w:rPr>
          <w:rFonts w:ascii="Calibri" w:eastAsia="Calibri" w:hAnsi="Calibri" w:cs="Calibri"/>
          <w:color w:val="000000" w:themeColor="text1"/>
        </w:rPr>
        <w:t xml:space="preserve"> </w:t>
      </w:r>
      <w:r w:rsidR="00B82EF3" w:rsidRPr="007F5066">
        <w:rPr>
          <w:rFonts w:ascii="Calibri" w:eastAsia="Calibri" w:hAnsi="Calibri" w:cs="Calibri"/>
          <w:color w:val="000000" w:themeColor="text1"/>
        </w:rPr>
        <w:t xml:space="preserve">is the contrast in </w:t>
      </w:r>
      <w:r w:rsidR="008C4345">
        <w:rPr>
          <w:rFonts w:ascii="Calibri" w:eastAsia="Calibri" w:hAnsi="Calibri" w:cs="Calibri"/>
          <w:color w:val="000000" w:themeColor="text1"/>
        </w:rPr>
        <w:t>her respondents</w:t>
      </w:r>
      <w:r w:rsidR="005306BD">
        <w:rPr>
          <w:rFonts w:ascii="Calibri" w:eastAsia="Calibri" w:hAnsi="Calibri" w:cs="Calibri"/>
          <w:color w:val="000000" w:themeColor="text1"/>
        </w:rPr>
        <w:t>’</w:t>
      </w:r>
      <w:r w:rsidR="008C4345">
        <w:rPr>
          <w:rFonts w:ascii="Calibri" w:eastAsia="Calibri" w:hAnsi="Calibri" w:cs="Calibri"/>
          <w:color w:val="000000" w:themeColor="text1"/>
        </w:rPr>
        <w:t xml:space="preserve"> </w:t>
      </w:r>
      <w:r w:rsidR="00B82EF3" w:rsidRPr="007F5066">
        <w:rPr>
          <w:rFonts w:ascii="Calibri" w:eastAsia="Calibri" w:hAnsi="Calibri" w:cs="Calibri"/>
          <w:color w:val="000000" w:themeColor="text1"/>
        </w:rPr>
        <w:t xml:space="preserve">attitudes </w:t>
      </w:r>
      <w:r w:rsidR="008C4345">
        <w:rPr>
          <w:rFonts w:ascii="Calibri" w:eastAsia="Calibri" w:hAnsi="Calibri" w:cs="Calibri"/>
          <w:color w:val="000000" w:themeColor="text1"/>
        </w:rPr>
        <w:t>towards t</w:t>
      </w:r>
      <w:r w:rsidR="007F5066" w:rsidRPr="007F5066">
        <w:rPr>
          <w:rFonts w:ascii="Calibri" w:eastAsia="Calibri" w:hAnsi="Calibri" w:cs="Calibri"/>
          <w:color w:val="000000" w:themeColor="text1"/>
        </w:rPr>
        <w:t xml:space="preserve">he </w:t>
      </w:r>
      <w:r w:rsidR="00D555E2" w:rsidRPr="007F5066">
        <w:rPr>
          <w:rFonts w:ascii="Calibri" w:eastAsia="Calibri" w:hAnsi="Calibri" w:cs="Calibri"/>
          <w:color w:val="000000" w:themeColor="text1"/>
        </w:rPr>
        <w:t>divinatory</w:t>
      </w:r>
      <w:r w:rsidR="007F5066" w:rsidRPr="007F5066">
        <w:rPr>
          <w:rFonts w:ascii="Calibri" w:eastAsia="Calibri" w:hAnsi="Calibri" w:cs="Calibri"/>
          <w:color w:val="000000" w:themeColor="text1"/>
        </w:rPr>
        <w:t xml:space="preserve"> and visionary </w:t>
      </w:r>
      <w:r w:rsidR="00D555E2" w:rsidRPr="007F5066">
        <w:rPr>
          <w:rFonts w:ascii="Calibri" w:eastAsia="Calibri" w:hAnsi="Calibri" w:cs="Calibri"/>
          <w:color w:val="000000" w:themeColor="text1"/>
        </w:rPr>
        <w:t>strands</w:t>
      </w:r>
      <w:r w:rsidR="007F5066" w:rsidRPr="007F5066">
        <w:rPr>
          <w:rFonts w:ascii="Calibri" w:eastAsia="Calibri" w:hAnsi="Calibri" w:cs="Calibri"/>
          <w:color w:val="000000" w:themeColor="text1"/>
        </w:rPr>
        <w:t xml:space="preserve"> of foreknowledge</w:t>
      </w:r>
      <w:r w:rsidR="00F65694">
        <w:rPr>
          <w:rFonts w:ascii="Calibri" w:eastAsia="Calibri" w:hAnsi="Calibri" w:cs="Calibri"/>
          <w:color w:val="000000" w:themeColor="text1"/>
        </w:rPr>
        <w:t xml:space="preserve">. </w:t>
      </w:r>
      <w:r w:rsidR="00BD7E41">
        <w:rPr>
          <w:rFonts w:ascii="Calibri" w:eastAsia="Calibri" w:hAnsi="Calibri" w:cs="Calibri"/>
          <w:color w:val="000000" w:themeColor="text1"/>
        </w:rPr>
        <w:t>Again, t</w:t>
      </w:r>
      <w:r w:rsidR="00F65694">
        <w:rPr>
          <w:rFonts w:ascii="Calibri" w:eastAsia="Calibri" w:hAnsi="Calibri" w:cs="Calibri"/>
          <w:color w:val="000000" w:themeColor="text1"/>
        </w:rPr>
        <w:t xml:space="preserve">he qualitative approach allowed </w:t>
      </w:r>
      <w:r w:rsidR="00D555E2">
        <w:rPr>
          <w:rFonts w:ascii="Calibri" w:eastAsia="Calibri" w:hAnsi="Calibri" w:cs="Calibri"/>
          <w:color w:val="000000" w:themeColor="text1"/>
        </w:rPr>
        <w:t>subtleties</w:t>
      </w:r>
      <w:r w:rsidR="00753588">
        <w:rPr>
          <w:rFonts w:ascii="Calibri" w:eastAsia="Calibri" w:hAnsi="Calibri" w:cs="Calibri"/>
          <w:color w:val="000000" w:themeColor="text1"/>
        </w:rPr>
        <w:t xml:space="preserve"> to emerge which might otherwise have been missed.</w:t>
      </w:r>
      <w:r w:rsidR="00F13EE7">
        <w:rPr>
          <w:rFonts w:ascii="Calibri" w:eastAsia="Calibri" w:hAnsi="Calibri" w:cs="Calibri"/>
          <w:color w:val="000000" w:themeColor="text1"/>
        </w:rPr>
        <w:t xml:space="preserve"> For example, i</w:t>
      </w:r>
      <w:r w:rsidR="00AB526F">
        <w:rPr>
          <w:rFonts w:ascii="Calibri" w:eastAsia="Calibri" w:hAnsi="Calibri" w:cs="Calibri"/>
          <w:color w:val="000000" w:themeColor="text1"/>
        </w:rPr>
        <w:t xml:space="preserve">nterviews allow Bennet </w:t>
      </w:r>
      <w:r w:rsidR="00990761">
        <w:rPr>
          <w:rFonts w:ascii="Calibri" w:eastAsia="Calibri" w:hAnsi="Calibri" w:cs="Calibri"/>
          <w:color w:val="000000" w:themeColor="text1"/>
        </w:rPr>
        <w:t>t</w:t>
      </w:r>
      <w:r w:rsidR="003A445B">
        <w:rPr>
          <w:rFonts w:ascii="Calibri" w:eastAsia="Calibri" w:hAnsi="Calibri" w:cs="Calibri"/>
          <w:color w:val="000000" w:themeColor="text1"/>
        </w:rPr>
        <w:t>o</w:t>
      </w:r>
      <w:r w:rsidR="00990761">
        <w:rPr>
          <w:rFonts w:ascii="Calibri" w:eastAsia="Calibri" w:hAnsi="Calibri" w:cs="Calibri"/>
          <w:color w:val="000000" w:themeColor="text1"/>
        </w:rPr>
        <w:t xml:space="preserve"> discern</w:t>
      </w:r>
      <w:r w:rsidR="00AB526F">
        <w:rPr>
          <w:rFonts w:ascii="Calibri" w:eastAsia="Calibri" w:hAnsi="Calibri" w:cs="Calibri"/>
          <w:color w:val="000000" w:themeColor="text1"/>
        </w:rPr>
        <w:t xml:space="preserve"> </w:t>
      </w:r>
      <w:r w:rsidR="003A445B">
        <w:rPr>
          <w:rFonts w:ascii="Calibri" w:eastAsia="Calibri" w:hAnsi="Calibri" w:cs="Calibri"/>
          <w:color w:val="000000" w:themeColor="text1"/>
        </w:rPr>
        <w:t xml:space="preserve">different ways in which </w:t>
      </w:r>
      <w:r w:rsidR="00CA09ED">
        <w:rPr>
          <w:rFonts w:ascii="Calibri" w:eastAsia="Calibri" w:hAnsi="Calibri" w:cs="Calibri"/>
          <w:color w:val="000000" w:themeColor="text1"/>
        </w:rPr>
        <w:t>the two kinds of experience are rel</w:t>
      </w:r>
      <w:r w:rsidR="00CC2254">
        <w:rPr>
          <w:rFonts w:ascii="Calibri" w:eastAsia="Calibri" w:hAnsi="Calibri" w:cs="Calibri"/>
          <w:color w:val="000000" w:themeColor="text1"/>
        </w:rPr>
        <w:t>a</w:t>
      </w:r>
      <w:r w:rsidR="00CA09ED">
        <w:rPr>
          <w:rFonts w:ascii="Calibri" w:eastAsia="Calibri" w:hAnsi="Calibri" w:cs="Calibri"/>
          <w:color w:val="000000" w:themeColor="text1"/>
        </w:rPr>
        <w:t>yed.</w:t>
      </w:r>
      <w:r w:rsidR="00990761">
        <w:rPr>
          <w:rFonts w:ascii="Calibri" w:eastAsia="Calibri" w:hAnsi="Calibri" w:cs="Calibri"/>
          <w:color w:val="000000" w:themeColor="text1"/>
        </w:rPr>
        <w:t xml:space="preserve"> </w:t>
      </w:r>
      <w:r w:rsidR="00966AE7">
        <w:rPr>
          <w:rFonts w:ascii="Calibri" w:eastAsia="Calibri" w:hAnsi="Calibri" w:cs="Calibri"/>
          <w:color w:val="000000" w:themeColor="text1"/>
        </w:rPr>
        <w:t xml:space="preserve"> </w:t>
      </w:r>
      <w:r w:rsidR="00AB526F">
        <w:rPr>
          <w:rFonts w:ascii="Calibri" w:eastAsia="Calibri" w:hAnsi="Calibri" w:cs="Calibri"/>
          <w:color w:val="000000" w:themeColor="text1"/>
        </w:rPr>
        <w:t>I</w:t>
      </w:r>
      <w:r w:rsidR="00966AE7" w:rsidRPr="00A529CB">
        <w:rPr>
          <w:rFonts w:ascii="Calibri" w:eastAsia="Calibri" w:hAnsi="Calibri" w:cs="Calibri"/>
          <w:color w:val="000000" w:themeColor="text1"/>
        </w:rPr>
        <w:t xml:space="preserve">n stories about </w:t>
      </w:r>
      <w:r w:rsidR="00AB526F">
        <w:rPr>
          <w:rFonts w:ascii="Calibri" w:eastAsia="Calibri" w:hAnsi="Calibri" w:cs="Calibri"/>
          <w:color w:val="000000" w:themeColor="text1"/>
        </w:rPr>
        <w:t>visionary foreknowledge,</w:t>
      </w:r>
      <w:r w:rsidR="00465F34">
        <w:rPr>
          <w:rFonts w:ascii="Calibri" w:eastAsia="Calibri" w:hAnsi="Calibri" w:cs="Calibri"/>
          <w:color w:val="000000" w:themeColor="text1"/>
        </w:rPr>
        <w:t xml:space="preserve"> </w:t>
      </w:r>
      <w:r w:rsidR="00966AE7" w:rsidRPr="00A529CB">
        <w:rPr>
          <w:rFonts w:ascii="Calibri" w:eastAsia="Calibri" w:hAnsi="Calibri" w:cs="Calibri"/>
          <w:color w:val="000000" w:themeColor="text1"/>
        </w:rPr>
        <w:t xml:space="preserve">the women </w:t>
      </w:r>
      <w:r w:rsidR="006C39B8">
        <w:rPr>
          <w:rFonts w:ascii="Calibri" w:eastAsia="Calibri" w:hAnsi="Calibri" w:cs="Calibri"/>
          <w:color w:val="000000" w:themeColor="text1"/>
        </w:rPr>
        <w:t>take care</w:t>
      </w:r>
      <w:r w:rsidR="00966AE7" w:rsidRPr="00A529CB">
        <w:rPr>
          <w:rFonts w:ascii="Calibri" w:eastAsia="Calibri" w:hAnsi="Calibri" w:cs="Calibri"/>
          <w:color w:val="000000" w:themeColor="text1"/>
        </w:rPr>
        <w:t xml:space="preserve"> to </w:t>
      </w:r>
      <w:r w:rsidR="00302EE1">
        <w:rPr>
          <w:rFonts w:ascii="Calibri" w:eastAsia="Calibri" w:hAnsi="Calibri" w:cs="Calibri"/>
          <w:color w:val="000000" w:themeColor="text1"/>
        </w:rPr>
        <w:t xml:space="preserve">specify </w:t>
      </w:r>
      <w:r w:rsidR="00C62931">
        <w:rPr>
          <w:rFonts w:ascii="Calibri" w:eastAsia="Calibri" w:hAnsi="Calibri" w:cs="Calibri"/>
          <w:color w:val="000000" w:themeColor="text1"/>
        </w:rPr>
        <w:t xml:space="preserve">the </w:t>
      </w:r>
      <w:r w:rsidR="00966AE7" w:rsidRPr="00A529CB">
        <w:rPr>
          <w:rFonts w:ascii="Calibri" w:eastAsia="Calibri" w:hAnsi="Calibri" w:cs="Calibri"/>
          <w:color w:val="000000" w:themeColor="text1"/>
        </w:rPr>
        <w:t>date</w:t>
      </w:r>
      <w:r w:rsidR="00C62931">
        <w:rPr>
          <w:rFonts w:ascii="Calibri" w:eastAsia="Calibri" w:hAnsi="Calibri" w:cs="Calibri"/>
          <w:color w:val="000000" w:themeColor="text1"/>
        </w:rPr>
        <w:t xml:space="preserve">s, people and places involved in the </w:t>
      </w:r>
      <w:r w:rsidR="00966AE7" w:rsidRPr="00A529CB">
        <w:rPr>
          <w:rFonts w:ascii="Calibri" w:eastAsia="Calibri" w:hAnsi="Calibri" w:cs="Calibri"/>
          <w:color w:val="000000" w:themeColor="text1"/>
        </w:rPr>
        <w:t xml:space="preserve">events </w:t>
      </w:r>
      <w:r w:rsidR="00C62931">
        <w:rPr>
          <w:rFonts w:ascii="Calibri" w:eastAsia="Calibri" w:hAnsi="Calibri" w:cs="Calibri"/>
          <w:color w:val="000000" w:themeColor="text1"/>
        </w:rPr>
        <w:t>they describe</w:t>
      </w:r>
      <w:r w:rsidR="00966AE7" w:rsidRPr="00A529CB">
        <w:rPr>
          <w:rFonts w:ascii="Calibri" w:eastAsia="Calibri" w:hAnsi="Calibri" w:cs="Calibri"/>
          <w:color w:val="000000" w:themeColor="text1"/>
        </w:rPr>
        <w:t>.</w:t>
      </w:r>
      <w:r w:rsidR="001B6EFE">
        <w:rPr>
          <w:rStyle w:val="FootnoteReference"/>
          <w:rFonts w:ascii="Calibri" w:eastAsia="Calibri" w:hAnsi="Calibri" w:cs="Calibri"/>
          <w:color w:val="000000" w:themeColor="text1"/>
        </w:rPr>
        <w:footnoteReference w:id="46"/>
      </w:r>
      <w:r w:rsidR="001B6EFE">
        <w:rPr>
          <w:rFonts w:ascii="Calibri" w:eastAsia="Calibri" w:hAnsi="Calibri" w:cs="Calibri"/>
          <w:color w:val="000000" w:themeColor="text1"/>
        </w:rPr>
        <w:t xml:space="preserve"> </w:t>
      </w:r>
      <w:r w:rsidR="00F11D62" w:rsidRPr="00F11D62">
        <w:t xml:space="preserve">In contrast, </w:t>
      </w:r>
      <w:r w:rsidR="00A278D9">
        <w:t>when relating stories about</w:t>
      </w:r>
      <w:r w:rsidR="005C395B">
        <w:t xml:space="preserve"> divination</w:t>
      </w:r>
      <w:r w:rsidR="007E15E4">
        <w:t>, the</w:t>
      </w:r>
      <w:r w:rsidR="000B4016">
        <w:t xml:space="preserve"> details of the stories are much </w:t>
      </w:r>
      <w:r w:rsidR="001B6EFE">
        <w:t>vaguer,</w:t>
      </w:r>
      <w:r w:rsidR="00F11D62" w:rsidRPr="00F11D62">
        <w:t xml:space="preserve"> </w:t>
      </w:r>
      <w:r w:rsidR="007A4B2F">
        <w:t>without the same degree of detail about</w:t>
      </w:r>
      <w:r w:rsidR="00C2678A">
        <w:t xml:space="preserve"> </w:t>
      </w:r>
      <w:r w:rsidR="00F11D62" w:rsidRPr="00F11D62">
        <w:t xml:space="preserve">the characters involved or </w:t>
      </w:r>
      <w:r w:rsidR="00C2678A">
        <w:t>the location at which</w:t>
      </w:r>
      <w:r w:rsidR="00F11D62" w:rsidRPr="00F11D62">
        <w:t xml:space="preserve"> events took place</w:t>
      </w:r>
      <w:r w:rsidR="001B6EFE">
        <w:t>.</w:t>
      </w:r>
      <w:r w:rsidR="001B6EFE">
        <w:rPr>
          <w:rStyle w:val="FootnoteReference"/>
        </w:rPr>
        <w:footnoteReference w:id="47"/>
      </w:r>
    </w:p>
    <w:p w14:paraId="16970CED" w14:textId="77777777" w:rsidR="00267AA9" w:rsidRDefault="00267AA9" w:rsidP="00BF44A7">
      <w:pPr>
        <w:ind w:firstLine="720"/>
        <w:contextualSpacing/>
        <w:rPr>
          <w:b/>
          <w:bCs/>
        </w:rPr>
      </w:pPr>
    </w:p>
    <w:p w14:paraId="692E3107" w14:textId="6E89F6FF" w:rsidR="00822A0A" w:rsidRDefault="00F06DF8" w:rsidP="00822A0A">
      <w:pPr>
        <w:contextualSpacing/>
        <w:rPr>
          <w:b/>
          <w:bCs/>
        </w:rPr>
      </w:pPr>
      <w:r>
        <w:rPr>
          <w:b/>
          <w:bCs/>
        </w:rPr>
        <w:t>C</w:t>
      </w:r>
      <w:r w:rsidRPr="00F06DF8">
        <w:rPr>
          <w:b/>
          <w:bCs/>
        </w:rPr>
        <w:t>hristianity and alternative beliefs</w:t>
      </w:r>
    </w:p>
    <w:p w14:paraId="67CAF44B" w14:textId="77777777" w:rsidR="00822A0A" w:rsidRDefault="005C04A8" w:rsidP="00822A0A">
      <w:pPr>
        <w:ind w:left="720"/>
        <w:contextualSpacing/>
      </w:pPr>
      <w:r>
        <w:t>B</w:t>
      </w:r>
      <w:r w:rsidR="00505ECE" w:rsidRPr="00173230">
        <w:t xml:space="preserve">oth </w:t>
      </w:r>
      <w:r w:rsidR="00F06DF8" w:rsidRPr="00173230">
        <w:t>papers</w:t>
      </w:r>
      <w:r w:rsidR="00F06DF8">
        <w:t xml:space="preserve"> </w:t>
      </w:r>
      <w:r w:rsidR="00344F62">
        <w:t xml:space="preserve">also </w:t>
      </w:r>
      <w:r w:rsidR="00093C36" w:rsidRPr="00173230">
        <w:t xml:space="preserve">shed light on the relationship of </w:t>
      </w:r>
      <w:r w:rsidR="00D30159" w:rsidRPr="00173230">
        <w:t>Christianity</w:t>
      </w:r>
      <w:r w:rsidR="00D23FAE" w:rsidRPr="00173230">
        <w:t xml:space="preserve"> with</w:t>
      </w:r>
      <w:r w:rsidR="00173230" w:rsidRPr="00173230">
        <w:t xml:space="preserve"> beliefs which fall outside </w:t>
      </w:r>
    </w:p>
    <w:p w14:paraId="033F6079" w14:textId="505DEB56" w:rsidR="00050687" w:rsidRDefault="00173230" w:rsidP="00822A0A">
      <w:pPr>
        <w:contextualSpacing/>
        <w:jc w:val="both"/>
      </w:pPr>
      <w:r w:rsidRPr="00173230">
        <w:t>of its conventional doctrine.</w:t>
      </w:r>
      <w:r w:rsidR="00822A0A">
        <w:t xml:space="preserve"> </w:t>
      </w:r>
      <w:r w:rsidR="00C51D90">
        <w:t xml:space="preserve">Walter and Waterhouse observe </w:t>
      </w:r>
      <w:r w:rsidR="00344F62">
        <w:t>what</w:t>
      </w:r>
      <w:r w:rsidR="00C51D90">
        <w:t xml:space="preserve"> little effect </w:t>
      </w:r>
      <w:r w:rsidR="00BD5135">
        <w:t>acceptance of</w:t>
      </w:r>
      <w:r w:rsidR="00F8171A">
        <w:t xml:space="preserve"> the possibility of </w:t>
      </w:r>
      <w:r w:rsidR="00C51D90">
        <w:t>reincarnation</w:t>
      </w:r>
      <w:r w:rsidR="00F8171A">
        <w:t xml:space="preserve"> </w:t>
      </w:r>
      <w:r w:rsidR="00C51D90">
        <w:t xml:space="preserve">has on </w:t>
      </w:r>
      <w:r w:rsidR="00FD7930">
        <w:t>the lives of their</w:t>
      </w:r>
      <w:r w:rsidR="00C51D90">
        <w:t xml:space="preserve"> respondents. </w:t>
      </w:r>
      <w:r w:rsidR="002F4BF6">
        <w:t>Referring back to Davie</w:t>
      </w:r>
      <w:r w:rsidR="00953268">
        <w:t>’s</w:t>
      </w:r>
      <w:r w:rsidR="002F4BF6">
        <w:t xml:space="preserve"> </w:t>
      </w:r>
      <w:r w:rsidR="00484E8F">
        <w:t xml:space="preserve">observation </w:t>
      </w:r>
      <w:r w:rsidR="00E854A3">
        <w:t>that</w:t>
      </w:r>
      <w:r w:rsidR="00484E8F">
        <w:t xml:space="preserve"> the English believe without belong</w:t>
      </w:r>
      <w:r w:rsidR="00E854A3">
        <w:t>ing</w:t>
      </w:r>
      <w:r w:rsidR="001761E8">
        <w:t xml:space="preserve">, they </w:t>
      </w:r>
      <w:r w:rsidR="004002B8">
        <w:t>conclude that</w:t>
      </w:r>
      <w:r w:rsidR="00D35B2D">
        <w:t xml:space="preserve"> the</w:t>
      </w:r>
      <w:r w:rsidR="00ED3645">
        <w:t>i</w:t>
      </w:r>
      <w:r w:rsidR="00D35B2D">
        <w:t xml:space="preserve">r participants find no contradiction between </w:t>
      </w:r>
      <w:r w:rsidR="00E65672">
        <w:t>believing in reincarnation and attending church</w:t>
      </w:r>
      <w:r w:rsidR="00BD5135">
        <w:t>.</w:t>
      </w:r>
      <w:r w:rsidR="00BD5135">
        <w:rPr>
          <w:rStyle w:val="FootnoteReference"/>
        </w:rPr>
        <w:footnoteReference w:id="48"/>
      </w:r>
      <w:r w:rsidR="00BD5135">
        <w:t xml:space="preserve"> </w:t>
      </w:r>
      <w:r w:rsidR="00943417">
        <w:t>Similar</w:t>
      </w:r>
      <w:r w:rsidR="00DE435D">
        <w:t>ly</w:t>
      </w:r>
      <w:r w:rsidR="009B1FB0">
        <w:t>, m</w:t>
      </w:r>
      <w:r w:rsidR="00DE435D">
        <w:t>ost of Bennet</w:t>
      </w:r>
      <w:r w:rsidR="009B1FB0">
        <w:t>t’</w:t>
      </w:r>
      <w:r w:rsidR="00DE435D">
        <w:t>s participants are Christian to some degre</w:t>
      </w:r>
      <w:r w:rsidR="009B1FB0">
        <w:t>e,</w:t>
      </w:r>
      <w:r w:rsidR="00DE435D">
        <w:t xml:space="preserve"> and </w:t>
      </w:r>
      <w:r w:rsidR="00050687">
        <w:t xml:space="preserve">see no contradiction </w:t>
      </w:r>
      <w:r w:rsidR="00D33484">
        <w:t>between belief in foreknowledge and</w:t>
      </w:r>
      <w:r w:rsidR="00050687">
        <w:t xml:space="preserve"> Christian </w:t>
      </w:r>
      <w:r w:rsidR="00050687">
        <w:lastRenderedPageBreak/>
        <w:t>belief.</w:t>
      </w:r>
      <w:r w:rsidR="002A6E43">
        <w:t xml:space="preserve"> Indeed, linked</w:t>
      </w:r>
      <w:r w:rsidR="00681317">
        <w:t xml:space="preserve"> to the idea of foreknowledge, Bennett observes an acceptance of </w:t>
      </w:r>
      <w:r w:rsidR="00681317" w:rsidRPr="00050687">
        <w:t>predestination</w:t>
      </w:r>
      <w:r w:rsidR="00681317">
        <w:t xml:space="preserve"> </w:t>
      </w:r>
      <w:r w:rsidR="00050687" w:rsidRPr="00050687">
        <w:t>‘</w:t>
      </w:r>
      <w:r w:rsidR="00D33484">
        <w:t>r</w:t>
      </w:r>
      <w:r w:rsidR="00050687" w:rsidRPr="00050687">
        <w:t>unning like a thread through many of my informants' conversations</w:t>
      </w:r>
      <w:r w:rsidR="00681317">
        <w:t>’</w:t>
      </w:r>
      <w:r w:rsidR="000317B5">
        <w:t>.</w:t>
      </w:r>
      <w:r w:rsidR="000317B5">
        <w:rPr>
          <w:rStyle w:val="FootnoteReference"/>
        </w:rPr>
        <w:footnoteReference w:id="49"/>
      </w:r>
      <w:r w:rsidR="000317B5">
        <w:t xml:space="preserve"> </w:t>
      </w:r>
      <w:r w:rsidR="00E93EA4">
        <w:t xml:space="preserve">Future events can only be perceived </w:t>
      </w:r>
      <w:r w:rsidR="00013B45">
        <w:t xml:space="preserve">if </w:t>
      </w:r>
      <w:r w:rsidR="002118F4">
        <w:t>they are predestined and, f</w:t>
      </w:r>
      <w:r w:rsidR="00681317">
        <w:t xml:space="preserve">or the women in her study, </w:t>
      </w:r>
      <w:r w:rsidR="00B262E6">
        <w:t xml:space="preserve">this is evidence </w:t>
      </w:r>
      <w:r w:rsidR="00050687" w:rsidRPr="00050687">
        <w:t>God's plan</w:t>
      </w:r>
      <w:r w:rsidR="002118F4">
        <w:t>.</w:t>
      </w:r>
      <w:r w:rsidR="00050687" w:rsidRPr="00050687">
        <w:t xml:space="preserve"> </w:t>
      </w:r>
    </w:p>
    <w:p w14:paraId="0354D11C" w14:textId="77777777" w:rsidR="00206723" w:rsidRDefault="00206723" w:rsidP="00206723">
      <w:pPr>
        <w:contextualSpacing/>
        <w:rPr>
          <w:b/>
          <w:bCs/>
        </w:rPr>
      </w:pPr>
    </w:p>
    <w:p w14:paraId="70E518BB" w14:textId="230EA175" w:rsidR="00206723" w:rsidRDefault="00627A69" w:rsidP="00206723">
      <w:pPr>
        <w:contextualSpacing/>
        <w:rPr>
          <w:b/>
          <w:bCs/>
        </w:rPr>
      </w:pPr>
      <w:r w:rsidRPr="00627A69">
        <w:rPr>
          <w:b/>
          <w:bCs/>
        </w:rPr>
        <w:t>Conclusion</w:t>
      </w:r>
    </w:p>
    <w:p w14:paraId="2C8F98E1" w14:textId="25F67C49" w:rsidR="00A66BF6" w:rsidRDefault="00554ABD" w:rsidP="00655B53">
      <w:pPr>
        <w:ind w:left="720"/>
        <w:contextualSpacing/>
        <w:jc w:val="both"/>
      </w:pPr>
      <w:r w:rsidRPr="00091438">
        <w:t>Both of these pape</w:t>
      </w:r>
      <w:r w:rsidR="009C3445" w:rsidRPr="00091438">
        <w:t>r</w:t>
      </w:r>
      <w:r w:rsidRPr="00091438">
        <w:t>s</w:t>
      </w:r>
      <w:r w:rsidR="00091438">
        <w:t xml:space="preserve">, then, </w:t>
      </w:r>
      <w:r w:rsidRPr="00091438">
        <w:t xml:space="preserve">take a </w:t>
      </w:r>
      <w:r w:rsidR="00091438">
        <w:t>q</w:t>
      </w:r>
      <w:r w:rsidR="004A0B3F" w:rsidRPr="00091438">
        <w:t>ualitative approach to interpreting pre</w:t>
      </w:r>
      <w:r w:rsidR="00CA4365" w:rsidRPr="00091438">
        <w:t>-</w:t>
      </w:r>
      <w:r w:rsidR="004A0B3F" w:rsidRPr="00091438">
        <w:t xml:space="preserve">existing </w:t>
      </w:r>
    </w:p>
    <w:p w14:paraId="747A9E80" w14:textId="7F7CEA58" w:rsidR="00F65727" w:rsidRPr="00091438" w:rsidRDefault="00CA4365" w:rsidP="00655B53">
      <w:pPr>
        <w:contextualSpacing/>
        <w:jc w:val="both"/>
      </w:pPr>
      <w:r w:rsidRPr="00091438">
        <w:t>quantitative</w:t>
      </w:r>
      <w:r w:rsidR="004A0B3F" w:rsidRPr="00091438">
        <w:t xml:space="preserve"> data, both us</w:t>
      </w:r>
      <w:r w:rsidRPr="00091438">
        <w:t>ing</w:t>
      </w:r>
      <w:r w:rsidR="004A0B3F" w:rsidRPr="00091438">
        <w:t xml:space="preserve"> interviews as the</w:t>
      </w:r>
      <w:r w:rsidR="009C3445" w:rsidRPr="00091438">
        <w:t xml:space="preserve">ir method of investigation. </w:t>
      </w:r>
      <w:r w:rsidR="00934E39" w:rsidRPr="00091438">
        <w:t xml:space="preserve">The authors of both papers are guilty of making assumptions about their </w:t>
      </w:r>
      <w:r w:rsidR="00C03F40" w:rsidRPr="00091438">
        <w:t>participants but</w:t>
      </w:r>
      <w:r w:rsidR="00934E39" w:rsidRPr="00091438">
        <w:t xml:space="preserve">, whereas Walter and Waterhouse, provide a firm academic rationale and conceptual framework for their work, these foundations are noticeably lacking from Bennett’s. Ultimately, this leads Bennett to fall back on new data to conclude her piece, </w:t>
      </w:r>
      <w:r w:rsidR="00C03F40" w:rsidRPr="00091438">
        <w:t>whereas</w:t>
      </w:r>
      <w:r w:rsidR="00934E39" w:rsidRPr="00091438">
        <w:t xml:space="preserve"> Walters and Waterhouse are able to refer their findings back to Davie’s work which formed part of the initial academic framework for the study.</w:t>
      </w:r>
    </w:p>
    <w:p w14:paraId="2138617E" w14:textId="1975F104" w:rsidR="00046342" w:rsidRPr="00091438" w:rsidRDefault="007D4736" w:rsidP="00655B53">
      <w:pPr>
        <w:ind w:firstLine="720"/>
        <w:contextualSpacing/>
        <w:jc w:val="both"/>
      </w:pPr>
      <w:r>
        <w:t xml:space="preserve">The </w:t>
      </w:r>
      <w:r w:rsidR="00046342" w:rsidRPr="00091438">
        <w:t>use qualitative methods of investigation</w:t>
      </w:r>
      <w:r>
        <w:t xml:space="preserve"> enables the authors of both piece</w:t>
      </w:r>
      <w:r w:rsidR="000A2DFC">
        <w:t xml:space="preserve">s </w:t>
      </w:r>
      <w:r w:rsidR="00046342" w:rsidRPr="00091438">
        <w:t>to illuminate the findings of the surveys on which they are based</w:t>
      </w:r>
      <w:r w:rsidR="008752A4">
        <w:t>;</w:t>
      </w:r>
      <w:r w:rsidR="00046342" w:rsidRPr="00091438">
        <w:t xml:space="preserve"> not least</w:t>
      </w:r>
      <w:r w:rsidR="008752A4">
        <w:t>,</w:t>
      </w:r>
      <w:r w:rsidR="00046342" w:rsidRPr="00091438">
        <w:t xml:space="preserve"> that non-</w:t>
      </w:r>
      <w:r w:rsidR="00766610" w:rsidRPr="00091438">
        <w:t>conventional</w:t>
      </w:r>
      <w:r w:rsidR="00046342" w:rsidRPr="00091438">
        <w:t xml:space="preserve"> spiritual beliefs can be</w:t>
      </w:r>
      <w:r w:rsidR="00153D47">
        <w:t>,</w:t>
      </w:r>
      <w:r w:rsidR="00046342" w:rsidRPr="00091438">
        <w:t xml:space="preserve"> and are</w:t>
      </w:r>
      <w:r w:rsidR="00153D47">
        <w:t>,</w:t>
      </w:r>
      <w:r w:rsidR="00046342" w:rsidRPr="00091438">
        <w:t xml:space="preserve"> adopted by members of Christian churches. As such they support Partridge</w:t>
      </w:r>
      <w:r w:rsidR="00153D47">
        <w:t>’</w:t>
      </w:r>
      <w:r w:rsidR="00046342" w:rsidRPr="00091438">
        <w:t>s assertion that such beliefs d</w:t>
      </w:r>
      <w:r w:rsidR="00F60BD8">
        <w:t>o</w:t>
      </w:r>
      <w:r w:rsidR="00046342" w:rsidRPr="00091438">
        <w:t xml:space="preserve"> not necessarily constitute a revolution</w:t>
      </w:r>
      <w:r w:rsidR="00A500BA">
        <w:t>,</w:t>
      </w:r>
      <w:r w:rsidR="00046342" w:rsidRPr="00091438">
        <w:t xml:space="preserve"> but that ‘the</w:t>
      </w:r>
      <w:r w:rsidR="004F1D32">
        <w:t>y</w:t>
      </w:r>
      <w:r w:rsidR="00046342" w:rsidRPr="00091438">
        <w:t xml:space="preserve"> tend to be forms of detraditionalized Christian belief’</w:t>
      </w:r>
      <w:r w:rsidR="004F1D32">
        <w:t>.</w:t>
      </w:r>
      <w:r w:rsidR="00046342" w:rsidRPr="00091438">
        <w:rPr>
          <w:vertAlign w:val="superscript"/>
        </w:rPr>
        <w:footnoteReference w:id="50"/>
      </w:r>
      <w:r w:rsidR="00046342" w:rsidRPr="00091438">
        <w:t xml:space="preserve"> </w:t>
      </w:r>
    </w:p>
    <w:p w14:paraId="585F0492" w14:textId="77777777" w:rsidR="00772CDC" w:rsidRPr="00627A69" w:rsidRDefault="00772CDC" w:rsidP="00BF44A7">
      <w:pPr>
        <w:rPr>
          <w:highlight w:val="yellow"/>
        </w:rPr>
      </w:pPr>
      <w:bookmarkStart w:id="20" w:name="_Hlk67335881"/>
    </w:p>
    <w:bookmarkEnd w:id="20"/>
    <w:p w14:paraId="54FC8433" w14:textId="05F9B96F" w:rsidR="00EC34C5" w:rsidRPr="00223C0B" w:rsidRDefault="001D4703" w:rsidP="2AEB3C52">
      <w:pPr>
        <w:rPr>
          <w:b/>
          <w:bCs/>
        </w:rPr>
      </w:pPr>
      <w:r w:rsidRPr="00223C0B">
        <w:rPr>
          <w:b/>
          <w:bCs/>
        </w:rPr>
        <w:t>References</w:t>
      </w:r>
    </w:p>
    <w:p w14:paraId="4C070A59" w14:textId="02E8E520" w:rsidR="00CC3019" w:rsidRPr="00256C03" w:rsidRDefault="00750E48" w:rsidP="00CC3019">
      <w:pPr>
        <w:pStyle w:val="FootnoteText"/>
        <w:rPr>
          <w:sz w:val="22"/>
          <w:szCs w:val="22"/>
        </w:rPr>
      </w:pPr>
      <w:r w:rsidRPr="00256C03">
        <w:rPr>
          <w:sz w:val="22"/>
          <w:szCs w:val="22"/>
        </w:rPr>
        <w:t>Bell</w:t>
      </w:r>
      <w:r>
        <w:rPr>
          <w:sz w:val="22"/>
          <w:szCs w:val="22"/>
        </w:rPr>
        <w:t>,</w:t>
      </w:r>
      <w:r w:rsidRPr="00256C03">
        <w:rPr>
          <w:sz w:val="22"/>
          <w:szCs w:val="22"/>
        </w:rPr>
        <w:t xml:space="preserve"> </w:t>
      </w:r>
      <w:r w:rsidR="00CC3019" w:rsidRPr="00256C03">
        <w:rPr>
          <w:sz w:val="22"/>
          <w:szCs w:val="22"/>
        </w:rPr>
        <w:t xml:space="preserve">Judith and Waters, </w:t>
      </w:r>
      <w:r w:rsidRPr="00256C03">
        <w:rPr>
          <w:sz w:val="22"/>
          <w:szCs w:val="22"/>
        </w:rPr>
        <w:t>Stephen</w:t>
      </w:r>
      <w:r w:rsidR="00881B2D">
        <w:rPr>
          <w:sz w:val="22"/>
          <w:szCs w:val="22"/>
        </w:rPr>
        <w:t>,</w:t>
      </w:r>
      <w:r w:rsidRPr="00256C03">
        <w:rPr>
          <w:sz w:val="22"/>
          <w:szCs w:val="22"/>
        </w:rPr>
        <w:t xml:space="preserve"> </w:t>
      </w:r>
      <w:r w:rsidR="00881B2D">
        <w:rPr>
          <w:sz w:val="22"/>
          <w:szCs w:val="22"/>
        </w:rPr>
        <w:t>‘</w:t>
      </w:r>
      <w:r w:rsidR="00CC3019" w:rsidRPr="00256C03">
        <w:rPr>
          <w:sz w:val="22"/>
          <w:szCs w:val="22"/>
        </w:rPr>
        <w:t xml:space="preserve">Doing Your Research Project: </w:t>
      </w:r>
      <w:r w:rsidR="00D72923">
        <w:rPr>
          <w:sz w:val="22"/>
          <w:szCs w:val="22"/>
        </w:rPr>
        <w:t>A</w:t>
      </w:r>
      <w:r w:rsidR="00CC3019" w:rsidRPr="00256C03">
        <w:rPr>
          <w:sz w:val="22"/>
          <w:szCs w:val="22"/>
        </w:rPr>
        <w:t xml:space="preserve"> Guide for First Time Researchers (London: Open University Press, 2018</w:t>
      </w:r>
      <w:r w:rsidR="00881B2D">
        <w:rPr>
          <w:sz w:val="22"/>
          <w:szCs w:val="22"/>
        </w:rPr>
        <w:t>)</w:t>
      </w:r>
    </w:p>
    <w:p w14:paraId="30A85345" w14:textId="77777777" w:rsidR="00CC3019" w:rsidRPr="00256C03" w:rsidRDefault="00CC3019" w:rsidP="00CC3019">
      <w:pPr>
        <w:pStyle w:val="FootnoteText"/>
        <w:rPr>
          <w:sz w:val="22"/>
          <w:szCs w:val="22"/>
        </w:rPr>
      </w:pPr>
    </w:p>
    <w:p w14:paraId="57B78F12" w14:textId="2C6EFE6B" w:rsidR="0012611C" w:rsidRPr="00256C03" w:rsidRDefault="00D72923" w:rsidP="001D4703">
      <w:pPr>
        <w:rPr>
          <w:rFonts w:ascii="Calibri" w:eastAsia="Calibri" w:hAnsi="Calibri" w:cs="Calibri"/>
          <w:color w:val="000000" w:themeColor="text1"/>
        </w:rPr>
      </w:pPr>
      <w:r w:rsidRPr="00256C03">
        <w:rPr>
          <w:rFonts w:ascii="Calibri" w:eastAsia="Calibri" w:hAnsi="Calibri" w:cs="Calibri"/>
          <w:color w:val="000000" w:themeColor="text1"/>
        </w:rPr>
        <w:t>Bennett</w:t>
      </w:r>
      <w:r>
        <w:rPr>
          <w:rFonts w:ascii="Calibri" w:eastAsia="Calibri" w:hAnsi="Calibri" w:cs="Calibri"/>
          <w:color w:val="000000" w:themeColor="text1"/>
        </w:rPr>
        <w:t>,</w:t>
      </w:r>
      <w:r w:rsidRPr="00256C03">
        <w:rPr>
          <w:rFonts w:ascii="Calibri" w:eastAsia="Calibri" w:hAnsi="Calibri" w:cs="Calibri"/>
          <w:color w:val="000000" w:themeColor="text1"/>
        </w:rPr>
        <w:t xml:space="preserve"> </w:t>
      </w:r>
      <w:r w:rsidR="001D4703" w:rsidRPr="00256C03">
        <w:rPr>
          <w:rFonts w:ascii="Calibri" w:eastAsia="Calibri" w:hAnsi="Calibri" w:cs="Calibri"/>
          <w:color w:val="000000" w:themeColor="text1"/>
        </w:rPr>
        <w:t xml:space="preserve">Gillian, ‘If I Knew You Were Coming, I'd Have Baked a Cake: The Folklore of Foreknowledge in a Neighbourhood Group’ in </w:t>
      </w:r>
      <w:r w:rsidR="001D4703" w:rsidRPr="00D72923">
        <w:rPr>
          <w:rFonts w:ascii="Calibri" w:eastAsia="Calibri" w:hAnsi="Calibri" w:cs="Calibri"/>
          <w:i/>
          <w:iCs/>
          <w:color w:val="000000" w:themeColor="text1"/>
        </w:rPr>
        <w:t>Out of the Ordinary: Folklore and the Supernatural</w:t>
      </w:r>
      <w:r w:rsidR="001D4703" w:rsidRPr="00256C03">
        <w:rPr>
          <w:rFonts w:ascii="Calibri" w:eastAsia="Calibri" w:hAnsi="Calibri" w:cs="Calibri"/>
          <w:color w:val="000000" w:themeColor="text1"/>
        </w:rPr>
        <w:t>, ed by Barbara Walker (Utah State University Press, 1995)</w:t>
      </w:r>
      <w:r w:rsidR="00665BAF">
        <w:rPr>
          <w:rFonts w:ascii="Calibri" w:eastAsia="Calibri" w:hAnsi="Calibri" w:cs="Calibri"/>
          <w:color w:val="000000" w:themeColor="text1"/>
        </w:rPr>
        <w:t xml:space="preserve"> </w:t>
      </w:r>
      <w:r w:rsidR="00665BAF" w:rsidRPr="001D5217">
        <w:rPr>
          <w:rFonts w:ascii="Calibri" w:eastAsia="Calibri" w:hAnsi="Calibri" w:cs="Calibri"/>
          <w:color w:val="000000" w:themeColor="text1"/>
        </w:rPr>
        <w:t>pp.</w:t>
      </w:r>
      <w:r w:rsidR="001D5217">
        <w:rPr>
          <w:rFonts w:ascii="Calibri" w:eastAsia="Calibri" w:hAnsi="Calibri" w:cs="Calibri"/>
          <w:color w:val="000000" w:themeColor="text1"/>
        </w:rPr>
        <w:t xml:space="preserve"> 122-142</w:t>
      </w:r>
    </w:p>
    <w:p w14:paraId="29B40DDE" w14:textId="35659A25" w:rsidR="00A710A8" w:rsidRPr="00256C03" w:rsidRDefault="00665BAF" w:rsidP="001D4703">
      <w:pPr>
        <w:rPr>
          <w:rFonts w:ascii="Calibri" w:eastAsia="Calibri" w:hAnsi="Calibri" w:cs="Calibri"/>
          <w:color w:val="000000" w:themeColor="text1"/>
        </w:rPr>
      </w:pPr>
      <w:r w:rsidRPr="00256C03">
        <w:t>Henni</w:t>
      </w:r>
      <w:r>
        <w:t>n</w:t>
      </w:r>
      <w:r w:rsidRPr="00256C03">
        <w:t>k</w:t>
      </w:r>
      <w:r>
        <w:t>,</w:t>
      </w:r>
      <w:r w:rsidRPr="00256C03">
        <w:t xml:space="preserve"> </w:t>
      </w:r>
      <w:r w:rsidR="00A710A8" w:rsidRPr="00256C03">
        <w:t>Monique</w:t>
      </w:r>
      <w:r w:rsidR="00721FE0">
        <w:t>;</w:t>
      </w:r>
      <w:r w:rsidR="00A710A8" w:rsidRPr="00256C03">
        <w:t xml:space="preserve"> </w:t>
      </w:r>
      <w:r w:rsidR="00721FE0" w:rsidRPr="00256C03">
        <w:t>Hutter</w:t>
      </w:r>
      <w:r w:rsidR="00721FE0">
        <w:t>,</w:t>
      </w:r>
      <w:r w:rsidR="00721FE0" w:rsidRPr="00256C03">
        <w:t xml:space="preserve"> </w:t>
      </w:r>
      <w:r w:rsidR="00A710A8" w:rsidRPr="00256C03">
        <w:t xml:space="preserve">Inge and </w:t>
      </w:r>
      <w:r w:rsidR="00721FE0" w:rsidRPr="00256C03">
        <w:t>Bailey</w:t>
      </w:r>
      <w:r w:rsidR="00721FE0">
        <w:t>,</w:t>
      </w:r>
      <w:r w:rsidR="00721FE0" w:rsidRPr="00256C03">
        <w:t xml:space="preserve"> </w:t>
      </w:r>
      <w:r w:rsidR="00A710A8" w:rsidRPr="00256C03">
        <w:t xml:space="preserve">Ajay, </w:t>
      </w:r>
      <w:r w:rsidR="00721FE0">
        <w:t>‘</w:t>
      </w:r>
      <w:r w:rsidR="00A710A8" w:rsidRPr="00256C03">
        <w:t>Qualitative Research Methods</w:t>
      </w:r>
      <w:r w:rsidR="00721FE0">
        <w:t>’</w:t>
      </w:r>
      <w:r w:rsidR="00A710A8" w:rsidRPr="00256C03">
        <w:t xml:space="preserve"> (London: Sage, 2020)</w:t>
      </w:r>
    </w:p>
    <w:p w14:paraId="17EACCBB" w14:textId="005694FD" w:rsidR="005B20D4" w:rsidRPr="00256C03" w:rsidRDefault="00721FE0" w:rsidP="005B20D4">
      <w:pPr>
        <w:pStyle w:val="FootnoteText"/>
        <w:rPr>
          <w:sz w:val="22"/>
          <w:szCs w:val="22"/>
        </w:rPr>
      </w:pPr>
      <w:r w:rsidRPr="00256C03">
        <w:rPr>
          <w:sz w:val="22"/>
          <w:szCs w:val="22"/>
        </w:rPr>
        <w:t>Kousaleos</w:t>
      </w:r>
      <w:r>
        <w:rPr>
          <w:sz w:val="22"/>
          <w:szCs w:val="22"/>
        </w:rPr>
        <w:t>,</w:t>
      </w:r>
      <w:r w:rsidRPr="00256C03">
        <w:rPr>
          <w:sz w:val="22"/>
          <w:szCs w:val="22"/>
        </w:rPr>
        <w:t xml:space="preserve"> </w:t>
      </w:r>
      <w:r w:rsidR="005B20D4" w:rsidRPr="00256C03">
        <w:rPr>
          <w:sz w:val="22"/>
          <w:szCs w:val="22"/>
        </w:rPr>
        <w:t xml:space="preserve">Nicole, ‘Feminist Theory and Folklore’, </w:t>
      </w:r>
      <w:r w:rsidR="005B20D4" w:rsidRPr="00256C03">
        <w:rPr>
          <w:i/>
          <w:iCs/>
          <w:sz w:val="22"/>
          <w:szCs w:val="22"/>
        </w:rPr>
        <w:t>Folklore Forum</w:t>
      </w:r>
      <w:r w:rsidR="005B20D4" w:rsidRPr="00256C03">
        <w:rPr>
          <w:sz w:val="22"/>
          <w:szCs w:val="22"/>
        </w:rPr>
        <w:t>, Vol 30, No 112 (1999), pp. 19-34</w:t>
      </w:r>
    </w:p>
    <w:p w14:paraId="0D20CA59" w14:textId="037AE7EC" w:rsidR="00A479BA" w:rsidRPr="00256C03" w:rsidRDefault="00CC51D5" w:rsidP="00A479BA">
      <w:pPr>
        <w:rPr>
          <w:rFonts w:ascii="Calibri" w:eastAsia="Calibri" w:hAnsi="Calibri" w:cs="Calibri"/>
          <w:color w:val="000000" w:themeColor="text1"/>
        </w:rPr>
      </w:pPr>
      <w:r>
        <w:rPr>
          <w:rFonts w:ascii="Calibri" w:eastAsia="Calibri" w:hAnsi="Calibri" w:cs="Calibri"/>
          <w:color w:val="000000" w:themeColor="text1"/>
        </w:rPr>
        <w:br/>
      </w:r>
      <w:r w:rsidR="00721FE0" w:rsidRPr="00256C03">
        <w:rPr>
          <w:rFonts w:ascii="Calibri" w:eastAsia="Calibri" w:hAnsi="Calibri" w:cs="Calibri"/>
          <w:color w:val="000000" w:themeColor="text1"/>
        </w:rPr>
        <w:t>Partridge</w:t>
      </w:r>
      <w:r w:rsidR="00721FE0">
        <w:rPr>
          <w:rFonts w:ascii="Calibri" w:eastAsia="Calibri" w:hAnsi="Calibri" w:cs="Calibri"/>
          <w:color w:val="000000" w:themeColor="text1"/>
        </w:rPr>
        <w:t>,</w:t>
      </w:r>
      <w:r w:rsidR="00721FE0" w:rsidRPr="00256C03">
        <w:rPr>
          <w:rFonts w:ascii="Calibri" w:eastAsia="Calibri" w:hAnsi="Calibri" w:cs="Calibri"/>
          <w:color w:val="000000" w:themeColor="text1"/>
        </w:rPr>
        <w:t xml:space="preserve"> </w:t>
      </w:r>
      <w:r w:rsidR="00A479BA" w:rsidRPr="00256C03">
        <w:rPr>
          <w:rFonts w:ascii="Calibri" w:eastAsia="Calibri" w:hAnsi="Calibri" w:cs="Calibri"/>
          <w:color w:val="000000" w:themeColor="text1"/>
        </w:rPr>
        <w:t>Christopher, ‘The Re-Enchantment of the West, Vol II: Alternative Spiritualities, Sacralization, Popular Culture and Occulture</w:t>
      </w:r>
      <w:r w:rsidR="00523B57" w:rsidRPr="00256C03">
        <w:rPr>
          <w:rFonts w:ascii="Calibri" w:eastAsia="Calibri" w:hAnsi="Calibri" w:cs="Calibri"/>
          <w:color w:val="000000" w:themeColor="text1"/>
        </w:rPr>
        <w:t>’ (</w:t>
      </w:r>
      <w:r w:rsidR="00A479BA" w:rsidRPr="00256C03">
        <w:rPr>
          <w:rFonts w:ascii="Calibri" w:eastAsia="Calibri" w:hAnsi="Calibri" w:cs="Calibri"/>
          <w:color w:val="000000" w:themeColor="text1"/>
        </w:rPr>
        <w:t>London: T &amp; T Clark International, 2005</w:t>
      </w:r>
      <w:r w:rsidR="00721FE0">
        <w:rPr>
          <w:rFonts w:ascii="Calibri" w:eastAsia="Calibri" w:hAnsi="Calibri" w:cs="Calibri"/>
          <w:color w:val="000000" w:themeColor="text1"/>
        </w:rPr>
        <w:t>)</w:t>
      </w:r>
    </w:p>
    <w:p w14:paraId="78317D71" w14:textId="6FA8CB37" w:rsidR="00CC51D5" w:rsidRPr="00256C03" w:rsidRDefault="00721FE0" w:rsidP="00CC51D5">
      <w:pPr>
        <w:pStyle w:val="FootnoteText"/>
        <w:rPr>
          <w:sz w:val="22"/>
          <w:szCs w:val="22"/>
        </w:rPr>
      </w:pPr>
      <w:r w:rsidRPr="00256C03">
        <w:rPr>
          <w:sz w:val="22"/>
          <w:szCs w:val="22"/>
        </w:rPr>
        <w:t>Stahl</w:t>
      </w:r>
      <w:r>
        <w:rPr>
          <w:sz w:val="22"/>
          <w:szCs w:val="22"/>
        </w:rPr>
        <w:t>,</w:t>
      </w:r>
      <w:r w:rsidRPr="00256C03">
        <w:rPr>
          <w:sz w:val="22"/>
          <w:szCs w:val="22"/>
        </w:rPr>
        <w:t xml:space="preserve"> </w:t>
      </w:r>
      <w:r w:rsidR="00CC51D5" w:rsidRPr="00256C03">
        <w:rPr>
          <w:sz w:val="22"/>
          <w:szCs w:val="22"/>
        </w:rPr>
        <w:t xml:space="preserve">Sandra K. D., ‘The Personal Narrative as Folklore’, </w:t>
      </w:r>
      <w:r w:rsidR="00CC51D5" w:rsidRPr="00256C03">
        <w:rPr>
          <w:i/>
          <w:iCs/>
          <w:sz w:val="22"/>
          <w:szCs w:val="22"/>
        </w:rPr>
        <w:t>Journal of the Folklore Institute</w:t>
      </w:r>
      <w:r w:rsidR="00CC51D5" w:rsidRPr="00256C03">
        <w:rPr>
          <w:sz w:val="22"/>
          <w:szCs w:val="22"/>
        </w:rPr>
        <w:t>, Vol 14, No. 1/2 (1977), pp. 9-30.</w:t>
      </w:r>
    </w:p>
    <w:p w14:paraId="0B001ADA" w14:textId="2B837A60" w:rsidR="00CC3019" w:rsidRPr="00256C03" w:rsidRDefault="00CC51D5" w:rsidP="00CC3019">
      <w:pPr>
        <w:rPr>
          <w:rFonts w:ascii="Calibri" w:eastAsia="Calibri" w:hAnsi="Calibri" w:cs="Calibri"/>
          <w:color w:val="000000" w:themeColor="text1"/>
        </w:rPr>
      </w:pPr>
      <w:r>
        <w:rPr>
          <w:rFonts w:ascii="Calibri" w:eastAsia="Calibri" w:hAnsi="Calibri" w:cs="Calibri"/>
          <w:color w:val="000000" w:themeColor="text1"/>
        </w:rPr>
        <w:br/>
      </w:r>
      <w:r w:rsidR="00721FE0" w:rsidRPr="00256C03">
        <w:rPr>
          <w:rFonts w:ascii="Calibri" w:eastAsia="Calibri" w:hAnsi="Calibri" w:cs="Calibri"/>
          <w:color w:val="000000" w:themeColor="text1"/>
        </w:rPr>
        <w:t>Walter</w:t>
      </w:r>
      <w:r w:rsidR="00721FE0">
        <w:rPr>
          <w:rFonts w:ascii="Calibri" w:eastAsia="Calibri" w:hAnsi="Calibri" w:cs="Calibri"/>
          <w:color w:val="000000" w:themeColor="text1"/>
        </w:rPr>
        <w:t>,</w:t>
      </w:r>
      <w:r w:rsidR="00721FE0" w:rsidRPr="00256C03">
        <w:rPr>
          <w:rFonts w:ascii="Calibri" w:eastAsia="Calibri" w:hAnsi="Calibri" w:cs="Calibri"/>
          <w:color w:val="000000" w:themeColor="text1"/>
        </w:rPr>
        <w:t xml:space="preserve"> </w:t>
      </w:r>
      <w:r w:rsidR="00CC3019" w:rsidRPr="00256C03">
        <w:rPr>
          <w:rFonts w:ascii="Calibri" w:eastAsia="Calibri" w:hAnsi="Calibri" w:cs="Calibri"/>
          <w:color w:val="000000" w:themeColor="text1"/>
        </w:rPr>
        <w:t xml:space="preserve">Tony and </w:t>
      </w:r>
      <w:r w:rsidR="00721FE0" w:rsidRPr="00256C03">
        <w:rPr>
          <w:rFonts w:ascii="Calibri" w:eastAsia="Calibri" w:hAnsi="Calibri" w:cs="Calibri"/>
          <w:color w:val="000000" w:themeColor="text1"/>
        </w:rPr>
        <w:t>Waterhouse</w:t>
      </w:r>
      <w:r w:rsidR="00721FE0">
        <w:rPr>
          <w:rFonts w:ascii="Calibri" w:eastAsia="Calibri" w:hAnsi="Calibri" w:cs="Calibri"/>
          <w:color w:val="000000" w:themeColor="text1"/>
        </w:rPr>
        <w:t>,</w:t>
      </w:r>
      <w:r w:rsidR="00721FE0" w:rsidRPr="00256C03">
        <w:rPr>
          <w:rFonts w:ascii="Calibri" w:eastAsia="Calibri" w:hAnsi="Calibri" w:cs="Calibri"/>
          <w:color w:val="000000" w:themeColor="text1"/>
        </w:rPr>
        <w:t xml:space="preserve"> </w:t>
      </w:r>
      <w:r w:rsidR="00CC3019" w:rsidRPr="00256C03">
        <w:rPr>
          <w:rFonts w:ascii="Calibri" w:eastAsia="Calibri" w:hAnsi="Calibri" w:cs="Calibri"/>
          <w:color w:val="000000" w:themeColor="text1"/>
        </w:rPr>
        <w:t xml:space="preserve">Helen, ‘A Very Private Belief: Reincarnation in Contemporary England’, </w:t>
      </w:r>
      <w:r w:rsidR="00CC3019" w:rsidRPr="00721FE0">
        <w:rPr>
          <w:rFonts w:ascii="Calibri" w:eastAsia="Calibri" w:hAnsi="Calibri" w:cs="Calibri"/>
          <w:i/>
          <w:iCs/>
          <w:color w:val="000000" w:themeColor="text1"/>
        </w:rPr>
        <w:t>Sociology of Religion</w:t>
      </w:r>
      <w:r w:rsidR="00CC3019" w:rsidRPr="00256C03">
        <w:rPr>
          <w:rFonts w:ascii="Calibri" w:eastAsia="Calibri" w:hAnsi="Calibri" w:cs="Calibri"/>
          <w:color w:val="000000" w:themeColor="text1"/>
        </w:rPr>
        <w:t xml:space="preserve">, Vol 60 No 2 (1999), pp.187-197 </w:t>
      </w:r>
    </w:p>
    <w:p w14:paraId="31D3DBF5" w14:textId="77777777" w:rsidR="00BB07FA" w:rsidRDefault="00BB07FA" w:rsidP="2AEB3C52">
      <w:pPr>
        <w:rPr>
          <w:rFonts w:ascii="Calibri" w:eastAsia="Calibri" w:hAnsi="Calibri" w:cs="Calibri"/>
          <w:color w:val="000000" w:themeColor="text1"/>
        </w:rPr>
      </w:pPr>
    </w:p>
    <w:p w14:paraId="75B9613D" w14:textId="15F34289" w:rsidR="000D694D" w:rsidRDefault="000D694D" w:rsidP="2AEB3C52">
      <w:pPr>
        <w:rPr>
          <w:rFonts w:ascii="Calibri" w:eastAsia="Calibri" w:hAnsi="Calibri" w:cs="Calibri"/>
          <w:color w:val="000000" w:themeColor="text1"/>
        </w:rPr>
      </w:pPr>
    </w:p>
    <w:sectPr w:rsidR="000D694D">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3791F4" w14:textId="77777777" w:rsidR="002E33F0" w:rsidRDefault="002E33F0">
      <w:pPr>
        <w:spacing w:after="0" w:line="240" w:lineRule="auto"/>
      </w:pPr>
      <w:r>
        <w:separator/>
      </w:r>
    </w:p>
  </w:endnote>
  <w:endnote w:type="continuationSeparator" w:id="0">
    <w:p w14:paraId="086E3C01" w14:textId="77777777" w:rsidR="002E33F0" w:rsidRDefault="002E33F0">
      <w:pPr>
        <w:spacing w:after="0" w:line="240" w:lineRule="auto"/>
      </w:pPr>
      <w:r>
        <w:continuationSeparator/>
      </w:r>
    </w:p>
  </w:endnote>
  <w:endnote w:type="continuationNotice" w:id="1">
    <w:p w14:paraId="1EEC37FE" w14:textId="77777777" w:rsidR="002E33F0" w:rsidRDefault="002E33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E9000E" w14:textId="77777777" w:rsidR="002E33F0" w:rsidRDefault="002E33F0">
      <w:pPr>
        <w:spacing w:after="0" w:line="240" w:lineRule="auto"/>
      </w:pPr>
      <w:r>
        <w:separator/>
      </w:r>
    </w:p>
  </w:footnote>
  <w:footnote w:type="continuationSeparator" w:id="0">
    <w:p w14:paraId="5DE59AFC" w14:textId="77777777" w:rsidR="002E33F0" w:rsidRDefault="002E33F0">
      <w:pPr>
        <w:spacing w:after="0" w:line="240" w:lineRule="auto"/>
      </w:pPr>
      <w:r>
        <w:continuationSeparator/>
      </w:r>
    </w:p>
  </w:footnote>
  <w:footnote w:type="continuationNotice" w:id="1">
    <w:p w14:paraId="21D8B9BC" w14:textId="77777777" w:rsidR="002E33F0" w:rsidRDefault="002E33F0">
      <w:pPr>
        <w:spacing w:after="0" w:line="240" w:lineRule="auto"/>
      </w:pPr>
    </w:p>
  </w:footnote>
  <w:footnote w:id="2">
    <w:p w14:paraId="2CE2AB6D" w14:textId="77777777" w:rsidR="001E2FE0" w:rsidRDefault="00A3453D" w:rsidP="00A3453D">
      <w:pPr>
        <w:pStyle w:val="FootnoteText"/>
      </w:pPr>
      <w:r w:rsidRPr="2AEB3C52">
        <w:rPr>
          <w:rStyle w:val="FootnoteReference"/>
        </w:rPr>
        <w:footnoteRef/>
      </w:r>
      <w:r>
        <w:t xml:space="preserve"> Tony Walter and Helen Waterhouse, ‘A Very Private Belief: Reincarnation in Contemporary England’, </w:t>
      </w:r>
    </w:p>
    <w:p w14:paraId="497F5865" w14:textId="17FEA40E" w:rsidR="00A3453D" w:rsidRDefault="00A3453D" w:rsidP="00A3453D">
      <w:pPr>
        <w:pStyle w:val="FootnoteText"/>
      </w:pPr>
      <w:r w:rsidRPr="2AEB3C52">
        <w:rPr>
          <w:i/>
          <w:iCs/>
        </w:rPr>
        <w:t>Sociology of Religion</w:t>
      </w:r>
      <w:r>
        <w:t>, Vol 60 No 2 (1999), pp.187-197</w:t>
      </w:r>
      <w:r w:rsidR="00E72481">
        <w:t xml:space="preserve"> </w:t>
      </w:r>
      <w:r w:rsidR="00DD39D4">
        <w:t>[hereafter Walter and Waterhouse</w:t>
      </w:r>
      <w:r w:rsidR="00063CAA">
        <w:t xml:space="preserve">]; </w:t>
      </w:r>
      <w:r w:rsidR="00063CAA" w:rsidRPr="00063CAA">
        <w:t>Gillian Bennett</w:t>
      </w:r>
      <w:r w:rsidR="00063CAA">
        <w:t>,</w:t>
      </w:r>
      <w:r w:rsidR="00063CAA" w:rsidRPr="00063CAA">
        <w:t xml:space="preserve"> ‘If I Knew You Were Coming, I'd Have Baked a Cake: The Folklore of Foreknowledge in a Neighbourhood Group’ </w:t>
      </w:r>
      <w:r w:rsidR="000F3912">
        <w:t xml:space="preserve">in </w:t>
      </w:r>
      <w:r w:rsidR="000F3912" w:rsidRPr="00B0129F">
        <w:rPr>
          <w:i/>
          <w:iCs/>
        </w:rPr>
        <w:t xml:space="preserve">Out of the Ordinary: </w:t>
      </w:r>
      <w:r w:rsidR="00654B5A" w:rsidRPr="00B0129F">
        <w:rPr>
          <w:i/>
          <w:iCs/>
        </w:rPr>
        <w:t>Folklore and the Supernatural</w:t>
      </w:r>
      <w:r w:rsidR="00586422">
        <w:t>, ed by</w:t>
      </w:r>
      <w:r w:rsidR="00B344C0">
        <w:t xml:space="preserve"> Barbara Walker (</w:t>
      </w:r>
      <w:r w:rsidR="00CD4D8B">
        <w:t>Utah State University Press, 1995)</w:t>
      </w:r>
      <w:r w:rsidR="0003461F">
        <w:t>, pp</w:t>
      </w:r>
      <w:r w:rsidR="00277D30">
        <w:t>. 122-142</w:t>
      </w:r>
      <w:r w:rsidR="00CD4D8B">
        <w:t xml:space="preserve"> [hereafter </w:t>
      </w:r>
      <w:r w:rsidR="00CB24B1">
        <w:t>Bennett, Baked a Cake]</w:t>
      </w:r>
    </w:p>
  </w:footnote>
  <w:footnote w:id="3">
    <w:p w14:paraId="135FC6F0" w14:textId="00C87E8C" w:rsidR="00E05D2D" w:rsidRDefault="00E05D2D">
      <w:pPr>
        <w:pStyle w:val="FootnoteText"/>
      </w:pPr>
      <w:r>
        <w:rPr>
          <w:rStyle w:val="FootnoteReference"/>
        </w:rPr>
        <w:footnoteRef/>
      </w:r>
      <w:r>
        <w:t xml:space="preserve"> Walter and Waterhouse, p</w:t>
      </w:r>
      <w:r w:rsidR="00A64462">
        <w:t xml:space="preserve"> </w:t>
      </w:r>
      <w:r>
        <w:t>187</w:t>
      </w:r>
    </w:p>
  </w:footnote>
  <w:footnote w:id="4">
    <w:p w14:paraId="31C8955A" w14:textId="4F4AB9D8" w:rsidR="00A64462" w:rsidRDefault="00A64462">
      <w:pPr>
        <w:pStyle w:val="FootnoteText"/>
      </w:pPr>
      <w:r>
        <w:rPr>
          <w:rStyle w:val="FootnoteReference"/>
        </w:rPr>
        <w:footnoteRef/>
      </w:r>
      <w:r>
        <w:t xml:space="preserve"> Walter and Waterhouse, p 188</w:t>
      </w:r>
    </w:p>
  </w:footnote>
  <w:footnote w:id="5">
    <w:p w14:paraId="55C0D376" w14:textId="7408AB4A" w:rsidR="00CB59E3" w:rsidRDefault="00CB59E3">
      <w:pPr>
        <w:pStyle w:val="FootnoteText"/>
      </w:pPr>
      <w:r>
        <w:rPr>
          <w:rStyle w:val="FootnoteReference"/>
        </w:rPr>
        <w:footnoteRef/>
      </w:r>
      <w:r>
        <w:t xml:space="preserve"> Walter and Waterhouse, p 188</w:t>
      </w:r>
    </w:p>
  </w:footnote>
  <w:footnote w:id="6">
    <w:p w14:paraId="66C91FEE" w14:textId="3EB9E7D9" w:rsidR="0045007F" w:rsidRDefault="0045007F">
      <w:pPr>
        <w:pStyle w:val="FootnoteText"/>
      </w:pPr>
      <w:r>
        <w:rPr>
          <w:rStyle w:val="FootnoteReference"/>
        </w:rPr>
        <w:footnoteRef/>
      </w:r>
      <w:r>
        <w:t xml:space="preserve"> Bennett, Baked a Cake</w:t>
      </w:r>
      <w:r w:rsidR="0030371F">
        <w:t>, pp 122-124</w:t>
      </w:r>
    </w:p>
  </w:footnote>
  <w:footnote w:id="7">
    <w:p w14:paraId="4840979C" w14:textId="2B71912B" w:rsidR="00C35858" w:rsidRDefault="00C35858">
      <w:pPr>
        <w:pStyle w:val="FootnoteText"/>
      </w:pPr>
      <w:r>
        <w:rPr>
          <w:rStyle w:val="FootnoteReference"/>
        </w:rPr>
        <w:footnoteRef/>
      </w:r>
      <w:r>
        <w:t xml:space="preserve"> </w:t>
      </w:r>
      <w:r w:rsidR="00090CC9">
        <w:t>Bennett, Baked a Cake</w:t>
      </w:r>
      <w:r w:rsidR="00AE0573">
        <w:t>,</w:t>
      </w:r>
      <w:r w:rsidR="00090CC9">
        <w:t xml:space="preserve"> p 124</w:t>
      </w:r>
    </w:p>
  </w:footnote>
  <w:footnote w:id="8">
    <w:p w14:paraId="234B9FD7" w14:textId="1FA212A0" w:rsidR="00672067" w:rsidRDefault="00672067">
      <w:pPr>
        <w:pStyle w:val="FootnoteText"/>
      </w:pPr>
      <w:r>
        <w:rPr>
          <w:rStyle w:val="FootnoteReference"/>
        </w:rPr>
        <w:footnoteRef/>
      </w:r>
      <w:r>
        <w:t xml:space="preserve"> </w:t>
      </w:r>
      <w:bookmarkStart w:id="7" w:name="_Hlk67577379"/>
      <w:r w:rsidR="001F6652">
        <w:t>Walter and Water</w:t>
      </w:r>
      <w:r w:rsidR="00C3521B">
        <w:t>h</w:t>
      </w:r>
      <w:r w:rsidR="001F6652">
        <w:t>ouse, p 189</w:t>
      </w:r>
      <w:bookmarkEnd w:id="7"/>
    </w:p>
  </w:footnote>
  <w:footnote w:id="9">
    <w:p w14:paraId="4A8FC279" w14:textId="0BD4B7DF" w:rsidR="0093344A" w:rsidRDefault="0093344A">
      <w:pPr>
        <w:pStyle w:val="FootnoteText"/>
      </w:pPr>
      <w:r>
        <w:rPr>
          <w:rStyle w:val="FootnoteReference"/>
        </w:rPr>
        <w:footnoteRef/>
      </w:r>
      <w:r>
        <w:t xml:space="preserve"> </w:t>
      </w:r>
      <w:r w:rsidRPr="0093344A">
        <w:t>Walter and Waterhouse, p 189</w:t>
      </w:r>
    </w:p>
  </w:footnote>
  <w:footnote w:id="10">
    <w:p w14:paraId="2EB917D8" w14:textId="5B06840B" w:rsidR="00C3521B" w:rsidRDefault="00C3521B">
      <w:pPr>
        <w:pStyle w:val="FootnoteText"/>
      </w:pPr>
      <w:r>
        <w:rPr>
          <w:rStyle w:val="FootnoteReference"/>
        </w:rPr>
        <w:footnoteRef/>
      </w:r>
      <w:r>
        <w:t xml:space="preserve"> Walter and Waterhouse, p 190</w:t>
      </w:r>
    </w:p>
  </w:footnote>
  <w:footnote w:id="11">
    <w:p w14:paraId="27680972" w14:textId="6CE52EC4" w:rsidR="00854FB4" w:rsidRDefault="00854FB4">
      <w:pPr>
        <w:pStyle w:val="FootnoteText"/>
      </w:pPr>
      <w:r>
        <w:rPr>
          <w:rStyle w:val="FootnoteReference"/>
        </w:rPr>
        <w:footnoteRef/>
      </w:r>
      <w:r>
        <w:t xml:space="preserve"> Judith Bell and Stephen Waters, </w:t>
      </w:r>
      <w:r w:rsidR="005908BD">
        <w:t xml:space="preserve">Doing Your Research Project: </w:t>
      </w:r>
      <w:r w:rsidR="00523B57">
        <w:t>A</w:t>
      </w:r>
      <w:r w:rsidR="005908BD">
        <w:t xml:space="preserve"> Guide for First Time Researchers (</w:t>
      </w:r>
      <w:r w:rsidR="00A032FD">
        <w:t xml:space="preserve">London: Open University </w:t>
      </w:r>
      <w:r w:rsidR="005B20D4">
        <w:t>P</w:t>
      </w:r>
      <w:r w:rsidR="00A032FD">
        <w:t xml:space="preserve">ress, </w:t>
      </w:r>
      <w:r w:rsidR="005B20D4">
        <w:t>2018</w:t>
      </w:r>
      <w:r w:rsidR="00340D6B">
        <w:t xml:space="preserve"> [hereafter Bell and Waters</w:t>
      </w:r>
      <w:r w:rsidR="008E3978">
        <w:t>]</w:t>
      </w:r>
      <w:r w:rsidR="005B20D4">
        <w:t xml:space="preserve"> p 126</w:t>
      </w:r>
    </w:p>
  </w:footnote>
  <w:footnote w:id="12">
    <w:p w14:paraId="78D43455" w14:textId="3E14F080" w:rsidR="0072371E" w:rsidRDefault="0072371E">
      <w:pPr>
        <w:pStyle w:val="FootnoteText"/>
      </w:pPr>
      <w:r>
        <w:rPr>
          <w:rStyle w:val="FootnoteReference"/>
        </w:rPr>
        <w:footnoteRef/>
      </w:r>
      <w:r>
        <w:t xml:space="preserve"> Bennet</w:t>
      </w:r>
      <w:r w:rsidR="00BC21C4">
        <w:t>t</w:t>
      </w:r>
      <w:r>
        <w:t>, Baked a Cake</w:t>
      </w:r>
      <w:r w:rsidR="00C22576">
        <w:t xml:space="preserve">, p </w:t>
      </w:r>
      <w:r w:rsidR="008930F4">
        <w:t>136</w:t>
      </w:r>
    </w:p>
  </w:footnote>
  <w:footnote w:id="13">
    <w:p w14:paraId="761CD7AB" w14:textId="1BE7F53B" w:rsidR="00710550" w:rsidRDefault="00710550">
      <w:pPr>
        <w:pStyle w:val="FootnoteText"/>
      </w:pPr>
      <w:r>
        <w:rPr>
          <w:rStyle w:val="FootnoteReference"/>
        </w:rPr>
        <w:footnoteRef/>
      </w:r>
      <w:r>
        <w:t xml:space="preserve"> </w:t>
      </w:r>
      <w:r w:rsidRPr="00710550">
        <w:t>Sandra K. D. Stahl</w:t>
      </w:r>
      <w:r>
        <w:t>, ‘</w:t>
      </w:r>
      <w:r w:rsidR="00CA25AF" w:rsidRPr="00CA25AF">
        <w:t>The Personal Narrative as Folklore</w:t>
      </w:r>
      <w:r w:rsidR="00CA25AF">
        <w:t xml:space="preserve">’, </w:t>
      </w:r>
      <w:r w:rsidR="00424130" w:rsidRPr="00424130">
        <w:rPr>
          <w:i/>
          <w:iCs/>
        </w:rPr>
        <w:t>Journal of the Folklore Institute</w:t>
      </w:r>
      <w:r w:rsidR="000E0955">
        <w:t xml:space="preserve">, Vol </w:t>
      </w:r>
      <w:r w:rsidR="00424130" w:rsidRPr="00424130">
        <w:t xml:space="preserve">14, </w:t>
      </w:r>
      <w:r w:rsidR="000E0955">
        <w:t>N</w:t>
      </w:r>
      <w:r w:rsidR="00424130" w:rsidRPr="00424130">
        <w:t>o. 1/2 (1977)</w:t>
      </w:r>
      <w:r w:rsidR="000E0955">
        <w:t>, pp.</w:t>
      </w:r>
      <w:r w:rsidR="00424130" w:rsidRPr="00424130">
        <w:t xml:space="preserve"> 9-30.</w:t>
      </w:r>
    </w:p>
  </w:footnote>
  <w:footnote w:id="14">
    <w:p w14:paraId="32D1AF98" w14:textId="2E9EB14D" w:rsidR="00F76AA7" w:rsidRDefault="00F76AA7">
      <w:pPr>
        <w:pStyle w:val="FootnoteText"/>
      </w:pPr>
      <w:r>
        <w:rPr>
          <w:rStyle w:val="FootnoteReference"/>
        </w:rPr>
        <w:footnoteRef/>
      </w:r>
      <w:r>
        <w:t xml:space="preserve"> </w:t>
      </w:r>
      <w:r w:rsidR="005F3F3C" w:rsidRPr="005F3F3C">
        <w:t xml:space="preserve">Nicole </w:t>
      </w:r>
      <w:bookmarkStart w:id="8" w:name="_Hlk67316761"/>
      <w:r w:rsidR="005F3F3C" w:rsidRPr="005F3F3C">
        <w:t>Kousaleos</w:t>
      </w:r>
      <w:bookmarkEnd w:id="8"/>
      <w:r w:rsidR="005F3F3C">
        <w:t xml:space="preserve">, </w:t>
      </w:r>
      <w:r w:rsidR="00954FFE">
        <w:t>‘</w:t>
      </w:r>
      <w:r w:rsidR="005F3F3C" w:rsidRPr="005F3F3C">
        <w:t>Feminist Theory and Folklore</w:t>
      </w:r>
      <w:r w:rsidR="00954FFE">
        <w:t xml:space="preserve">’, </w:t>
      </w:r>
      <w:r w:rsidR="00EF4EF8" w:rsidRPr="00F31D68">
        <w:rPr>
          <w:i/>
          <w:iCs/>
        </w:rPr>
        <w:t>Folklore Forum</w:t>
      </w:r>
      <w:r w:rsidR="00F31D68">
        <w:t>,</w:t>
      </w:r>
      <w:r w:rsidR="00EF4EF8" w:rsidRPr="00EF4EF8">
        <w:t xml:space="preserve"> </w:t>
      </w:r>
      <w:r w:rsidR="00F31D68">
        <w:t xml:space="preserve">Vol </w:t>
      </w:r>
      <w:r w:rsidR="00EF4EF8" w:rsidRPr="00EF4EF8">
        <w:t>30</w:t>
      </w:r>
      <w:r w:rsidR="00F31D68">
        <w:t>, No</w:t>
      </w:r>
      <w:r w:rsidR="00EF4EF8" w:rsidRPr="00EF4EF8">
        <w:t xml:space="preserve"> 112 (1999</w:t>
      </w:r>
      <w:r w:rsidR="00381D78">
        <w:t>), pp. 19-34</w:t>
      </w:r>
      <w:r w:rsidR="00191966">
        <w:t xml:space="preserve">; </w:t>
      </w:r>
      <w:bookmarkStart w:id="9" w:name="_Hlk67318379"/>
      <w:bookmarkStart w:id="10" w:name="_Hlk67319065"/>
      <w:r w:rsidR="00191966">
        <w:t>Monique Henni</w:t>
      </w:r>
      <w:r w:rsidR="002A273C">
        <w:t>n</w:t>
      </w:r>
      <w:r w:rsidR="00191966">
        <w:t>k</w:t>
      </w:r>
      <w:r w:rsidR="00A710A8">
        <w:t xml:space="preserve"> et al., </w:t>
      </w:r>
      <w:r w:rsidR="00D64025" w:rsidRPr="00A710A8">
        <w:rPr>
          <w:i/>
          <w:iCs/>
        </w:rPr>
        <w:t>Qualitative Research Methods</w:t>
      </w:r>
      <w:r w:rsidR="001B146B">
        <w:t>, (London: Sage, 2020)</w:t>
      </w:r>
      <w:r w:rsidR="00417EF7">
        <w:t xml:space="preserve"> [hereafter Henni</w:t>
      </w:r>
      <w:r w:rsidR="002A273C">
        <w:t>n</w:t>
      </w:r>
      <w:r w:rsidR="00417EF7">
        <w:t>k et al.</w:t>
      </w:r>
      <w:r w:rsidR="00E15A12">
        <w:t>],</w:t>
      </w:r>
      <w:r w:rsidR="001B146B">
        <w:t xml:space="preserve"> </w:t>
      </w:r>
      <w:bookmarkEnd w:id="9"/>
      <w:r w:rsidR="001B146B">
        <w:t>p</w:t>
      </w:r>
      <w:r w:rsidR="002537BF">
        <w:t xml:space="preserve"> 36</w:t>
      </w:r>
    </w:p>
    <w:bookmarkEnd w:id="10"/>
  </w:footnote>
  <w:footnote w:id="15">
    <w:p w14:paraId="5FA13EFC" w14:textId="385FCAC0" w:rsidR="00165362" w:rsidRDefault="00165362" w:rsidP="00165362">
      <w:pPr>
        <w:pStyle w:val="FootnoteText"/>
      </w:pPr>
      <w:r>
        <w:rPr>
          <w:rStyle w:val="FootnoteReference"/>
        </w:rPr>
        <w:footnoteRef/>
      </w:r>
      <w:r>
        <w:t xml:space="preserve"> </w:t>
      </w:r>
      <w:bookmarkStart w:id="11" w:name="_Hlk67320050"/>
      <w:r>
        <w:t>Henni</w:t>
      </w:r>
      <w:r w:rsidR="00A024C4">
        <w:t>n</w:t>
      </w:r>
      <w:r>
        <w:t>k et al., p 41</w:t>
      </w:r>
      <w:bookmarkEnd w:id="11"/>
    </w:p>
  </w:footnote>
  <w:footnote w:id="16">
    <w:p w14:paraId="12F64749" w14:textId="72A2C9CA" w:rsidR="00525373" w:rsidRDefault="00525373">
      <w:pPr>
        <w:pStyle w:val="FootnoteText"/>
      </w:pPr>
      <w:r>
        <w:rPr>
          <w:rStyle w:val="FootnoteReference"/>
        </w:rPr>
        <w:footnoteRef/>
      </w:r>
      <w:r>
        <w:t xml:space="preserve"> </w:t>
      </w:r>
      <w:bookmarkStart w:id="12" w:name="_Hlk67318599"/>
      <w:r w:rsidR="00BC21C4">
        <w:t>Bennett, Baked a Cake, p 1</w:t>
      </w:r>
      <w:r w:rsidR="005E7586">
        <w:t>26-</w:t>
      </w:r>
      <w:r w:rsidR="00BC21C4">
        <w:t>7</w:t>
      </w:r>
    </w:p>
    <w:bookmarkEnd w:id="12"/>
  </w:footnote>
  <w:footnote w:id="17">
    <w:p w14:paraId="73F54333" w14:textId="77777777" w:rsidR="006F60EF" w:rsidRDefault="006F60EF" w:rsidP="006F60EF">
      <w:pPr>
        <w:pStyle w:val="FootnoteText"/>
      </w:pPr>
      <w:r>
        <w:rPr>
          <w:rStyle w:val="FootnoteReference"/>
        </w:rPr>
        <w:footnoteRef/>
      </w:r>
      <w:r>
        <w:t xml:space="preserve"> </w:t>
      </w:r>
      <w:bookmarkStart w:id="13" w:name="_Hlk67319810"/>
      <w:r w:rsidRPr="003C1E65">
        <w:t>Bennett, Baked a Cake, p 12</w:t>
      </w:r>
      <w:r>
        <w:t>7</w:t>
      </w:r>
      <w:bookmarkEnd w:id="13"/>
    </w:p>
  </w:footnote>
  <w:footnote w:id="18">
    <w:p w14:paraId="492B51CF" w14:textId="77777777" w:rsidR="009C48E8" w:rsidRDefault="009C48E8" w:rsidP="009C48E8">
      <w:pPr>
        <w:pStyle w:val="FootnoteText"/>
      </w:pPr>
      <w:r>
        <w:rPr>
          <w:rStyle w:val="FootnoteReference"/>
        </w:rPr>
        <w:footnoteRef/>
      </w:r>
      <w:r>
        <w:t xml:space="preserve"> Bennett, Baked a Cake, p. 127</w:t>
      </w:r>
    </w:p>
  </w:footnote>
  <w:footnote w:id="19">
    <w:p w14:paraId="1DEE4958" w14:textId="77777777" w:rsidR="009C48E8" w:rsidRDefault="009C48E8" w:rsidP="009C48E8">
      <w:pPr>
        <w:pStyle w:val="FootnoteText"/>
      </w:pPr>
      <w:r>
        <w:rPr>
          <w:rStyle w:val="FootnoteReference"/>
        </w:rPr>
        <w:footnoteRef/>
      </w:r>
      <w:r>
        <w:t xml:space="preserve"> </w:t>
      </w:r>
      <w:bookmarkStart w:id="14" w:name="_Hlk67576051"/>
      <w:r>
        <w:t>Bell and Waters</w:t>
      </w:r>
      <w:bookmarkEnd w:id="14"/>
      <w:r>
        <w:t>, p 67</w:t>
      </w:r>
    </w:p>
  </w:footnote>
  <w:footnote w:id="20">
    <w:p w14:paraId="598071F6" w14:textId="77777777" w:rsidR="009C48E8" w:rsidRDefault="009C48E8" w:rsidP="009C48E8">
      <w:pPr>
        <w:pStyle w:val="FootnoteText"/>
      </w:pPr>
      <w:r>
        <w:rPr>
          <w:rStyle w:val="FootnoteReference"/>
        </w:rPr>
        <w:footnoteRef/>
      </w:r>
      <w:r>
        <w:t xml:space="preserve"> Hennick et al., p 79</w:t>
      </w:r>
    </w:p>
  </w:footnote>
  <w:footnote w:id="21">
    <w:p w14:paraId="6E23111B" w14:textId="2A631C57" w:rsidR="00C1087F" w:rsidRDefault="00C1087F">
      <w:pPr>
        <w:pStyle w:val="FootnoteText"/>
      </w:pPr>
      <w:r>
        <w:rPr>
          <w:rStyle w:val="FootnoteReference"/>
        </w:rPr>
        <w:footnoteRef/>
      </w:r>
      <w:r>
        <w:t xml:space="preserve"> </w:t>
      </w:r>
      <w:r w:rsidR="007A1874">
        <w:t>Walter and Waterhouse, pp.188-189</w:t>
      </w:r>
    </w:p>
  </w:footnote>
  <w:footnote w:id="22">
    <w:p w14:paraId="06AA62DD" w14:textId="59534298" w:rsidR="00CA3926" w:rsidRDefault="00CA3926">
      <w:pPr>
        <w:pStyle w:val="FootnoteText"/>
      </w:pPr>
      <w:r>
        <w:rPr>
          <w:rStyle w:val="FootnoteReference"/>
        </w:rPr>
        <w:footnoteRef/>
      </w:r>
      <w:r>
        <w:t xml:space="preserve"> </w:t>
      </w:r>
      <w:r w:rsidR="00FE40EF">
        <w:t>Henni</w:t>
      </w:r>
      <w:r w:rsidR="00A024C4">
        <w:t>n</w:t>
      </w:r>
      <w:r w:rsidR="00FE40EF">
        <w:t>k et al</w:t>
      </w:r>
      <w:r w:rsidR="00964740">
        <w:t xml:space="preserve">., p 124; </w:t>
      </w:r>
      <w:r>
        <w:t>Walter and Waterhouse, p 189</w:t>
      </w:r>
    </w:p>
  </w:footnote>
  <w:footnote w:id="23">
    <w:p w14:paraId="18ED7C5F" w14:textId="27606718" w:rsidR="00AC5B8D" w:rsidRDefault="00AC5B8D" w:rsidP="00AC5B8D">
      <w:pPr>
        <w:pStyle w:val="FootnoteText"/>
      </w:pPr>
      <w:r>
        <w:rPr>
          <w:rStyle w:val="FootnoteReference"/>
        </w:rPr>
        <w:footnoteRef/>
      </w:r>
      <w:r>
        <w:t xml:space="preserve"> </w:t>
      </w:r>
      <w:r w:rsidRPr="00EC4592">
        <w:t>Henni</w:t>
      </w:r>
      <w:r w:rsidR="00A024C4">
        <w:t>n</w:t>
      </w:r>
      <w:r w:rsidRPr="00EC4592">
        <w:t>k et al</w:t>
      </w:r>
      <w:r>
        <w:t xml:space="preserve">., </w:t>
      </w:r>
      <w:r w:rsidRPr="00EC4592">
        <w:t xml:space="preserve">p </w:t>
      </w:r>
      <w:r>
        <w:t>18</w:t>
      </w:r>
    </w:p>
  </w:footnote>
  <w:footnote w:id="24">
    <w:p w14:paraId="69C90739" w14:textId="77777777" w:rsidR="00AC5B8D" w:rsidRDefault="00AC5B8D" w:rsidP="00AC5B8D">
      <w:pPr>
        <w:pStyle w:val="FootnoteText"/>
      </w:pPr>
      <w:r>
        <w:rPr>
          <w:rStyle w:val="FootnoteReference"/>
        </w:rPr>
        <w:footnoteRef/>
      </w:r>
      <w:r>
        <w:t xml:space="preserve"> </w:t>
      </w:r>
      <w:r w:rsidRPr="00D93B25">
        <w:t>Bennett, Baked a Cake, p 127</w:t>
      </w:r>
    </w:p>
  </w:footnote>
  <w:footnote w:id="25">
    <w:p w14:paraId="7AD7699A" w14:textId="77777777" w:rsidR="00381710" w:rsidRDefault="00381710" w:rsidP="00381710">
      <w:pPr>
        <w:pStyle w:val="FootnoteText"/>
      </w:pPr>
      <w:r>
        <w:rPr>
          <w:rStyle w:val="FootnoteReference"/>
        </w:rPr>
        <w:footnoteRef/>
      </w:r>
      <w:r>
        <w:t xml:space="preserve"> </w:t>
      </w:r>
      <w:bookmarkStart w:id="16" w:name="_Hlk67335519"/>
      <w:r>
        <w:t>Walter and Waterhouse</w:t>
      </w:r>
      <w:bookmarkEnd w:id="16"/>
      <w:r>
        <w:t>, p 189</w:t>
      </w:r>
    </w:p>
  </w:footnote>
  <w:footnote w:id="26">
    <w:p w14:paraId="154E3244" w14:textId="1C8FE10A" w:rsidR="00D21841" w:rsidRDefault="00D21841">
      <w:pPr>
        <w:pStyle w:val="FootnoteText"/>
      </w:pPr>
      <w:r>
        <w:rPr>
          <w:rStyle w:val="FootnoteReference"/>
        </w:rPr>
        <w:footnoteRef/>
      </w:r>
      <w:r>
        <w:t xml:space="preserve"> Walter and Waterhouse, p189</w:t>
      </w:r>
    </w:p>
  </w:footnote>
  <w:footnote w:id="27">
    <w:p w14:paraId="0CED515A" w14:textId="47A0FFFE" w:rsidR="00E953EC" w:rsidRDefault="00E953EC">
      <w:pPr>
        <w:pStyle w:val="FootnoteText"/>
      </w:pPr>
      <w:r>
        <w:rPr>
          <w:rStyle w:val="FootnoteReference"/>
        </w:rPr>
        <w:footnoteRef/>
      </w:r>
      <w:r>
        <w:t xml:space="preserve"> </w:t>
      </w:r>
      <w:r w:rsidRPr="00E953EC">
        <w:t>Walter and Waterhouse</w:t>
      </w:r>
      <w:r>
        <w:t>, p 191</w:t>
      </w:r>
    </w:p>
  </w:footnote>
  <w:footnote w:id="28">
    <w:p w14:paraId="48638C80" w14:textId="2A3DEC14" w:rsidR="008553E3" w:rsidRDefault="008553E3">
      <w:pPr>
        <w:pStyle w:val="FootnoteText"/>
      </w:pPr>
      <w:r>
        <w:rPr>
          <w:rStyle w:val="FootnoteReference"/>
        </w:rPr>
        <w:footnoteRef/>
      </w:r>
      <w:r>
        <w:t xml:space="preserve"> </w:t>
      </w:r>
      <w:r w:rsidRPr="008553E3">
        <w:t>Walter and Waterhouse</w:t>
      </w:r>
      <w:r>
        <w:t>, p 191</w:t>
      </w:r>
    </w:p>
  </w:footnote>
  <w:footnote w:id="29">
    <w:p w14:paraId="4E95C3BC" w14:textId="656938A4" w:rsidR="004A190A" w:rsidRDefault="004A190A">
      <w:pPr>
        <w:pStyle w:val="FootnoteText"/>
      </w:pPr>
      <w:r>
        <w:rPr>
          <w:rStyle w:val="FootnoteReference"/>
        </w:rPr>
        <w:footnoteRef/>
      </w:r>
      <w:r>
        <w:t xml:space="preserve"> </w:t>
      </w:r>
      <w:r w:rsidRPr="004A190A">
        <w:t>Walter and Waterhouse</w:t>
      </w:r>
      <w:r>
        <w:t>, p 191</w:t>
      </w:r>
    </w:p>
  </w:footnote>
  <w:footnote w:id="30">
    <w:p w14:paraId="600092F7" w14:textId="3AD073E4" w:rsidR="000F7F0E" w:rsidRDefault="000F7F0E" w:rsidP="000F7F0E">
      <w:pPr>
        <w:pStyle w:val="FootnoteText"/>
      </w:pPr>
      <w:r>
        <w:rPr>
          <w:rStyle w:val="FootnoteReference"/>
        </w:rPr>
        <w:footnoteRef/>
      </w:r>
      <w:r>
        <w:t xml:space="preserve"> </w:t>
      </w:r>
      <w:r w:rsidRPr="00C233BE">
        <w:t xml:space="preserve">Christopher Partridge, </w:t>
      </w:r>
      <w:r w:rsidRPr="00C233BE">
        <w:rPr>
          <w:i/>
          <w:iCs/>
        </w:rPr>
        <w:t>The Re-Enchantment of the West, Vol II: Alternative Spiritualities, Sacralization, Popular Culture and Occulture</w:t>
      </w:r>
      <w:r>
        <w:t>,</w:t>
      </w:r>
      <w:r w:rsidRPr="00C233BE">
        <w:t xml:space="preserve"> London: T &amp; T Clark International, 2005</w:t>
      </w:r>
      <w:r w:rsidR="00153D47">
        <w:t xml:space="preserve"> [hereafter Part</w:t>
      </w:r>
      <w:r w:rsidR="00301EA9">
        <w:t>ridge, Re-enchantment]</w:t>
      </w:r>
    </w:p>
  </w:footnote>
  <w:footnote w:id="31">
    <w:p w14:paraId="4406DC69" w14:textId="3CF6DD2C" w:rsidR="00FD1B8E" w:rsidRDefault="00FD1B8E">
      <w:pPr>
        <w:pStyle w:val="FootnoteText"/>
      </w:pPr>
      <w:r>
        <w:rPr>
          <w:rStyle w:val="FootnoteReference"/>
        </w:rPr>
        <w:footnoteRef/>
      </w:r>
      <w:r>
        <w:t xml:space="preserve"> Bennett, Baked a Cake, p 133</w:t>
      </w:r>
    </w:p>
  </w:footnote>
  <w:footnote w:id="32">
    <w:p w14:paraId="69BC6B45" w14:textId="5E187260" w:rsidR="00FB7BFF" w:rsidRDefault="00FB7BFF">
      <w:pPr>
        <w:pStyle w:val="FootnoteText"/>
      </w:pPr>
      <w:r>
        <w:rPr>
          <w:rStyle w:val="FootnoteReference"/>
        </w:rPr>
        <w:footnoteRef/>
      </w:r>
      <w:r>
        <w:t xml:space="preserve"> </w:t>
      </w:r>
      <w:r w:rsidRPr="00FB7BFF">
        <w:t>Hennink et al.</w:t>
      </w:r>
      <w:r>
        <w:t>,</w:t>
      </w:r>
      <w:r w:rsidRPr="00FB7BFF">
        <w:t xml:space="preserve"> p 312</w:t>
      </w:r>
    </w:p>
  </w:footnote>
  <w:footnote w:id="33">
    <w:p w14:paraId="24B13005" w14:textId="7D334207" w:rsidR="00CE3660" w:rsidRDefault="00CE3660" w:rsidP="00CE3660">
      <w:pPr>
        <w:pStyle w:val="FootnoteText"/>
      </w:pPr>
      <w:r>
        <w:rPr>
          <w:rStyle w:val="FootnoteReference"/>
        </w:rPr>
        <w:footnoteRef/>
      </w:r>
      <w:r>
        <w:t xml:space="preserve"> </w:t>
      </w:r>
      <w:bookmarkStart w:id="17" w:name="_Hlk67336889"/>
      <w:r>
        <w:t>Bennett, Baked a Cake</w:t>
      </w:r>
      <w:bookmarkEnd w:id="17"/>
      <w:r>
        <w:t>, pp 140-141</w:t>
      </w:r>
    </w:p>
  </w:footnote>
  <w:footnote w:id="34">
    <w:p w14:paraId="26529BBA" w14:textId="02412381" w:rsidR="00DB03C7" w:rsidRPr="00DB03C7" w:rsidRDefault="00DB03C7">
      <w:pPr>
        <w:pStyle w:val="FootnoteText"/>
        <w:rPr>
          <w:b/>
          <w:bCs/>
        </w:rPr>
      </w:pPr>
      <w:r>
        <w:rPr>
          <w:rStyle w:val="FootnoteReference"/>
        </w:rPr>
        <w:footnoteRef/>
      </w:r>
      <w:r>
        <w:t xml:space="preserve"> </w:t>
      </w:r>
      <w:r w:rsidRPr="00DB03C7">
        <w:t>Bennett, Baked a Cake</w:t>
      </w:r>
      <w:r>
        <w:t>, p 13</w:t>
      </w:r>
      <w:r w:rsidR="005C0B35">
        <w:t>3</w:t>
      </w:r>
    </w:p>
  </w:footnote>
  <w:footnote w:id="35">
    <w:p w14:paraId="0E91A2EC" w14:textId="3024662C" w:rsidR="009C2EA9" w:rsidRDefault="009C2EA9">
      <w:pPr>
        <w:pStyle w:val="FootnoteText"/>
      </w:pPr>
      <w:r>
        <w:rPr>
          <w:rStyle w:val="FootnoteReference"/>
        </w:rPr>
        <w:footnoteRef/>
      </w:r>
      <w:r>
        <w:t xml:space="preserve"> </w:t>
      </w:r>
      <w:r w:rsidR="00571873" w:rsidRPr="00571873">
        <w:t>Bennett, Baked a Cake</w:t>
      </w:r>
      <w:r w:rsidR="00571873">
        <w:t>, p 134</w:t>
      </w:r>
    </w:p>
  </w:footnote>
  <w:footnote w:id="36">
    <w:p w14:paraId="370C5F5E" w14:textId="5FBF2F7D" w:rsidR="00571873" w:rsidRDefault="00571873" w:rsidP="00BF44A7">
      <w:pPr>
        <w:pStyle w:val="FootnoteText"/>
        <w:jc w:val="both"/>
      </w:pPr>
      <w:r>
        <w:rPr>
          <w:rStyle w:val="FootnoteReference"/>
        </w:rPr>
        <w:footnoteRef/>
      </w:r>
      <w:r>
        <w:t xml:space="preserve"> </w:t>
      </w:r>
      <w:r w:rsidRPr="00571873">
        <w:t>Bennett, Baked a Cake</w:t>
      </w:r>
      <w:r>
        <w:t>, p 134</w:t>
      </w:r>
    </w:p>
  </w:footnote>
  <w:footnote w:id="37">
    <w:p w14:paraId="7105441B" w14:textId="02B8675E" w:rsidR="00505086" w:rsidRDefault="00505086">
      <w:pPr>
        <w:pStyle w:val="FootnoteText"/>
      </w:pPr>
      <w:r>
        <w:rPr>
          <w:rStyle w:val="FootnoteReference"/>
        </w:rPr>
        <w:footnoteRef/>
      </w:r>
      <w:r>
        <w:t xml:space="preserve"> </w:t>
      </w:r>
      <w:r w:rsidRPr="00505086">
        <w:t>Bell and Waters</w:t>
      </w:r>
      <w:r>
        <w:t>, p</w:t>
      </w:r>
      <w:r w:rsidR="00AF45FA">
        <w:t xml:space="preserve"> 213</w:t>
      </w:r>
    </w:p>
  </w:footnote>
  <w:footnote w:id="38">
    <w:p w14:paraId="039FF43C" w14:textId="531D59E7" w:rsidR="00416E46" w:rsidRDefault="00416E46">
      <w:pPr>
        <w:pStyle w:val="FootnoteText"/>
      </w:pPr>
      <w:r>
        <w:rPr>
          <w:rStyle w:val="FootnoteReference"/>
        </w:rPr>
        <w:footnoteRef/>
      </w:r>
      <w:r>
        <w:t xml:space="preserve"> </w:t>
      </w:r>
      <w:bookmarkStart w:id="18" w:name="_Hlk67337303"/>
      <w:r>
        <w:t xml:space="preserve">Walter and </w:t>
      </w:r>
      <w:r w:rsidR="00AA7276">
        <w:t>Waterhouse, p 191</w:t>
      </w:r>
      <w:bookmarkEnd w:id="18"/>
      <w:r w:rsidR="00594D15">
        <w:tab/>
      </w:r>
    </w:p>
  </w:footnote>
  <w:footnote w:id="39">
    <w:p w14:paraId="1CDC5B0B" w14:textId="23A1120E" w:rsidR="004A163C" w:rsidRDefault="004A163C">
      <w:pPr>
        <w:pStyle w:val="FootnoteText"/>
      </w:pPr>
      <w:r>
        <w:rPr>
          <w:rStyle w:val="FootnoteReference"/>
        </w:rPr>
        <w:footnoteRef/>
      </w:r>
      <w:r>
        <w:t xml:space="preserve"> </w:t>
      </w:r>
      <w:r w:rsidRPr="004A163C">
        <w:t>Walter and Waterhouse, p 191</w:t>
      </w:r>
    </w:p>
  </w:footnote>
  <w:footnote w:id="40">
    <w:p w14:paraId="2A94E68A" w14:textId="03F9BDF6" w:rsidR="007443D2" w:rsidRDefault="007443D2">
      <w:pPr>
        <w:pStyle w:val="FootnoteText"/>
      </w:pPr>
      <w:r>
        <w:rPr>
          <w:rStyle w:val="FootnoteReference"/>
        </w:rPr>
        <w:footnoteRef/>
      </w:r>
      <w:r>
        <w:t xml:space="preserve"> </w:t>
      </w:r>
      <w:r w:rsidRPr="007443D2">
        <w:t>Walter and Waterhouse, p 19</w:t>
      </w:r>
      <w:r>
        <w:t>3</w:t>
      </w:r>
    </w:p>
  </w:footnote>
  <w:footnote w:id="41">
    <w:p w14:paraId="174C4ED7" w14:textId="382FC5D8" w:rsidR="0049401F" w:rsidRDefault="0049401F">
      <w:pPr>
        <w:pStyle w:val="FootnoteText"/>
      </w:pPr>
      <w:r>
        <w:rPr>
          <w:rStyle w:val="FootnoteReference"/>
        </w:rPr>
        <w:footnoteRef/>
      </w:r>
      <w:r>
        <w:t xml:space="preserve"> </w:t>
      </w:r>
      <w:r w:rsidRPr="0049401F">
        <w:t>Walter and Waterhouse, p 19</w:t>
      </w:r>
      <w:r>
        <w:t>4</w:t>
      </w:r>
    </w:p>
  </w:footnote>
  <w:footnote w:id="42">
    <w:p w14:paraId="1E188A26" w14:textId="4FB603D0" w:rsidR="008A75D8" w:rsidRDefault="008A75D8">
      <w:pPr>
        <w:pStyle w:val="FootnoteText"/>
      </w:pPr>
      <w:r>
        <w:rPr>
          <w:rStyle w:val="FootnoteReference"/>
        </w:rPr>
        <w:footnoteRef/>
      </w:r>
      <w:r>
        <w:t xml:space="preserve"> </w:t>
      </w:r>
      <w:r w:rsidRPr="008A75D8">
        <w:t>Walter and Waterhouse, p 19</w:t>
      </w:r>
      <w:r>
        <w:t>4</w:t>
      </w:r>
    </w:p>
  </w:footnote>
  <w:footnote w:id="43">
    <w:p w14:paraId="79D4E98B" w14:textId="1267D498" w:rsidR="00F13EE7" w:rsidRDefault="00F13EE7">
      <w:pPr>
        <w:pStyle w:val="FootnoteText"/>
      </w:pPr>
      <w:r>
        <w:rPr>
          <w:rStyle w:val="FootnoteReference"/>
        </w:rPr>
        <w:footnoteRef/>
      </w:r>
      <w:r>
        <w:t xml:space="preserve"> </w:t>
      </w:r>
      <w:r w:rsidRPr="00F13EE7">
        <w:t>Walter and Waterhouse, p 19</w:t>
      </w:r>
      <w:r>
        <w:t>4</w:t>
      </w:r>
    </w:p>
  </w:footnote>
  <w:footnote w:id="44">
    <w:p w14:paraId="2CBDA8AF" w14:textId="400B8B67" w:rsidR="00F13EE7" w:rsidRDefault="00F13EE7">
      <w:pPr>
        <w:pStyle w:val="FootnoteText"/>
      </w:pPr>
      <w:r>
        <w:rPr>
          <w:rStyle w:val="FootnoteReference"/>
        </w:rPr>
        <w:footnoteRef/>
      </w:r>
      <w:r>
        <w:t xml:space="preserve"> </w:t>
      </w:r>
      <w:r w:rsidRPr="00F13EE7">
        <w:t>Walter and Waterhouse, p 19</w:t>
      </w:r>
      <w:r>
        <w:t>4</w:t>
      </w:r>
    </w:p>
  </w:footnote>
  <w:footnote w:id="45">
    <w:p w14:paraId="7F6A69CB" w14:textId="50DF18D8" w:rsidR="00F13EE7" w:rsidRDefault="00F13EE7">
      <w:pPr>
        <w:pStyle w:val="FootnoteText"/>
      </w:pPr>
      <w:r>
        <w:rPr>
          <w:rStyle w:val="FootnoteReference"/>
        </w:rPr>
        <w:footnoteRef/>
      </w:r>
      <w:r>
        <w:t xml:space="preserve"> </w:t>
      </w:r>
      <w:r w:rsidRPr="00F13EE7">
        <w:t>Walter and Waterhouse, p 19</w:t>
      </w:r>
      <w:r>
        <w:t>4</w:t>
      </w:r>
    </w:p>
  </w:footnote>
  <w:footnote w:id="46">
    <w:p w14:paraId="41955471" w14:textId="3A6877EB" w:rsidR="001B6EFE" w:rsidRDefault="001B6EFE">
      <w:pPr>
        <w:pStyle w:val="FootnoteText"/>
      </w:pPr>
      <w:r>
        <w:rPr>
          <w:rStyle w:val="FootnoteReference"/>
        </w:rPr>
        <w:footnoteRef/>
      </w:r>
      <w:r>
        <w:t xml:space="preserve"> </w:t>
      </w:r>
      <w:bookmarkStart w:id="19" w:name="_Hlk67337906"/>
      <w:r>
        <w:t>Bennett, Baked a Cake, p 132</w:t>
      </w:r>
      <w:bookmarkEnd w:id="19"/>
    </w:p>
  </w:footnote>
  <w:footnote w:id="47">
    <w:p w14:paraId="1F53DD3E" w14:textId="33529480" w:rsidR="001B6EFE" w:rsidRDefault="001B6EFE">
      <w:pPr>
        <w:pStyle w:val="FootnoteText"/>
      </w:pPr>
      <w:r>
        <w:rPr>
          <w:rStyle w:val="FootnoteReference"/>
        </w:rPr>
        <w:footnoteRef/>
      </w:r>
      <w:r>
        <w:t xml:space="preserve"> </w:t>
      </w:r>
      <w:r w:rsidRPr="001B6EFE">
        <w:t>Bennett, Baked a Cake, p 132</w:t>
      </w:r>
    </w:p>
  </w:footnote>
  <w:footnote w:id="48">
    <w:p w14:paraId="132F7DA6" w14:textId="3CA0DC59" w:rsidR="00BD5135" w:rsidRDefault="00BD5135">
      <w:pPr>
        <w:pStyle w:val="FootnoteText"/>
      </w:pPr>
      <w:r>
        <w:rPr>
          <w:rStyle w:val="FootnoteReference"/>
        </w:rPr>
        <w:footnoteRef/>
      </w:r>
      <w:r>
        <w:t xml:space="preserve"> </w:t>
      </w:r>
      <w:r w:rsidR="000317B5">
        <w:t>Walter and Waterhouse, p 196</w:t>
      </w:r>
    </w:p>
  </w:footnote>
  <w:footnote w:id="49">
    <w:p w14:paraId="4D9A39BB" w14:textId="736A5DE9" w:rsidR="000317B5" w:rsidRDefault="000317B5">
      <w:pPr>
        <w:pStyle w:val="FootnoteText"/>
      </w:pPr>
      <w:r>
        <w:rPr>
          <w:rStyle w:val="FootnoteReference"/>
        </w:rPr>
        <w:footnoteRef/>
      </w:r>
      <w:r>
        <w:t xml:space="preserve"> </w:t>
      </w:r>
      <w:r w:rsidRPr="000317B5">
        <w:t>Bennett, Baked a Cake, p 13</w:t>
      </w:r>
      <w:r>
        <w:t>5</w:t>
      </w:r>
    </w:p>
  </w:footnote>
  <w:footnote w:id="50">
    <w:p w14:paraId="0B00D181" w14:textId="58A901C4" w:rsidR="00046342" w:rsidRDefault="00046342" w:rsidP="00046342">
      <w:pPr>
        <w:pStyle w:val="FootnoteText"/>
      </w:pPr>
      <w:r>
        <w:rPr>
          <w:rStyle w:val="FootnoteReference"/>
        </w:rPr>
        <w:footnoteRef/>
      </w:r>
      <w:r>
        <w:t xml:space="preserve"> </w:t>
      </w:r>
      <w:r w:rsidRPr="000F182F">
        <w:t xml:space="preserve">Partridge, </w:t>
      </w:r>
      <w:r w:rsidRPr="00301EA9">
        <w:t>Re-Enchantment</w:t>
      </w:r>
      <w:r>
        <w:t>, p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7902449"/>
      <w:docPartObj>
        <w:docPartGallery w:val="Page Numbers (Top of Page)"/>
        <w:docPartUnique/>
      </w:docPartObj>
    </w:sdtPr>
    <w:sdtEndPr>
      <w:rPr>
        <w:noProof/>
      </w:rPr>
    </w:sdtEndPr>
    <w:sdtContent>
      <w:p w14:paraId="4201BD95" w14:textId="17958BAD" w:rsidR="00001BCD" w:rsidRDefault="00001BCD">
        <w:pPr>
          <w:pStyle w:val="Header"/>
          <w:jc w:val="center"/>
        </w:pPr>
        <w:r>
          <w:t>Dan Broadbent</w:t>
        </w:r>
        <w:r w:rsidR="009C5947">
          <w:t xml:space="preserve"> 2006303                                                                                                                                       </w:t>
        </w:r>
        <w:r>
          <w:fldChar w:fldCharType="begin"/>
        </w:r>
        <w:r>
          <w:instrText xml:space="preserve"> PAGE   \* MERGEFORMAT </w:instrText>
        </w:r>
        <w:r>
          <w:fldChar w:fldCharType="separate"/>
        </w:r>
        <w:r>
          <w:rPr>
            <w:noProof/>
          </w:rPr>
          <w:t>2</w:t>
        </w:r>
        <w:r>
          <w:rPr>
            <w:noProof/>
          </w:rPr>
          <w:fldChar w:fldCharType="end"/>
        </w:r>
      </w:p>
    </w:sdtContent>
  </w:sdt>
  <w:p w14:paraId="48623960" w14:textId="77777777" w:rsidR="00001BCD" w:rsidRDefault="00001B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C8ABC4"/>
    <w:rsid w:val="00001BCD"/>
    <w:rsid w:val="0000457D"/>
    <w:rsid w:val="000057FF"/>
    <w:rsid w:val="00006835"/>
    <w:rsid w:val="00007D0E"/>
    <w:rsid w:val="000120DE"/>
    <w:rsid w:val="000125C7"/>
    <w:rsid w:val="00013B45"/>
    <w:rsid w:val="0001687A"/>
    <w:rsid w:val="000210F5"/>
    <w:rsid w:val="0002179B"/>
    <w:rsid w:val="000220F6"/>
    <w:rsid w:val="00022691"/>
    <w:rsid w:val="00026514"/>
    <w:rsid w:val="00026E40"/>
    <w:rsid w:val="0003058B"/>
    <w:rsid w:val="00031210"/>
    <w:rsid w:val="00031383"/>
    <w:rsid w:val="000317B5"/>
    <w:rsid w:val="0003461F"/>
    <w:rsid w:val="000350A6"/>
    <w:rsid w:val="0004045C"/>
    <w:rsid w:val="00041333"/>
    <w:rsid w:val="000416FF"/>
    <w:rsid w:val="00042291"/>
    <w:rsid w:val="00045460"/>
    <w:rsid w:val="00046342"/>
    <w:rsid w:val="0004649F"/>
    <w:rsid w:val="00046C88"/>
    <w:rsid w:val="00046FBD"/>
    <w:rsid w:val="00050687"/>
    <w:rsid w:val="00050F1A"/>
    <w:rsid w:val="00054DD9"/>
    <w:rsid w:val="000554AB"/>
    <w:rsid w:val="00055C9A"/>
    <w:rsid w:val="0005609F"/>
    <w:rsid w:val="0005733F"/>
    <w:rsid w:val="00063CAA"/>
    <w:rsid w:val="00064C23"/>
    <w:rsid w:val="00066771"/>
    <w:rsid w:val="00066918"/>
    <w:rsid w:val="00067AE5"/>
    <w:rsid w:val="00067B36"/>
    <w:rsid w:val="00072080"/>
    <w:rsid w:val="000728A2"/>
    <w:rsid w:val="00074469"/>
    <w:rsid w:val="000745F4"/>
    <w:rsid w:val="00075185"/>
    <w:rsid w:val="000760A8"/>
    <w:rsid w:val="0007796A"/>
    <w:rsid w:val="000807BB"/>
    <w:rsid w:val="000827D7"/>
    <w:rsid w:val="00083228"/>
    <w:rsid w:val="00083392"/>
    <w:rsid w:val="00083568"/>
    <w:rsid w:val="00084E4B"/>
    <w:rsid w:val="000852A1"/>
    <w:rsid w:val="000864FB"/>
    <w:rsid w:val="00087A62"/>
    <w:rsid w:val="00090CC9"/>
    <w:rsid w:val="00091438"/>
    <w:rsid w:val="00093412"/>
    <w:rsid w:val="000936EA"/>
    <w:rsid w:val="00093C36"/>
    <w:rsid w:val="00093DC3"/>
    <w:rsid w:val="00094094"/>
    <w:rsid w:val="0009474B"/>
    <w:rsid w:val="000949FA"/>
    <w:rsid w:val="00094FAE"/>
    <w:rsid w:val="00094FC6"/>
    <w:rsid w:val="0009507B"/>
    <w:rsid w:val="00095EBB"/>
    <w:rsid w:val="00096DD3"/>
    <w:rsid w:val="000970A4"/>
    <w:rsid w:val="000A0588"/>
    <w:rsid w:val="000A2800"/>
    <w:rsid w:val="000A2DFC"/>
    <w:rsid w:val="000A6C17"/>
    <w:rsid w:val="000A78D1"/>
    <w:rsid w:val="000B1B42"/>
    <w:rsid w:val="000B27A1"/>
    <w:rsid w:val="000B3FF2"/>
    <w:rsid w:val="000B4016"/>
    <w:rsid w:val="000B4027"/>
    <w:rsid w:val="000B693D"/>
    <w:rsid w:val="000B6A3C"/>
    <w:rsid w:val="000C2345"/>
    <w:rsid w:val="000C3434"/>
    <w:rsid w:val="000C65DF"/>
    <w:rsid w:val="000C69D6"/>
    <w:rsid w:val="000C6F28"/>
    <w:rsid w:val="000C7D50"/>
    <w:rsid w:val="000D0DD8"/>
    <w:rsid w:val="000D1B0A"/>
    <w:rsid w:val="000D2A5E"/>
    <w:rsid w:val="000D3A60"/>
    <w:rsid w:val="000D496F"/>
    <w:rsid w:val="000D57EF"/>
    <w:rsid w:val="000D694D"/>
    <w:rsid w:val="000D758E"/>
    <w:rsid w:val="000D7CA7"/>
    <w:rsid w:val="000E0955"/>
    <w:rsid w:val="000E1BE4"/>
    <w:rsid w:val="000E2421"/>
    <w:rsid w:val="000E3E13"/>
    <w:rsid w:val="000E4486"/>
    <w:rsid w:val="000E4A25"/>
    <w:rsid w:val="000E543F"/>
    <w:rsid w:val="000E721E"/>
    <w:rsid w:val="000F04E8"/>
    <w:rsid w:val="000F0873"/>
    <w:rsid w:val="000F182F"/>
    <w:rsid w:val="000F28B4"/>
    <w:rsid w:val="000F2C05"/>
    <w:rsid w:val="000F3912"/>
    <w:rsid w:val="000F53B9"/>
    <w:rsid w:val="000F6841"/>
    <w:rsid w:val="000F7F0E"/>
    <w:rsid w:val="00103813"/>
    <w:rsid w:val="00104235"/>
    <w:rsid w:val="001063E5"/>
    <w:rsid w:val="00106681"/>
    <w:rsid w:val="00111F2C"/>
    <w:rsid w:val="00112A2D"/>
    <w:rsid w:val="00114BE6"/>
    <w:rsid w:val="001221EC"/>
    <w:rsid w:val="001238A4"/>
    <w:rsid w:val="00123F13"/>
    <w:rsid w:val="001240BC"/>
    <w:rsid w:val="0012611C"/>
    <w:rsid w:val="00126294"/>
    <w:rsid w:val="00126DA3"/>
    <w:rsid w:val="001279B8"/>
    <w:rsid w:val="00127ECA"/>
    <w:rsid w:val="00131900"/>
    <w:rsid w:val="00131B0E"/>
    <w:rsid w:val="0013220E"/>
    <w:rsid w:val="001341B9"/>
    <w:rsid w:val="00134CD0"/>
    <w:rsid w:val="00134F2A"/>
    <w:rsid w:val="00137AE4"/>
    <w:rsid w:val="0014015F"/>
    <w:rsid w:val="001407E0"/>
    <w:rsid w:val="00141969"/>
    <w:rsid w:val="00141E72"/>
    <w:rsid w:val="001421FC"/>
    <w:rsid w:val="001437C2"/>
    <w:rsid w:val="0014386A"/>
    <w:rsid w:val="00143ACC"/>
    <w:rsid w:val="00146505"/>
    <w:rsid w:val="00150491"/>
    <w:rsid w:val="00150C5B"/>
    <w:rsid w:val="001516C4"/>
    <w:rsid w:val="00152895"/>
    <w:rsid w:val="0015393C"/>
    <w:rsid w:val="00153D47"/>
    <w:rsid w:val="0015543E"/>
    <w:rsid w:val="00157208"/>
    <w:rsid w:val="001576AE"/>
    <w:rsid w:val="001609FC"/>
    <w:rsid w:val="00161C37"/>
    <w:rsid w:val="00164F00"/>
    <w:rsid w:val="0016526C"/>
    <w:rsid w:val="00165362"/>
    <w:rsid w:val="00166F25"/>
    <w:rsid w:val="00171612"/>
    <w:rsid w:val="00171682"/>
    <w:rsid w:val="00173230"/>
    <w:rsid w:val="00173EBB"/>
    <w:rsid w:val="001761E8"/>
    <w:rsid w:val="001774A7"/>
    <w:rsid w:val="001774C3"/>
    <w:rsid w:val="001835CF"/>
    <w:rsid w:val="00183E8E"/>
    <w:rsid w:val="00185201"/>
    <w:rsid w:val="00187E48"/>
    <w:rsid w:val="00191966"/>
    <w:rsid w:val="001924DE"/>
    <w:rsid w:val="001949F9"/>
    <w:rsid w:val="00194C4F"/>
    <w:rsid w:val="001953D6"/>
    <w:rsid w:val="001954C1"/>
    <w:rsid w:val="00195CE3"/>
    <w:rsid w:val="001965B9"/>
    <w:rsid w:val="00197421"/>
    <w:rsid w:val="001975E5"/>
    <w:rsid w:val="001977B1"/>
    <w:rsid w:val="001A03F5"/>
    <w:rsid w:val="001A0918"/>
    <w:rsid w:val="001A231D"/>
    <w:rsid w:val="001A33DC"/>
    <w:rsid w:val="001A7124"/>
    <w:rsid w:val="001A750E"/>
    <w:rsid w:val="001A7FC8"/>
    <w:rsid w:val="001B030E"/>
    <w:rsid w:val="001B146B"/>
    <w:rsid w:val="001B4013"/>
    <w:rsid w:val="001B4076"/>
    <w:rsid w:val="001B435D"/>
    <w:rsid w:val="001B490B"/>
    <w:rsid w:val="001B4E1F"/>
    <w:rsid w:val="001B6157"/>
    <w:rsid w:val="001B6EFE"/>
    <w:rsid w:val="001B7E6F"/>
    <w:rsid w:val="001C2163"/>
    <w:rsid w:val="001C2EAA"/>
    <w:rsid w:val="001C7F6D"/>
    <w:rsid w:val="001D05CD"/>
    <w:rsid w:val="001D161C"/>
    <w:rsid w:val="001D3D45"/>
    <w:rsid w:val="001D4630"/>
    <w:rsid w:val="001D4703"/>
    <w:rsid w:val="001D5217"/>
    <w:rsid w:val="001D5D12"/>
    <w:rsid w:val="001E0E46"/>
    <w:rsid w:val="001E1332"/>
    <w:rsid w:val="001E1976"/>
    <w:rsid w:val="001E2FE0"/>
    <w:rsid w:val="001E6825"/>
    <w:rsid w:val="001E72CF"/>
    <w:rsid w:val="001F1189"/>
    <w:rsid w:val="001F448C"/>
    <w:rsid w:val="001F4CAF"/>
    <w:rsid w:val="001F4CEE"/>
    <w:rsid w:val="001F643C"/>
    <w:rsid w:val="001F6652"/>
    <w:rsid w:val="001F7BF1"/>
    <w:rsid w:val="00201EBB"/>
    <w:rsid w:val="00202C0C"/>
    <w:rsid w:val="002035D4"/>
    <w:rsid w:val="00203D74"/>
    <w:rsid w:val="0020512A"/>
    <w:rsid w:val="0020561A"/>
    <w:rsid w:val="00206723"/>
    <w:rsid w:val="002075A5"/>
    <w:rsid w:val="00210C2F"/>
    <w:rsid w:val="002118F4"/>
    <w:rsid w:val="00213709"/>
    <w:rsid w:val="002137A5"/>
    <w:rsid w:val="00214D3A"/>
    <w:rsid w:val="00216354"/>
    <w:rsid w:val="00223C0B"/>
    <w:rsid w:val="00226D63"/>
    <w:rsid w:val="00227176"/>
    <w:rsid w:val="00230E1C"/>
    <w:rsid w:val="00231638"/>
    <w:rsid w:val="00233923"/>
    <w:rsid w:val="0023520F"/>
    <w:rsid w:val="00235D65"/>
    <w:rsid w:val="0023702F"/>
    <w:rsid w:val="00240433"/>
    <w:rsid w:val="002467A9"/>
    <w:rsid w:val="0025281B"/>
    <w:rsid w:val="002537BF"/>
    <w:rsid w:val="0025487B"/>
    <w:rsid w:val="00255D8C"/>
    <w:rsid w:val="00256C03"/>
    <w:rsid w:val="002625EE"/>
    <w:rsid w:val="002648CD"/>
    <w:rsid w:val="00264C10"/>
    <w:rsid w:val="00267AA9"/>
    <w:rsid w:val="002707E7"/>
    <w:rsid w:val="00270B68"/>
    <w:rsid w:val="002748D5"/>
    <w:rsid w:val="002778C6"/>
    <w:rsid w:val="002779AF"/>
    <w:rsid w:val="00277D30"/>
    <w:rsid w:val="00282546"/>
    <w:rsid w:val="00282A70"/>
    <w:rsid w:val="00283AA0"/>
    <w:rsid w:val="002852F4"/>
    <w:rsid w:val="0028542D"/>
    <w:rsid w:val="002866FC"/>
    <w:rsid w:val="00286B9D"/>
    <w:rsid w:val="002876B6"/>
    <w:rsid w:val="002906D1"/>
    <w:rsid w:val="00295C50"/>
    <w:rsid w:val="002A0C11"/>
    <w:rsid w:val="002A273C"/>
    <w:rsid w:val="002A3BC6"/>
    <w:rsid w:val="002A3CD0"/>
    <w:rsid w:val="002A6E43"/>
    <w:rsid w:val="002A7341"/>
    <w:rsid w:val="002A7CE3"/>
    <w:rsid w:val="002B10F1"/>
    <w:rsid w:val="002B2857"/>
    <w:rsid w:val="002B3605"/>
    <w:rsid w:val="002B685A"/>
    <w:rsid w:val="002B7C04"/>
    <w:rsid w:val="002C053B"/>
    <w:rsid w:val="002C0822"/>
    <w:rsid w:val="002C1249"/>
    <w:rsid w:val="002C3604"/>
    <w:rsid w:val="002C4070"/>
    <w:rsid w:val="002C62D5"/>
    <w:rsid w:val="002C74F7"/>
    <w:rsid w:val="002C75CB"/>
    <w:rsid w:val="002D26C6"/>
    <w:rsid w:val="002D2D1F"/>
    <w:rsid w:val="002E0DA2"/>
    <w:rsid w:val="002E33F0"/>
    <w:rsid w:val="002E3689"/>
    <w:rsid w:val="002E49F9"/>
    <w:rsid w:val="002E6C37"/>
    <w:rsid w:val="002E7191"/>
    <w:rsid w:val="002F24E2"/>
    <w:rsid w:val="002F3A69"/>
    <w:rsid w:val="002F4893"/>
    <w:rsid w:val="002F4BF6"/>
    <w:rsid w:val="002F5F69"/>
    <w:rsid w:val="002F7154"/>
    <w:rsid w:val="00301EA9"/>
    <w:rsid w:val="00301FFC"/>
    <w:rsid w:val="00302EE1"/>
    <w:rsid w:val="0030371F"/>
    <w:rsid w:val="00303AA6"/>
    <w:rsid w:val="00303B72"/>
    <w:rsid w:val="00303D5B"/>
    <w:rsid w:val="00307A1B"/>
    <w:rsid w:val="00311249"/>
    <w:rsid w:val="0031166F"/>
    <w:rsid w:val="003126A4"/>
    <w:rsid w:val="00320582"/>
    <w:rsid w:val="00322964"/>
    <w:rsid w:val="0032458E"/>
    <w:rsid w:val="003264E6"/>
    <w:rsid w:val="0033099B"/>
    <w:rsid w:val="003319FB"/>
    <w:rsid w:val="00333281"/>
    <w:rsid w:val="00334129"/>
    <w:rsid w:val="00340D6B"/>
    <w:rsid w:val="00342172"/>
    <w:rsid w:val="00344F62"/>
    <w:rsid w:val="0034523E"/>
    <w:rsid w:val="0034559F"/>
    <w:rsid w:val="00345DB7"/>
    <w:rsid w:val="00347997"/>
    <w:rsid w:val="00350D70"/>
    <w:rsid w:val="0035150E"/>
    <w:rsid w:val="003553C7"/>
    <w:rsid w:val="00357279"/>
    <w:rsid w:val="003577B6"/>
    <w:rsid w:val="00357BE6"/>
    <w:rsid w:val="00360089"/>
    <w:rsid w:val="00360F77"/>
    <w:rsid w:val="00363A19"/>
    <w:rsid w:val="003640FC"/>
    <w:rsid w:val="00370971"/>
    <w:rsid w:val="00370DCA"/>
    <w:rsid w:val="00371DEF"/>
    <w:rsid w:val="00372DFF"/>
    <w:rsid w:val="0038095A"/>
    <w:rsid w:val="00381710"/>
    <w:rsid w:val="00381D78"/>
    <w:rsid w:val="003823A2"/>
    <w:rsid w:val="00382660"/>
    <w:rsid w:val="00382F02"/>
    <w:rsid w:val="0038314F"/>
    <w:rsid w:val="0038369A"/>
    <w:rsid w:val="0038668C"/>
    <w:rsid w:val="0038695A"/>
    <w:rsid w:val="003872F7"/>
    <w:rsid w:val="0039088E"/>
    <w:rsid w:val="00393016"/>
    <w:rsid w:val="00396A71"/>
    <w:rsid w:val="003A0964"/>
    <w:rsid w:val="003A14A7"/>
    <w:rsid w:val="003A3874"/>
    <w:rsid w:val="003A3ACA"/>
    <w:rsid w:val="003A445B"/>
    <w:rsid w:val="003B1F0C"/>
    <w:rsid w:val="003B2768"/>
    <w:rsid w:val="003B2BE3"/>
    <w:rsid w:val="003B534F"/>
    <w:rsid w:val="003B55C6"/>
    <w:rsid w:val="003B5D47"/>
    <w:rsid w:val="003C1E65"/>
    <w:rsid w:val="003C2F7F"/>
    <w:rsid w:val="003C5264"/>
    <w:rsid w:val="003C6705"/>
    <w:rsid w:val="003D27C2"/>
    <w:rsid w:val="003D2D75"/>
    <w:rsid w:val="003D3295"/>
    <w:rsid w:val="003D3E0E"/>
    <w:rsid w:val="003D5346"/>
    <w:rsid w:val="003D5408"/>
    <w:rsid w:val="003D5773"/>
    <w:rsid w:val="003D5A9B"/>
    <w:rsid w:val="003D5D04"/>
    <w:rsid w:val="003D63E5"/>
    <w:rsid w:val="003E0792"/>
    <w:rsid w:val="003E2E6C"/>
    <w:rsid w:val="003E5A0F"/>
    <w:rsid w:val="003E6DF1"/>
    <w:rsid w:val="003E72EB"/>
    <w:rsid w:val="003E797E"/>
    <w:rsid w:val="003F12B7"/>
    <w:rsid w:val="003F1BFE"/>
    <w:rsid w:val="003F4E8B"/>
    <w:rsid w:val="003F630F"/>
    <w:rsid w:val="003F682A"/>
    <w:rsid w:val="003F6DC4"/>
    <w:rsid w:val="004002B8"/>
    <w:rsid w:val="00400A29"/>
    <w:rsid w:val="00400B00"/>
    <w:rsid w:val="00401658"/>
    <w:rsid w:val="00402033"/>
    <w:rsid w:val="0040340E"/>
    <w:rsid w:val="00404722"/>
    <w:rsid w:val="00413E7D"/>
    <w:rsid w:val="00414D65"/>
    <w:rsid w:val="00414E7C"/>
    <w:rsid w:val="004153DD"/>
    <w:rsid w:val="00416E46"/>
    <w:rsid w:val="00417EF7"/>
    <w:rsid w:val="00420D6A"/>
    <w:rsid w:val="004220E0"/>
    <w:rsid w:val="0042238C"/>
    <w:rsid w:val="00424130"/>
    <w:rsid w:val="0042687C"/>
    <w:rsid w:val="004272DF"/>
    <w:rsid w:val="00433A00"/>
    <w:rsid w:val="00433EF7"/>
    <w:rsid w:val="00435609"/>
    <w:rsid w:val="004359C6"/>
    <w:rsid w:val="00436988"/>
    <w:rsid w:val="004372E0"/>
    <w:rsid w:val="00440D50"/>
    <w:rsid w:val="004419D9"/>
    <w:rsid w:val="004424B7"/>
    <w:rsid w:val="00443478"/>
    <w:rsid w:val="00447885"/>
    <w:rsid w:val="0045007F"/>
    <w:rsid w:val="00451D1A"/>
    <w:rsid w:val="0045261B"/>
    <w:rsid w:val="00452EFC"/>
    <w:rsid w:val="00455466"/>
    <w:rsid w:val="00457A2B"/>
    <w:rsid w:val="00457A31"/>
    <w:rsid w:val="004623B8"/>
    <w:rsid w:val="00463ADC"/>
    <w:rsid w:val="00465AEB"/>
    <w:rsid w:val="00465F34"/>
    <w:rsid w:val="00466320"/>
    <w:rsid w:val="00466E2F"/>
    <w:rsid w:val="00467406"/>
    <w:rsid w:val="00467B43"/>
    <w:rsid w:val="00470F01"/>
    <w:rsid w:val="00473B95"/>
    <w:rsid w:val="004756D6"/>
    <w:rsid w:val="00476B03"/>
    <w:rsid w:val="00480088"/>
    <w:rsid w:val="00480177"/>
    <w:rsid w:val="004819E5"/>
    <w:rsid w:val="00484E8F"/>
    <w:rsid w:val="004870A2"/>
    <w:rsid w:val="00487C2B"/>
    <w:rsid w:val="00490065"/>
    <w:rsid w:val="0049012C"/>
    <w:rsid w:val="0049043D"/>
    <w:rsid w:val="004908E9"/>
    <w:rsid w:val="00492D5E"/>
    <w:rsid w:val="0049401F"/>
    <w:rsid w:val="004957E9"/>
    <w:rsid w:val="00495FB1"/>
    <w:rsid w:val="00497339"/>
    <w:rsid w:val="004A0391"/>
    <w:rsid w:val="004A0B3F"/>
    <w:rsid w:val="004A163C"/>
    <w:rsid w:val="004A190A"/>
    <w:rsid w:val="004A3B62"/>
    <w:rsid w:val="004A4C03"/>
    <w:rsid w:val="004A5874"/>
    <w:rsid w:val="004A61CA"/>
    <w:rsid w:val="004A63A9"/>
    <w:rsid w:val="004B0262"/>
    <w:rsid w:val="004B28E6"/>
    <w:rsid w:val="004B2B02"/>
    <w:rsid w:val="004B371F"/>
    <w:rsid w:val="004B42E4"/>
    <w:rsid w:val="004B4A39"/>
    <w:rsid w:val="004B5450"/>
    <w:rsid w:val="004B6706"/>
    <w:rsid w:val="004B709F"/>
    <w:rsid w:val="004B772D"/>
    <w:rsid w:val="004C1051"/>
    <w:rsid w:val="004C2BBD"/>
    <w:rsid w:val="004C45CB"/>
    <w:rsid w:val="004C4DB7"/>
    <w:rsid w:val="004C6D0B"/>
    <w:rsid w:val="004C7CB1"/>
    <w:rsid w:val="004D01C5"/>
    <w:rsid w:val="004D0262"/>
    <w:rsid w:val="004D06E7"/>
    <w:rsid w:val="004D2120"/>
    <w:rsid w:val="004D2ECF"/>
    <w:rsid w:val="004D33FB"/>
    <w:rsid w:val="004D3E7C"/>
    <w:rsid w:val="004D5039"/>
    <w:rsid w:val="004D72EF"/>
    <w:rsid w:val="004E0AD4"/>
    <w:rsid w:val="004E28FD"/>
    <w:rsid w:val="004E2EF9"/>
    <w:rsid w:val="004E3A6E"/>
    <w:rsid w:val="004E4C97"/>
    <w:rsid w:val="004E646A"/>
    <w:rsid w:val="004F1627"/>
    <w:rsid w:val="004F1D32"/>
    <w:rsid w:val="004F3A15"/>
    <w:rsid w:val="004F3B38"/>
    <w:rsid w:val="004F3DFD"/>
    <w:rsid w:val="004F3F8B"/>
    <w:rsid w:val="004F4776"/>
    <w:rsid w:val="00501338"/>
    <w:rsid w:val="00505086"/>
    <w:rsid w:val="00505362"/>
    <w:rsid w:val="005056A8"/>
    <w:rsid w:val="00505ECE"/>
    <w:rsid w:val="00506513"/>
    <w:rsid w:val="005068C3"/>
    <w:rsid w:val="005070D6"/>
    <w:rsid w:val="0051090C"/>
    <w:rsid w:val="00511A5D"/>
    <w:rsid w:val="00512BBD"/>
    <w:rsid w:val="0051535C"/>
    <w:rsid w:val="005178AD"/>
    <w:rsid w:val="005216A8"/>
    <w:rsid w:val="005217BF"/>
    <w:rsid w:val="00521D72"/>
    <w:rsid w:val="00523B57"/>
    <w:rsid w:val="005242FC"/>
    <w:rsid w:val="00525373"/>
    <w:rsid w:val="00525C01"/>
    <w:rsid w:val="00527669"/>
    <w:rsid w:val="0053067A"/>
    <w:rsid w:val="005306BD"/>
    <w:rsid w:val="00530AFA"/>
    <w:rsid w:val="00532E09"/>
    <w:rsid w:val="00533159"/>
    <w:rsid w:val="005335DF"/>
    <w:rsid w:val="00534A14"/>
    <w:rsid w:val="00537243"/>
    <w:rsid w:val="00540252"/>
    <w:rsid w:val="00541367"/>
    <w:rsid w:val="00541627"/>
    <w:rsid w:val="00550FA2"/>
    <w:rsid w:val="00552222"/>
    <w:rsid w:val="00552BF0"/>
    <w:rsid w:val="00552D6D"/>
    <w:rsid w:val="00553B13"/>
    <w:rsid w:val="00554ABD"/>
    <w:rsid w:val="0056060F"/>
    <w:rsid w:val="00560B96"/>
    <w:rsid w:val="00561466"/>
    <w:rsid w:val="0056165B"/>
    <w:rsid w:val="00564178"/>
    <w:rsid w:val="0056440A"/>
    <w:rsid w:val="00564AF2"/>
    <w:rsid w:val="00567169"/>
    <w:rsid w:val="0057141E"/>
    <w:rsid w:val="00571873"/>
    <w:rsid w:val="00571C42"/>
    <w:rsid w:val="005723D7"/>
    <w:rsid w:val="00572D04"/>
    <w:rsid w:val="005737E0"/>
    <w:rsid w:val="0058024A"/>
    <w:rsid w:val="00581CE3"/>
    <w:rsid w:val="00583EB7"/>
    <w:rsid w:val="00584789"/>
    <w:rsid w:val="00585311"/>
    <w:rsid w:val="00586422"/>
    <w:rsid w:val="0058667A"/>
    <w:rsid w:val="00587C06"/>
    <w:rsid w:val="005908BD"/>
    <w:rsid w:val="00593A12"/>
    <w:rsid w:val="00594AC0"/>
    <w:rsid w:val="00594D15"/>
    <w:rsid w:val="005955B1"/>
    <w:rsid w:val="005961F2"/>
    <w:rsid w:val="00596F80"/>
    <w:rsid w:val="00597FF8"/>
    <w:rsid w:val="005A2598"/>
    <w:rsid w:val="005A3101"/>
    <w:rsid w:val="005A39E1"/>
    <w:rsid w:val="005A7941"/>
    <w:rsid w:val="005A7FBA"/>
    <w:rsid w:val="005B04B9"/>
    <w:rsid w:val="005B20D4"/>
    <w:rsid w:val="005B6CF7"/>
    <w:rsid w:val="005C04A8"/>
    <w:rsid w:val="005C0B35"/>
    <w:rsid w:val="005C0C36"/>
    <w:rsid w:val="005C197C"/>
    <w:rsid w:val="005C22E9"/>
    <w:rsid w:val="005C395B"/>
    <w:rsid w:val="005C3FC3"/>
    <w:rsid w:val="005C7D5A"/>
    <w:rsid w:val="005D1F38"/>
    <w:rsid w:val="005D2FC1"/>
    <w:rsid w:val="005D41FF"/>
    <w:rsid w:val="005D45D7"/>
    <w:rsid w:val="005D6232"/>
    <w:rsid w:val="005E1D7A"/>
    <w:rsid w:val="005E2782"/>
    <w:rsid w:val="005E2932"/>
    <w:rsid w:val="005E37D3"/>
    <w:rsid w:val="005E5B68"/>
    <w:rsid w:val="005E7586"/>
    <w:rsid w:val="005E7836"/>
    <w:rsid w:val="005F0B14"/>
    <w:rsid w:val="005F0D98"/>
    <w:rsid w:val="005F3A03"/>
    <w:rsid w:val="005F3C90"/>
    <w:rsid w:val="005F3F3C"/>
    <w:rsid w:val="005F491D"/>
    <w:rsid w:val="005F7712"/>
    <w:rsid w:val="00600097"/>
    <w:rsid w:val="00600B45"/>
    <w:rsid w:val="00605CB2"/>
    <w:rsid w:val="006061E0"/>
    <w:rsid w:val="00606802"/>
    <w:rsid w:val="0060694E"/>
    <w:rsid w:val="00606B4A"/>
    <w:rsid w:val="006075F1"/>
    <w:rsid w:val="006076F1"/>
    <w:rsid w:val="00607C9E"/>
    <w:rsid w:val="00611B1B"/>
    <w:rsid w:val="00613824"/>
    <w:rsid w:val="0061640E"/>
    <w:rsid w:val="006168C9"/>
    <w:rsid w:val="00620C60"/>
    <w:rsid w:val="006226FC"/>
    <w:rsid w:val="00622B26"/>
    <w:rsid w:val="00623164"/>
    <w:rsid w:val="0062407F"/>
    <w:rsid w:val="00625B81"/>
    <w:rsid w:val="00627A69"/>
    <w:rsid w:val="006305A5"/>
    <w:rsid w:val="00631E11"/>
    <w:rsid w:val="006328C1"/>
    <w:rsid w:val="006329D6"/>
    <w:rsid w:val="006359AC"/>
    <w:rsid w:val="00636C2B"/>
    <w:rsid w:val="006406DB"/>
    <w:rsid w:val="00641793"/>
    <w:rsid w:val="00641877"/>
    <w:rsid w:val="00642352"/>
    <w:rsid w:val="00642616"/>
    <w:rsid w:val="00646D7F"/>
    <w:rsid w:val="0064732F"/>
    <w:rsid w:val="0064780F"/>
    <w:rsid w:val="00651D7D"/>
    <w:rsid w:val="006521D3"/>
    <w:rsid w:val="00653251"/>
    <w:rsid w:val="00654B5A"/>
    <w:rsid w:val="00654CCC"/>
    <w:rsid w:val="00655B53"/>
    <w:rsid w:val="006562F4"/>
    <w:rsid w:val="00656F26"/>
    <w:rsid w:val="00663CF5"/>
    <w:rsid w:val="00665BAF"/>
    <w:rsid w:val="00670248"/>
    <w:rsid w:val="00670D4B"/>
    <w:rsid w:val="00671C0C"/>
    <w:rsid w:val="00672067"/>
    <w:rsid w:val="0067342C"/>
    <w:rsid w:val="006739B4"/>
    <w:rsid w:val="0067413A"/>
    <w:rsid w:val="00675891"/>
    <w:rsid w:val="006777AC"/>
    <w:rsid w:val="006809E5"/>
    <w:rsid w:val="00681317"/>
    <w:rsid w:val="00682F2A"/>
    <w:rsid w:val="00683321"/>
    <w:rsid w:val="00684792"/>
    <w:rsid w:val="00684E95"/>
    <w:rsid w:val="00685AE1"/>
    <w:rsid w:val="00686747"/>
    <w:rsid w:val="00686E2D"/>
    <w:rsid w:val="006874A2"/>
    <w:rsid w:val="006877BB"/>
    <w:rsid w:val="006878C7"/>
    <w:rsid w:val="006913F1"/>
    <w:rsid w:val="00692028"/>
    <w:rsid w:val="00693CC0"/>
    <w:rsid w:val="00695D1A"/>
    <w:rsid w:val="00696525"/>
    <w:rsid w:val="006A0495"/>
    <w:rsid w:val="006A2245"/>
    <w:rsid w:val="006A4206"/>
    <w:rsid w:val="006A5D70"/>
    <w:rsid w:val="006A620E"/>
    <w:rsid w:val="006A688B"/>
    <w:rsid w:val="006A760D"/>
    <w:rsid w:val="006A7B6D"/>
    <w:rsid w:val="006B0871"/>
    <w:rsid w:val="006B0B8A"/>
    <w:rsid w:val="006B1837"/>
    <w:rsid w:val="006B1981"/>
    <w:rsid w:val="006B28B3"/>
    <w:rsid w:val="006B4FDD"/>
    <w:rsid w:val="006B652C"/>
    <w:rsid w:val="006B66DE"/>
    <w:rsid w:val="006B73D8"/>
    <w:rsid w:val="006C04E4"/>
    <w:rsid w:val="006C1A52"/>
    <w:rsid w:val="006C39B8"/>
    <w:rsid w:val="006C3CE4"/>
    <w:rsid w:val="006C7EDA"/>
    <w:rsid w:val="006D11C7"/>
    <w:rsid w:val="006D1F71"/>
    <w:rsid w:val="006D3652"/>
    <w:rsid w:val="006E0515"/>
    <w:rsid w:val="006E0E05"/>
    <w:rsid w:val="006E2E4B"/>
    <w:rsid w:val="006E7C56"/>
    <w:rsid w:val="006F07CB"/>
    <w:rsid w:val="006F162F"/>
    <w:rsid w:val="006F1CFB"/>
    <w:rsid w:val="006F289C"/>
    <w:rsid w:val="006F2A8F"/>
    <w:rsid w:val="006F60EF"/>
    <w:rsid w:val="006F72EF"/>
    <w:rsid w:val="007016CB"/>
    <w:rsid w:val="00701B95"/>
    <w:rsid w:val="00707AA9"/>
    <w:rsid w:val="00710332"/>
    <w:rsid w:val="00710550"/>
    <w:rsid w:val="00711833"/>
    <w:rsid w:val="007126F2"/>
    <w:rsid w:val="00716D58"/>
    <w:rsid w:val="00717199"/>
    <w:rsid w:val="007171FB"/>
    <w:rsid w:val="00721FE0"/>
    <w:rsid w:val="0072371E"/>
    <w:rsid w:val="00723CBC"/>
    <w:rsid w:val="00725E4A"/>
    <w:rsid w:val="00726235"/>
    <w:rsid w:val="00727D0F"/>
    <w:rsid w:val="007308F5"/>
    <w:rsid w:val="00731263"/>
    <w:rsid w:val="00736066"/>
    <w:rsid w:val="00736817"/>
    <w:rsid w:val="00736BB8"/>
    <w:rsid w:val="007370AD"/>
    <w:rsid w:val="00737402"/>
    <w:rsid w:val="007434C3"/>
    <w:rsid w:val="007443D2"/>
    <w:rsid w:val="00745718"/>
    <w:rsid w:val="00745B58"/>
    <w:rsid w:val="00750E48"/>
    <w:rsid w:val="00753588"/>
    <w:rsid w:val="0075743D"/>
    <w:rsid w:val="0076321C"/>
    <w:rsid w:val="00763809"/>
    <w:rsid w:val="00765232"/>
    <w:rsid w:val="0076556A"/>
    <w:rsid w:val="00766610"/>
    <w:rsid w:val="00767D5E"/>
    <w:rsid w:val="00770645"/>
    <w:rsid w:val="00772365"/>
    <w:rsid w:val="00772CDC"/>
    <w:rsid w:val="00772DAE"/>
    <w:rsid w:val="00773A99"/>
    <w:rsid w:val="007745AC"/>
    <w:rsid w:val="00774E4C"/>
    <w:rsid w:val="00776B7B"/>
    <w:rsid w:val="0077754E"/>
    <w:rsid w:val="007778D8"/>
    <w:rsid w:val="00782FF1"/>
    <w:rsid w:val="00784798"/>
    <w:rsid w:val="0078538E"/>
    <w:rsid w:val="00785D33"/>
    <w:rsid w:val="0078641A"/>
    <w:rsid w:val="00786861"/>
    <w:rsid w:val="007910ED"/>
    <w:rsid w:val="00791E5A"/>
    <w:rsid w:val="00794A4D"/>
    <w:rsid w:val="00796016"/>
    <w:rsid w:val="007979B9"/>
    <w:rsid w:val="00797A14"/>
    <w:rsid w:val="007A111D"/>
    <w:rsid w:val="007A184D"/>
    <w:rsid w:val="007A1874"/>
    <w:rsid w:val="007A4B2F"/>
    <w:rsid w:val="007A4EF6"/>
    <w:rsid w:val="007A584B"/>
    <w:rsid w:val="007A5AEA"/>
    <w:rsid w:val="007A7CB1"/>
    <w:rsid w:val="007B0811"/>
    <w:rsid w:val="007B0F3D"/>
    <w:rsid w:val="007B10AA"/>
    <w:rsid w:val="007B256D"/>
    <w:rsid w:val="007B30EE"/>
    <w:rsid w:val="007B3A3E"/>
    <w:rsid w:val="007B51EA"/>
    <w:rsid w:val="007B56A3"/>
    <w:rsid w:val="007B6BDE"/>
    <w:rsid w:val="007B75C0"/>
    <w:rsid w:val="007C1070"/>
    <w:rsid w:val="007C2F4C"/>
    <w:rsid w:val="007C501A"/>
    <w:rsid w:val="007C6372"/>
    <w:rsid w:val="007C6DB5"/>
    <w:rsid w:val="007D0663"/>
    <w:rsid w:val="007D0B55"/>
    <w:rsid w:val="007D0E0F"/>
    <w:rsid w:val="007D4736"/>
    <w:rsid w:val="007D4758"/>
    <w:rsid w:val="007D54BA"/>
    <w:rsid w:val="007D626A"/>
    <w:rsid w:val="007D6429"/>
    <w:rsid w:val="007D64AD"/>
    <w:rsid w:val="007E01D1"/>
    <w:rsid w:val="007E15E4"/>
    <w:rsid w:val="007E33E7"/>
    <w:rsid w:val="007E36C1"/>
    <w:rsid w:val="007E6CC8"/>
    <w:rsid w:val="007F0F4F"/>
    <w:rsid w:val="007F314B"/>
    <w:rsid w:val="007F4A86"/>
    <w:rsid w:val="007F4CBA"/>
    <w:rsid w:val="007F4E0D"/>
    <w:rsid w:val="007F5066"/>
    <w:rsid w:val="007F5E63"/>
    <w:rsid w:val="007F5E7B"/>
    <w:rsid w:val="007F5FD5"/>
    <w:rsid w:val="007F62E9"/>
    <w:rsid w:val="007F725B"/>
    <w:rsid w:val="00800C3F"/>
    <w:rsid w:val="00805497"/>
    <w:rsid w:val="00805E06"/>
    <w:rsid w:val="00806689"/>
    <w:rsid w:val="0080694D"/>
    <w:rsid w:val="00807C95"/>
    <w:rsid w:val="00810ECD"/>
    <w:rsid w:val="00810F2F"/>
    <w:rsid w:val="0081108B"/>
    <w:rsid w:val="008217CC"/>
    <w:rsid w:val="0082206E"/>
    <w:rsid w:val="00822A0A"/>
    <w:rsid w:val="00824BC7"/>
    <w:rsid w:val="0083462F"/>
    <w:rsid w:val="00835DAD"/>
    <w:rsid w:val="00842277"/>
    <w:rsid w:val="00845344"/>
    <w:rsid w:val="00850425"/>
    <w:rsid w:val="00851A73"/>
    <w:rsid w:val="008520BF"/>
    <w:rsid w:val="0085324B"/>
    <w:rsid w:val="008536AC"/>
    <w:rsid w:val="00854FB4"/>
    <w:rsid w:val="008553E3"/>
    <w:rsid w:val="00857A3E"/>
    <w:rsid w:val="00861322"/>
    <w:rsid w:val="008631EC"/>
    <w:rsid w:val="00863ABB"/>
    <w:rsid w:val="00863EE6"/>
    <w:rsid w:val="00865133"/>
    <w:rsid w:val="00870227"/>
    <w:rsid w:val="008708D0"/>
    <w:rsid w:val="0087112C"/>
    <w:rsid w:val="0087155F"/>
    <w:rsid w:val="008725A7"/>
    <w:rsid w:val="00872EA1"/>
    <w:rsid w:val="0087340D"/>
    <w:rsid w:val="008744CD"/>
    <w:rsid w:val="008752A4"/>
    <w:rsid w:val="00877C85"/>
    <w:rsid w:val="00881B2D"/>
    <w:rsid w:val="0088362B"/>
    <w:rsid w:val="0088679B"/>
    <w:rsid w:val="00890E11"/>
    <w:rsid w:val="00891209"/>
    <w:rsid w:val="00891550"/>
    <w:rsid w:val="008921FB"/>
    <w:rsid w:val="00892DAB"/>
    <w:rsid w:val="008930F4"/>
    <w:rsid w:val="0089541C"/>
    <w:rsid w:val="0089772E"/>
    <w:rsid w:val="00897A7B"/>
    <w:rsid w:val="008A02B0"/>
    <w:rsid w:val="008A0601"/>
    <w:rsid w:val="008A17FD"/>
    <w:rsid w:val="008A3938"/>
    <w:rsid w:val="008A4958"/>
    <w:rsid w:val="008A57E5"/>
    <w:rsid w:val="008A6CD7"/>
    <w:rsid w:val="008A75D8"/>
    <w:rsid w:val="008A790F"/>
    <w:rsid w:val="008B258A"/>
    <w:rsid w:val="008B25FE"/>
    <w:rsid w:val="008B59D2"/>
    <w:rsid w:val="008B6490"/>
    <w:rsid w:val="008B7EC0"/>
    <w:rsid w:val="008C0BFB"/>
    <w:rsid w:val="008C122B"/>
    <w:rsid w:val="008C137B"/>
    <w:rsid w:val="008C4345"/>
    <w:rsid w:val="008C7EC2"/>
    <w:rsid w:val="008D2F3F"/>
    <w:rsid w:val="008D54E2"/>
    <w:rsid w:val="008D74B7"/>
    <w:rsid w:val="008E0681"/>
    <w:rsid w:val="008E30E3"/>
    <w:rsid w:val="008E3978"/>
    <w:rsid w:val="008E4F56"/>
    <w:rsid w:val="008E5847"/>
    <w:rsid w:val="008E5A0E"/>
    <w:rsid w:val="008E7206"/>
    <w:rsid w:val="008E7B9B"/>
    <w:rsid w:val="008E7DCE"/>
    <w:rsid w:val="008F188F"/>
    <w:rsid w:val="008F4EA5"/>
    <w:rsid w:val="008F6D3C"/>
    <w:rsid w:val="008F6DB9"/>
    <w:rsid w:val="008F76F2"/>
    <w:rsid w:val="00901664"/>
    <w:rsid w:val="00903281"/>
    <w:rsid w:val="009058D1"/>
    <w:rsid w:val="0090680E"/>
    <w:rsid w:val="00911BCA"/>
    <w:rsid w:val="00914E18"/>
    <w:rsid w:val="0091517C"/>
    <w:rsid w:val="0091604E"/>
    <w:rsid w:val="0091613B"/>
    <w:rsid w:val="00916320"/>
    <w:rsid w:val="00916608"/>
    <w:rsid w:val="00924C00"/>
    <w:rsid w:val="009261F8"/>
    <w:rsid w:val="009329E9"/>
    <w:rsid w:val="00932E60"/>
    <w:rsid w:val="0093344A"/>
    <w:rsid w:val="0093409A"/>
    <w:rsid w:val="00934E39"/>
    <w:rsid w:val="009400D6"/>
    <w:rsid w:val="00940C29"/>
    <w:rsid w:val="009423C7"/>
    <w:rsid w:val="00943417"/>
    <w:rsid w:val="00945817"/>
    <w:rsid w:val="009459F5"/>
    <w:rsid w:val="00947E50"/>
    <w:rsid w:val="009508BD"/>
    <w:rsid w:val="009522A2"/>
    <w:rsid w:val="00952440"/>
    <w:rsid w:val="00952A0C"/>
    <w:rsid w:val="00953268"/>
    <w:rsid w:val="00953B46"/>
    <w:rsid w:val="00954FFE"/>
    <w:rsid w:val="0095563E"/>
    <w:rsid w:val="009561C3"/>
    <w:rsid w:val="00957203"/>
    <w:rsid w:val="00957AC3"/>
    <w:rsid w:val="00960651"/>
    <w:rsid w:val="00962862"/>
    <w:rsid w:val="009628B8"/>
    <w:rsid w:val="00964740"/>
    <w:rsid w:val="009648C5"/>
    <w:rsid w:val="009658D5"/>
    <w:rsid w:val="0096626F"/>
    <w:rsid w:val="00966AE7"/>
    <w:rsid w:val="00970CF6"/>
    <w:rsid w:val="00973910"/>
    <w:rsid w:val="009763B8"/>
    <w:rsid w:val="009801D0"/>
    <w:rsid w:val="00980364"/>
    <w:rsid w:val="0098269F"/>
    <w:rsid w:val="009834FE"/>
    <w:rsid w:val="0098402C"/>
    <w:rsid w:val="00984D86"/>
    <w:rsid w:val="0098594B"/>
    <w:rsid w:val="0098616F"/>
    <w:rsid w:val="009866F8"/>
    <w:rsid w:val="00986B3C"/>
    <w:rsid w:val="00986D4B"/>
    <w:rsid w:val="00987E5C"/>
    <w:rsid w:val="00990761"/>
    <w:rsid w:val="00990AD8"/>
    <w:rsid w:val="00992549"/>
    <w:rsid w:val="009960C3"/>
    <w:rsid w:val="009971D1"/>
    <w:rsid w:val="009974DB"/>
    <w:rsid w:val="009A011A"/>
    <w:rsid w:val="009A2399"/>
    <w:rsid w:val="009A3670"/>
    <w:rsid w:val="009A50A7"/>
    <w:rsid w:val="009A5BD2"/>
    <w:rsid w:val="009A69A2"/>
    <w:rsid w:val="009A7EAD"/>
    <w:rsid w:val="009B1FB0"/>
    <w:rsid w:val="009B4B2B"/>
    <w:rsid w:val="009B72A1"/>
    <w:rsid w:val="009C0F18"/>
    <w:rsid w:val="009C130A"/>
    <w:rsid w:val="009C2CB1"/>
    <w:rsid w:val="009C2EA9"/>
    <w:rsid w:val="009C3445"/>
    <w:rsid w:val="009C35CD"/>
    <w:rsid w:val="009C3C83"/>
    <w:rsid w:val="009C48E8"/>
    <w:rsid w:val="009C5947"/>
    <w:rsid w:val="009C7125"/>
    <w:rsid w:val="009D1219"/>
    <w:rsid w:val="009D5733"/>
    <w:rsid w:val="009D61CF"/>
    <w:rsid w:val="009D64B5"/>
    <w:rsid w:val="009E1EE1"/>
    <w:rsid w:val="009E3F96"/>
    <w:rsid w:val="009E6684"/>
    <w:rsid w:val="009F03CB"/>
    <w:rsid w:val="009F32DD"/>
    <w:rsid w:val="009F41A7"/>
    <w:rsid w:val="009F5B0A"/>
    <w:rsid w:val="009F75D4"/>
    <w:rsid w:val="009F770B"/>
    <w:rsid w:val="00A024C4"/>
    <w:rsid w:val="00A02F29"/>
    <w:rsid w:val="00A032FD"/>
    <w:rsid w:val="00A057FE"/>
    <w:rsid w:val="00A07A3F"/>
    <w:rsid w:val="00A1005C"/>
    <w:rsid w:val="00A1046A"/>
    <w:rsid w:val="00A12AF6"/>
    <w:rsid w:val="00A148ED"/>
    <w:rsid w:val="00A209CD"/>
    <w:rsid w:val="00A21223"/>
    <w:rsid w:val="00A21340"/>
    <w:rsid w:val="00A21D7D"/>
    <w:rsid w:val="00A23686"/>
    <w:rsid w:val="00A242E3"/>
    <w:rsid w:val="00A25E63"/>
    <w:rsid w:val="00A25F69"/>
    <w:rsid w:val="00A278D9"/>
    <w:rsid w:val="00A31582"/>
    <w:rsid w:val="00A32200"/>
    <w:rsid w:val="00A3220B"/>
    <w:rsid w:val="00A327CB"/>
    <w:rsid w:val="00A33F44"/>
    <w:rsid w:val="00A3453D"/>
    <w:rsid w:val="00A35095"/>
    <w:rsid w:val="00A363E0"/>
    <w:rsid w:val="00A408A1"/>
    <w:rsid w:val="00A42C75"/>
    <w:rsid w:val="00A43E12"/>
    <w:rsid w:val="00A4407B"/>
    <w:rsid w:val="00A44645"/>
    <w:rsid w:val="00A44FF1"/>
    <w:rsid w:val="00A45D46"/>
    <w:rsid w:val="00A46546"/>
    <w:rsid w:val="00A479BA"/>
    <w:rsid w:val="00A500BA"/>
    <w:rsid w:val="00A506F2"/>
    <w:rsid w:val="00A529CB"/>
    <w:rsid w:val="00A5338C"/>
    <w:rsid w:val="00A544A0"/>
    <w:rsid w:val="00A5487E"/>
    <w:rsid w:val="00A55091"/>
    <w:rsid w:val="00A5694F"/>
    <w:rsid w:val="00A56DE7"/>
    <w:rsid w:val="00A631BF"/>
    <w:rsid w:val="00A64462"/>
    <w:rsid w:val="00A64830"/>
    <w:rsid w:val="00A658F6"/>
    <w:rsid w:val="00A66BF6"/>
    <w:rsid w:val="00A67481"/>
    <w:rsid w:val="00A70D32"/>
    <w:rsid w:val="00A710A8"/>
    <w:rsid w:val="00A7187A"/>
    <w:rsid w:val="00A751F6"/>
    <w:rsid w:val="00A7553C"/>
    <w:rsid w:val="00A75951"/>
    <w:rsid w:val="00A77AA2"/>
    <w:rsid w:val="00A80663"/>
    <w:rsid w:val="00A80CE8"/>
    <w:rsid w:val="00A80E09"/>
    <w:rsid w:val="00A8348C"/>
    <w:rsid w:val="00A836F5"/>
    <w:rsid w:val="00A837A7"/>
    <w:rsid w:val="00A8401A"/>
    <w:rsid w:val="00A8425C"/>
    <w:rsid w:val="00A85738"/>
    <w:rsid w:val="00A863BB"/>
    <w:rsid w:val="00A8731D"/>
    <w:rsid w:val="00A87CBF"/>
    <w:rsid w:val="00A96C25"/>
    <w:rsid w:val="00A96E74"/>
    <w:rsid w:val="00AA024B"/>
    <w:rsid w:val="00AA0257"/>
    <w:rsid w:val="00AA0BCD"/>
    <w:rsid w:val="00AA11E4"/>
    <w:rsid w:val="00AA132E"/>
    <w:rsid w:val="00AA19DB"/>
    <w:rsid w:val="00AA2E25"/>
    <w:rsid w:val="00AA62BB"/>
    <w:rsid w:val="00AA7276"/>
    <w:rsid w:val="00AA778B"/>
    <w:rsid w:val="00AA7AA2"/>
    <w:rsid w:val="00AB2900"/>
    <w:rsid w:val="00AB3884"/>
    <w:rsid w:val="00AB495B"/>
    <w:rsid w:val="00AB4C98"/>
    <w:rsid w:val="00AB4FEB"/>
    <w:rsid w:val="00AB526F"/>
    <w:rsid w:val="00AB5AC6"/>
    <w:rsid w:val="00AB5EE7"/>
    <w:rsid w:val="00AB78BE"/>
    <w:rsid w:val="00AC073D"/>
    <w:rsid w:val="00AC1FD0"/>
    <w:rsid w:val="00AC5B8D"/>
    <w:rsid w:val="00AC6D2F"/>
    <w:rsid w:val="00AD0304"/>
    <w:rsid w:val="00AD0BE6"/>
    <w:rsid w:val="00AD2039"/>
    <w:rsid w:val="00AD313A"/>
    <w:rsid w:val="00AD59AA"/>
    <w:rsid w:val="00AD59EB"/>
    <w:rsid w:val="00AD7165"/>
    <w:rsid w:val="00AE0573"/>
    <w:rsid w:val="00AE1D65"/>
    <w:rsid w:val="00AE351C"/>
    <w:rsid w:val="00AE5D83"/>
    <w:rsid w:val="00AE7702"/>
    <w:rsid w:val="00AF0EE3"/>
    <w:rsid w:val="00AF18BD"/>
    <w:rsid w:val="00AF1E2B"/>
    <w:rsid w:val="00AF33B8"/>
    <w:rsid w:val="00AF3C2E"/>
    <w:rsid w:val="00AF45FA"/>
    <w:rsid w:val="00AF4607"/>
    <w:rsid w:val="00AF54DA"/>
    <w:rsid w:val="00AF6088"/>
    <w:rsid w:val="00AF682E"/>
    <w:rsid w:val="00B00A1B"/>
    <w:rsid w:val="00B010AC"/>
    <w:rsid w:val="00B0129F"/>
    <w:rsid w:val="00B0138E"/>
    <w:rsid w:val="00B0428B"/>
    <w:rsid w:val="00B051A1"/>
    <w:rsid w:val="00B107EC"/>
    <w:rsid w:val="00B13B3D"/>
    <w:rsid w:val="00B14020"/>
    <w:rsid w:val="00B15A03"/>
    <w:rsid w:val="00B16F95"/>
    <w:rsid w:val="00B17597"/>
    <w:rsid w:val="00B21FDD"/>
    <w:rsid w:val="00B239A2"/>
    <w:rsid w:val="00B262E6"/>
    <w:rsid w:val="00B31440"/>
    <w:rsid w:val="00B32DC6"/>
    <w:rsid w:val="00B33D89"/>
    <w:rsid w:val="00B343A5"/>
    <w:rsid w:val="00B344C0"/>
    <w:rsid w:val="00B35684"/>
    <w:rsid w:val="00B35B9D"/>
    <w:rsid w:val="00B36D44"/>
    <w:rsid w:val="00B36E69"/>
    <w:rsid w:val="00B376E9"/>
    <w:rsid w:val="00B3779A"/>
    <w:rsid w:val="00B37EE6"/>
    <w:rsid w:val="00B404E2"/>
    <w:rsid w:val="00B40B1C"/>
    <w:rsid w:val="00B421BA"/>
    <w:rsid w:val="00B425EB"/>
    <w:rsid w:val="00B42B98"/>
    <w:rsid w:val="00B445BE"/>
    <w:rsid w:val="00B4553C"/>
    <w:rsid w:val="00B47D31"/>
    <w:rsid w:val="00B513E7"/>
    <w:rsid w:val="00B53BB4"/>
    <w:rsid w:val="00B542A4"/>
    <w:rsid w:val="00B54E9A"/>
    <w:rsid w:val="00B5506A"/>
    <w:rsid w:val="00B5537D"/>
    <w:rsid w:val="00B6092A"/>
    <w:rsid w:val="00B63D5D"/>
    <w:rsid w:val="00B669DB"/>
    <w:rsid w:val="00B67C71"/>
    <w:rsid w:val="00B71DF5"/>
    <w:rsid w:val="00B72132"/>
    <w:rsid w:val="00B72429"/>
    <w:rsid w:val="00B75B4E"/>
    <w:rsid w:val="00B76D19"/>
    <w:rsid w:val="00B775E7"/>
    <w:rsid w:val="00B80BB9"/>
    <w:rsid w:val="00B81F75"/>
    <w:rsid w:val="00B82EF3"/>
    <w:rsid w:val="00B846CF"/>
    <w:rsid w:val="00B85CA1"/>
    <w:rsid w:val="00B877F1"/>
    <w:rsid w:val="00B9000A"/>
    <w:rsid w:val="00B903C7"/>
    <w:rsid w:val="00B91C3D"/>
    <w:rsid w:val="00B9596A"/>
    <w:rsid w:val="00B961FF"/>
    <w:rsid w:val="00B96651"/>
    <w:rsid w:val="00B97303"/>
    <w:rsid w:val="00BA2CA7"/>
    <w:rsid w:val="00BA33E4"/>
    <w:rsid w:val="00BA5AC3"/>
    <w:rsid w:val="00BA5AF5"/>
    <w:rsid w:val="00BA77C2"/>
    <w:rsid w:val="00BA7F7F"/>
    <w:rsid w:val="00BB07FA"/>
    <w:rsid w:val="00BB4660"/>
    <w:rsid w:val="00BB4B9E"/>
    <w:rsid w:val="00BB56DF"/>
    <w:rsid w:val="00BB79E5"/>
    <w:rsid w:val="00BC033D"/>
    <w:rsid w:val="00BC0972"/>
    <w:rsid w:val="00BC0D5A"/>
    <w:rsid w:val="00BC1090"/>
    <w:rsid w:val="00BC21C4"/>
    <w:rsid w:val="00BC2FE4"/>
    <w:rsid w:val="00BC55B0"/>
    <w:rsid w:val="00BC5639"/>
    <w:rsid w:val="00BC5B6A"/>
    <w:rsid w:val="00BC7D1F"/>
    <w:rsid w:val="00BD35B1"/>
    <w:rsid w:val="00BD5135"/>
    <w:rsid w:val="00BD679F"/>
    <w:rsid w:val="00BD6CEC"/>
    <w:rsid w:val="00BD744E"/>
    <w:rsid w:val="00BD7E41"/>
    <w:rsid w:val="00BE07A7"/>
    <w:rsid w:val="00BE0C47"/>
    <w:rsid w:val="00BE1084"/>
    <w:rsid w:val="00BE1B57"/>
    <w:rsid w:val="00BE279C"/>
    <w:rsid w:val="00BE2AF7"/>
    <w:rsid w:val="00BE3204"/>
    <w:rsid w:val="00BE3F3D"/>
    <w:rsid w:val="00BF00FA"/>
    <w:rsid w:val="00BF44A7"/>
    <w:rsid w:val="00BF588B"/>
    <w:rsid w:val="00C004FC"/>
    <w:rsid w:val="00C03D5D"/>
    <w:rsid w:val="00C03F40"/>
    <w:rsid w:val="00C06CB7"/>
    <w:rsid w:val="00C07A47"/>
    <w:rsid w:val="00C1087F"/>
    <w:rsid w:val="00C10ACD"/>
    <w:rsid w:val="00C128A0"/>
    <w:rsid w:val="00C12E02"/>
    <w:rsid w:val="00C135D2"/>
    <w:rsid w:val="00C13F23"/>
    <w:rsid w:val="00C14F11"/>
    <w:rsid w:val="00C15566"/>
    <w:rsid w:val="00C17804"/>
    <w:rsid w:val="00C2017F"/>
    <w:rsid w:val="00C21058"/>
    <w:rsid w:val="00C22576"/>
    <w:rsid w:val="00C233BE"/>
    <w:rsid w:val="00C23FCE"/>
    <w:rsid w:val="00C24CC3"/>
    <w:rsid w:val="00C24D23"/>
    <w:rsid w:val="00C2678A"/>
    <w:rsid w:val="00C30A54"/>
    <w:rsid w:val="00C30B39"/>
    <w:rsid w:val="00C315E0"/>
    <w:rsid w:val="00C32C3F"/>
    <w:rsid w:val="00C32CC2"/>
    <w:rsid w:val="00C3428C"/>
    <w:rsid w:val="00C3521B"/>
    <w:rsid w:val="00C35858"/>
    <w:rsid w:val="00C358E9"/>
    <w:rsid w:val="00C42343"/>
    <w:rsid w:val="00C43C13"/>
    <w:rsid w:val="00C449AA"/>
    <w:rsid w:val="00C4582C"/>
    <w:rsid w:val="00C45CCB"/>
    <w:rsid w:val="00C461BB"/>
    <w:rsid w:val="00C478F1"/>
    <w:rsid w:val="00C51D90"/>
    <w:rsid w:val="00C529CD"/>
    <w:rsid w:val="00C54DE5"/>
    <w:rsid w:val="00C5658A"/>
    <w:rsid w:val="00C62712"/>
    <w:rsid w:val="00C62931"/>
    <w:rsid w:val="00C633ED"/>
    <w:rsid w:val="00C65854"/>
    <w:rsid w:val="00C72012"/>
    <w:rsid w:val="00C749C5"/>
    <w:rsid w:val="00C759F5"/>
    <w:rsid w:val="00C77F68"/>
    <w:rsid w:val="00C83321"/>
    <w:rsid w:val="00C840B6"/>
    <w:rsid w:val="00C85258"/>
    <w:rsid w:val="00C90B08"/>
    <w:rsid w:val="00C9132C"/>
    <w:rsid w:val="00C918D9"/>
    <w:rsid w:val="00C92ED8"/>
    <w:rsid w:val="00C9354C"/>
    <w:rsid w:val="00C94713"/>
    <w:rsid w:val="00C94DB4"/>
    <w:rsid w:val="00C957DB"/>
    <w:rsid w:val="00C9589F"/>
    <w:rsid w:val="00C96BD1"/>
    <w:rsid w:val="00CA09EB"/>
    <w:rsid w:val="00CA09ED"/>
    <w:rsid w:val="00CA25AF"/>
    <w:rsid w:val="00CA2DB3"/>
    <w:rsid w:val="00CA3926"/>
    <w:rsid w:val="00CA4365"/>
    <w:rsid w:val="00CA6F49"/>
    <w:rsid w:val="00CA7336"/>
    <w:rsid w:val="00CA7340"/>
    <w:rsid w:val="00CB0989"/>
    <w:rsid w:val="00CB1479"/>
    <w:rsid w:val="00CB24B1"/>
    <w:rsid w:val="00CB4D6D"/>
    <w:rsid w:val="00CB59E3"/>
    <w:rsid w:val="00CB5ED3"/>
    <w:rsid w:val="00CB7A8D"/>
    <w:rsid w:val="00CC19D4"/>
    <w:rsid w:val="00CC2254"/>
    <w:rsid w:val="00CC3019"/>
    <w:rsid w:val="00CC5071"/>
    <w:rsid w:val="00CC51D5"/>
    <w:rsid w:val="00CC52CB"/>
    <w:rsid w:val="00CC61D4"/>
    <w:rsid w:val="00CC6612"/>
    <w:rsid w:val="00CC7C4B"/>
    <w:rsid w:val="00CD115B"/>
    <w:rsid w:val="00CD4D8B"/>
    <w:rsid w:val="00CD52A3"/>
    <w:rsid w:val="00CD5BED"/>
    <w:rsid w:val="00CE29DC"/>
    <w:rsid w:val="00CE2D88"/>
    <w:rsid w:val="00CE2ECC"/>
    <w:rsid w:val="00CE3506"/>
    <w:rsid w:val="00CE3660"/>
    <w:rsid w:val="00CE6A59"/>
    <w:rsid w:val="00CE730F"/>
    <w:rsid w:val="00CE7CD9"/>
    <w:rsid w:val="00CE7F91"/>
    <w:rsid w:val="00CF08D7"/>
    <w:rsid w:val="00CF1F23"/>
    <w:rsid w:val="00CF334A"/>
    <w:rsid w:val="00CF50C0"/>
    <w:rsid w:val="00CF5472"/>
    <w:rsid w:val="00CF7FF0"/>
    <w:rsid w:val="00D0105F"/>
    <w:rsid w:val="00D0155F"/>
    <w:rsid w:val="00D02DE4"/>
    <w:rsid w:val="00D04EE0"/>
    <w:rsid w:val="00D0506A"/>
    <w:rsid w:val="00D0519F"/>
    <w:rsid w:val="00D05453"/>
    <w:rsid w:val="00D10821"/>
    <w:rsid w:val="00D12407"/>
    <w:rsid w:val="00D12AAE"/>
    <w:rsid w:val="00D16566"/>
    <w:rsid w:val="00D20740"/>
    <w:rsid w:val="00D20ACB"/>
    <w:rsid w:val="00D21841"/>
    <w:rsid w:val="00D23FAE"/>
    <w:rsid w:val="00D2514E"/>
    <w:rsid w:val="00D278B8"/>
    <w:rsid w:val="00D30159"/>
    <w:rsid w:val="00D307E2"/>
    <w:rsid w:val="00D313D2"/>
    <w:rsid w:val="00D33484"/>
    <w:rsid w:val="00D3561D"/>
    <w:rsid w:val="00D35B2D"/>
    <w:rsid w:val="00D362C6"/>
    <w:rsid w:val="00D400A6"/>
    <w:rsid w:val="00D449B8"/>
    <w:rsid w:val="00D45599"/>
    <w:rsid w:val="00D4616C"/>
    <w:rsid w:val="00D50CBE"/>
    <w:rsid w:val="00D515CB"/>
    <w:rsid w:val="00D516CC"/>
    <w:rsid w:val="00D5263C"/>
    <w:rsid w:val="00D5395B"/>
    <w:rsid w:val="00D555E2"/>
    <w:rsid w:val="00D56D9D"/>
    <w:rsid w:val="00D579DE"/>
    <w:rsid w:val="00D60470"/>
    <w:rsid w:val="00D61826"/>
    <w:rsid w:val="00D62879"/>
    <w:rsid w:val="00D63A9D"/>
    <w:rsid w:val="00D64025"/>
    <w:rsid w:val="00D64852"/>
    <w:rsid w:val="00D65948"/>
    <w:rsid w:val="00D66143"/>
    <w:rsid w:val="00D66C8A"/>
    <w:rsid w:val="00D67637"/>
    <w:rsid w:val="00D70E18"/>
    <w:rsid w:val="00D71798"/>
    <w:rsid w:val="00D72923"/>
    <w:rsid w:val="00D731AE"/>
    <w:rsid w:val="00D7327E"/>
    <w:rsid w:val="00D77F71"/>
    <w:rsid w:val="00D801D1"/>
    <w:rsid w:val="00D80B8A"/>
    <w:rsid w:val="00D80C2D"/>
    <w:rsid w:val="00D83911"/>
    <w:rsid w:val="00D84367"/>
    <w:rsid w:val="00D84F65"/>
    <w:rsid w:val="00D90F4A"/>
    <w:rsid w:val="00D91EB3"/>
    <w:rsid w:val="00D922AF"/>
    <w:rsid w:val="00D92F0F"/>
    <w:rsid w:val="00D933FC"/>
    <w:rsid w:val="00D93B25"/>
    <w:rsid w:val="00D94017"/>
    <w:rsid w:val="00D955C6"/>
    <w:rsid w:val="00D95FE5"/>
    <w:rsid w:val="00D9722C"/>
    <w:rsid w:val="00D974DF"/>
    <w:rsid w:val="00DA1ABF"/>
    <w:rsid w:val="00DA2BBF"/>
    <w:rsid w:val="00DA2D13"/>
    <w:rsid w:val="00DA458A"/>
    <w:rsid w:val="00DA47F5"/>
    <w:rsid w:val="00DA4AA0"/>
    <w:rsid w:val="00DA6AFB"/>
    <w:rsid w:val="00DA78CE"/>
    <w:rsid w:val="00DB03C7"/>
    <w:rsid w:val="00DB4A42"/>
    <w:rsid w:val="00DB4D95"/>
    <w:rsid w:val="00DB56DA"/>
    <w:rsid w:val="00DB59A1"/>
    <w:rsid w:val="00DB5D89"/>
    <w:rsid w:val="00DB5F4B"/>
    <w:rsid w:val="00DB7F2F"/>
    <w:rsid w:val="00DC0974"/>
    <w:rsid w:val="00DC0A31"/>
    <w:rsid w:val="00DC20FB"/>
    <w:rsid w:val="00DC289F"/>
    <w:rsid w:val="00DC5842"/>
    <w:rsid w:val="00DC67EE"/>
    <w:rsid w:val="00DC6A7D"/>
    <w:rsid w:val="00DC7D95"/>
    <w:rsid w:val="00DD0F43"/>
    <w:rsid w:val="00DD176F"/>
    <w:rsid w:val="00DD2DA0"/>
    <w:rsid w:val="00DD39D4"/>
    <w:rsid w:val="00DE041D"/>
    <w:rsid w:val="00DE0A93"/>
    <w:rsid w:val="00DE1F7A"/>
    <w:rsid w:val="00DE435D"/>
    <w:rsid w:val="00DE7992"/>
    <w:rsid w:val="00DF0425"/>
    <w:rsid w:val="00DF2C51"/>
    <w:rsid w:val="00DF3035"/>
    <w:rsid w:val="00DF3C15"/>
    <w:rsid w:val="00DF3D51"/>
    <w:rsid w:val="00DF531D"/>
    <w:rsid w:val="00E00681"/>
    <w:rsid w:val="00E02217"/>
    <w:rsid w:val="00E0308E"/>
    <w:rsid w:val="00E05B3E"/>
    <w:rsid w:val="00E05D2D"/>
    <w:rsid w:val="00E06E9B"/>
    <w:rsid w:val="00E07034"/>
    <w:rsid w:val="00E07DCF"/>
    <w:rsid w:val="00E10DB2"/>
    <w:rsid w:val="00E12660"/>
    <w:rsid w:val="00E1279E"/>
    <w:rsid w:val="00E13769"/>
    <w:rsid w:val="00E15046"/>
    <w:rsid w:val="00E15A12"/>
    <w:rsid w:val="00E17B9E"/>
    <w:rsid w:val="00E209F0"/>
    <w:rsid w:val="00E21251"/>
    <w:rsid w:val="00E21619"/>
    <w:rsid w:val="00E2219E"/>
    <w:rsid w:val="00E222DD"/>
    <w:rsid w:val="00E22CC7"/>
    <w:rsid w:val="00E22FD2"/>
    <w:rsid w:val="00E25DCE"/>
    <w:rsid w:val="00E27865"/>
    <w:rsid w:val="00E27909"/>
    <w:rsid w:val="00E3079B"/>
    <w:rsid w:val="00E32C25"/>
    <w:rsid w:val="00E34226"/>
    <w:rsid w:val="00E34C24"/>
    <w:rsid w:val="00E354A2"/>
    <w:rsid w:val="00E36F7C"/>
    <w:rsid w:val="00E403B0"/>
    <w:rsid w:val="00E407DB"/>
    <w:rsid w:val="00E42F44"/>
    <w:rsid w:val="00E466BC"/>
    <w:rsid w:val="00E46BD5"/>
    <w:rsid w:val="00E47071"/>
    <w:rsid w:val="00E50146"/>
    <w:rsid w:val="00E501D9"/>
    <w:rsid w:val="00E50247"/>
    <w:rsid w:val="00E505FA"/>
    <w:rsid w:val="00E514B7"/>
    <w:rsid w:val="00E52278"/>
    <w:rsid w:val="00E574EB"/>
    <w:rsid w:val="00E617C9"/>
    <w:rsid w:val="00E62F95"/>
    <w:rsid w:val="00E65672"/>
    <w:rsid w:val="00E65E19"/>
    <w:rsid w:val="00E70122"/>
    <w:rsid w:val="00E72481"/>
    <w:rsid w:val="00E72A08"/>
    <w:rsid w:val="00E74000"/>
    <w:rsid w:val="00E75332"/>
    <w:rsid w:val="00E7596F"/>
    <w:rsid w:val="00E76F07"/>
    <w:rsid w:val="00E77DC5"/>
    <w:rsid w:val="00E802CD"/>
    <w:rsid w:val="00E82768"/>
    <w:rsid w:val="00E84D2F"/>
    <w:rsid w:val="00E854A3"/>
    <w:rsid w:val="00E91407"/>
    <w:rsid w:val="00E918FD"/>
    <w:rsid w:val="00E92EA7"/>
    <w:rsid w:val="00E93EA4"/>
    <w:rsid w:val="00E953EC"/>
    <w:rsid w:val="00E9548B"/>
    <w:rsid w:val="00E96292"/>
    <w:rsid w:val="00EA37C1"/>
    <w:rsid w:val="00EA3A0E"/>
    <w:rsid w:val="00EA4DB7"/>
    <w:rsid w:val="00EA5160"/>
    <w:rsid w:val="00EB1380"/>
    <w:rsid w:val="00EB1F50"/>
    <w:rsid w:val="00EB1FA4"/>
    <w:rsid w:val="00EB209D"/>
    <w:rsid w:val="00EB239A"/>
    <w:rsid w:val="00EB26E0"/>
    <w:rsid w:val="00EB530E"/>
    <w:rsid w:val="00EB5AD0"/>
    <w:rsid w:val="00EB5CDD"/>
    <w:rsid w:val="00EB75DA"/>
    <w:rsid w:val="00EB7BAC"/>
    <w:rsid w:val="00EC0882"/>
    <w:rsid w:val="00EC0D43"/>
    <w:rsid w:val="00EC1275"/>
    <w:rsid w:val="00EC1773"/>
    <w:rsid w:val="00EC34C5"/>
    <w:rsid w:val="00EC3E72"/>
    <w:rsid w:val="00EC4592"/>
    <w:rsid w:val="00EC7388"/>
    <w:rsid w:val="00ED2325"/>
    <w:rsid w:val="00ED3645"/>
    <w:rsid w:val="00ED626D"/>
    <w:rsid w:val="00ED6D6D"/>
    <w:rsid w:val="00EE0227"/>
    <w:rsid w:val="00EE0FAF"/>
    <w:rsid w:val="00EE25F5"/>
    <w:rsid w:val="00EE34C5"/>
    <w:rsid w:val="00EE38A8"/>
    <w:rsid w:val="00EE39FA"/>
    <w:rsid w:val="00EE4EE0"/>
    <w:rsid w:val="00EE7B83"/>
    <w:rsid w:val="00EF1A71"/>
    <w:rsid w:val="00EF4193"/>
    <w:rsid w:val="00EF4971"/>
    <w:rsid w:val="00EF4A33"/>
    <w:rsid w:val="00EF4EF8"/>
    <w:rsid w:val="00EF68CF"/>
    <w:rsid w:val="00EF725A"/>
    <w:rsid w:val="00EF745D"/>
    <w:rsid w:val="00F0402B"/>
    <w:rsid w:val="00F064A8"/>
    <w:rsid w:val="00F06DF8"/>
    <w:rsid w:val="00F07D4A"/>
    <w:rsid w:val="00F11D62"/>
    <w:rsid w:val="00F13EE7"/>
    <w:rsid w:val="00F14AB1"/>
    <w:rsid w:val="00F2094C"/>
    <w:rsid w:val="00F20959"/>
    <w:rsid w:val="00F214F0"/>
    <w:rsid w:val="00F226A5"/>
    <w:rsid w:val="00F24117"/>
    <w:rsid w:val="00F249E5"/>
    <w:rsid w:val="00F31D68"/>
    <w:rsid w:val="00F35880"/>
    <w:rsid w:val="00F3719F"/>
    <w:rsid w:val="00F37671"/>
    <w:rsid w:val="00F37978"/>
    <w:rsid w:val="00F406FF"/>
    <w:rsid w:val="00F40B1C"/>
    <w:rsid w:val="00F416BA"/>
    <w:rsid w:val="00F44D6E"/>
    <w:rsid w:val="00F44EDD"/>
    <w:rsid w:val="00F47CA7"/>
    <w:rsid w:val="00F5029A"/>
    <w:rsid w:val="00F5444C"/>
    <w:rsid w:val="00F55349"/>
    <w:rsid w:val="00F562FD"/>
    <w:rsid w:val="00F6090D"/>
    <w:rsid w:val="00F60BD8"/>
    <w:rsid w:val="00F611DB"/>
    <w:rsid w:val="00F61819"/>
    <w:rsid w:val="00F618C0"/>
    <w:rsid w:val="00F61A9E"/>
    <w:rsid w:val="00F632F9"/>
    <w:rsid w:val="00F64149"/>
    <w:rsid w:val="00F65694"/>
    <w:rsid w:val="00F65727"/>
    <w:rsid w:val="00F65ACB"/>
    <w:rsid w:val="00F67426"/>
    <w:rsid w:val="00F71721"/>
    <w:rsid w:val="00F72C34"/>
    <w:rsid w:val="00F732E3"/>
    <w:rsid w:val="00F7548D"/>
    <w:rsid w:val="00F76AA7"/>
    <w:rsid w:val="00F76C28"/>
    <w:rsid w:val="00F77ACC"/>
    <w:rsid w:val="00F8171A"/>
    <w:rsid w:val="00F81906"/>
    <w:rsid w:val="00F82357"/>
    <w:rsid w:val="00F84BFF"/>
    <w:rsid w:val="00F87610"/>
    <w:rsid w:val="00F87FAC"/>
    <w:rsid w:val="00F90595"/>
    <w:rsid w:val="00F908DB"/>
    <w:rsid w:val="00F91CD6"/>
    <w:rsid w:val="00F924D2"/>
    <w:rsid w:val="00F97B62"/>
    <w:rsid w:val="00FA109D"/>
    <w:rsid w:val="00FA30CB"/>
    <w:rsid w:val="00FA372B"/>
    <w:rsid w:val="00FA398E"/>
    <w:rsid w:val="00FA3AED"/>
    <w:rsid w:val="00FA41A5"/>
    <w:rsid w:val="00FA59E8"/>
    <w:rsid w:val="00FA6006"/>
    <w:rsid w:val="00FA7254"/>
    <w:rsid w:val="00FA7C48"/>
    <w:rsid w:val="00FB1903"/>
    <w:rsid w:val="00FB2AF5"/>
    <w:rsid w:val="00FB75F3"/>
    <w:rsid w:val="00FB7BFF"/>
    <w:rsid w:val="00FC177D"/>
    <w:rsid w:val="00FC1E53"/>
    <w:rsid w:val="00FC28F5"/>
    <w:rsid w:val="00FC3B6C"/>
    <w:rsid w:val="00FC794B"/>
    <w:rsid w:val="00FD0186"/>
    <w:rsid w:val="00FD1B8E"/>
    <w:rsid w:val="00FD2D5E"/>
    <w:rsid w:val="00FD3C56"/>
    <w:rsid w:val="00FD4046"/>
    <w:rsid w:val="00FD457D"/>
    <w:rsid w:val="00FD5EF6"/>
    <w:rsid w:val="00FD616B"/>
    <w:rsid w:val="00FD6696"/>
    <w:rsid w:val="00FD7930"/>
    <w:rsid w:val="00FE0640"/>
    <w:rsid w:val="00FE1DB6"/>
    <w:rsid w:val="00FE3132"/>
    <w:rsid w:val="00FE3B03"/>
    <w:rsid w:val="00FE3B7B"/>
    <w:rsid w:val="00FE40EF"/>
    <w:rsid w:val="00FE7289"/>
    <w:rsid w:val="00FF101B"/>
    <w:rsid w:val="00FF254E"/>
    <w:rsid w:val="00FF4595"/>
    <w:rsid w:val="0674E499"/>
    <w:rsid w:val="0B4855BC"/>
    <w:rsid w:val="0C7353EA"/>
    <w:rsid w:val="0CE4261D"/>
    <w:rsid w:val="0D664EB6"/>
    <w:rsid w:val="15860A99"/>
    <w:rsid w:val="167C2A71"/>
    <w:rsid w:val="178FC983"/>
    <w:rsid w:val="190A516C"/>
    <w:rsid w:val="24F420F5"/>
    <w:rsid w:val="2AEB3C52"/>
    <w:rsid w:val="2D7DA8F2"/>
    <w:rsid w:val="313374A1"/>
    <w:rsid w:val="33554C01"/>
    <w:rsid w:val="33A1F212"/>
    <w:rsid w:val="34F11C62"/>
    <w:rsid w:val="41D78CF0"/>
    <w:rsid w:val="49DCDC6C"/>
    <w:rsid w:val="5091142E"/>
    <w:rsid w:val="55BC88BA"/>
    <w:rsid w:val="57266F98"/>
    <w:rsid w:val="64F5A6EF"/>
    <w:rsid w:val="69C8ABC4"/>
    <w:rsid w:val="6A49C4C3"/>
    <w:rsid w:val="6A8E4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8ABC4"/>
  <w15:chartTrackingRefBased/>
  <w15:docId w15:val="{F48E0433-FFF0-4803-ADB7-88D37FFB4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E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paragraph" w:styleId="Header">
    <w:name w:val="header"/>
    <w:basedOn w:val="Normal"/>
    <w:link w:val="HeaderChar"/>
    <w:uiPriority w:val="99"/>
    <w:unhideWhenUsed/>
    <w:rsid w:val="00DC5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842"/>
  </w:style>
  <w:style w:type="paragraph" w:styleId="Footer">
    <w:name w:val="footer"/>
    <w:basedOn w:val="Normal"/>
    <w:link w:val="FooterChar"/>
    <w:uiPriority w:val="99"/>
    <w:unhideWhenUsed/>
    <w:rsid w:val="00DC5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842"/>
  </w:style>
  <w:style w:type="paragraph" w:styleId="ListParagraph">
    <w:name w:val="List Paragraph"/>
    <w:basedOn w:val="Normal"/>
    <w:uiPriority w:val="34"/>
    <w:qFormat/>
    <w:rsid w:val="00AD31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4563510">
      <w:bodyDiv w:val="1"/>
      <w:marLeft w:val="0"/>
      <w:marRight w:val="0"/>
      <w:marTop w:val="0"/>
      <w:marBottom w:val="0"/>
      <w:divBdr>
        <w:top w:val="none" w:sz="0" w:space="0" w:color="auto"/>
        <w:left w:val="none" w:sz="0" w:space="0" w:color="auto"/>
        <w:bottom w:val="none" w:sz="0" w:space="0" w:color="auto"/>
        <w:right w:val="none" w:sz="0" w:space="0" w:color="auto"/>
      </w:divBdr>
      <w:divsChild>
        <w:div w:id="406465046">
          <w:marLeft w:val="0"/>
          <w:marRight w:val="0"/>
          <w:marTop w:val="0"/>
          <w:marBottom w:val="0"/>
          <w:divBdr>
            <w:top w:val="none" w:sz="0" w:space="0" w:color="auto"/>
            <w:left w:val="none" w:sz="0" w:space="0" w:color="auto"/>
            <w:bottom w:val="none" w:sz="0" w:space="0" w:color="auto"/>
            <w:right w:val="none" w:sz="0" w:space="0" w:color="auto"/>
          </w:divBdr>
        </w:div>
        <w:div w:id="615254062">
          <w:marLeft w:val="0"/>
          <w:marRight w:val="0"/>
          <w:marTop w:val="0"/>
          <w:marBottom w:val="0"/>
          <w:divBdr>
            <w:top w:val="none" w:sz="0" w:space="0" w:color="auto"/>
            <w:left w:val="none" w:sz="0" w:space="0" w:color="auto"/>
            <w:bottom w:val="none" w:sz="0" w:space="0" w:color="auto"/>
            <w:right w:val="none" w:sz="0" w:space="0" w:color="auto"/>
          </w:divBdr>
        </w:div>
        <w:div w:id="1684698749">
          <w:marLeft w:val="0"/>
          <w:marRight w:val="0"/>
          <w:marTop w:val="0"/>
          <w:marBottom w:val="0"/>
          <w:divBdr>
            <w:top w:val="none" w:sz="0" w:space="0" w:color="auto"/>
            <w:left w:val="none" w:sz="0" w:space="0" w:color="auto"/>
            <w:bottom w:val="none" w:sz="0" w:space="0" w:color="auto"/>
            <w:right w:val="none" w:sz="0" w:space="0" w:color="auto"/>
          </w:divBdr>
        </w:div>
        <w:div w:id="1285115527">
          <w:marLeft w:val="0"/>
          <w:marRight w:val="0"/>
          <w:marTop w:val="0"/>
          <w:marBottom w:val="0"/>
          <w:divBdr>
            <w:top w:val="none" w:sz="0" w:space="0" w:color="auto"/>
            <w:left w:val="none" w:sz="0" w:space="0" w:color="auto"/>
            <w:bottom w:val="none" w:sz="0" w:space="0" w:color="auto"/>
            <w:right w:val="none" w:sz="0" w:space="0" w:color="auto"/>
          </w:divBdr>
        </w:div>
        <w:div w:id="773983914">
          <w:marLeft w:val="0"/>
          <w:marRight w:val="0"/>
          <w:marTop w:val="0"/>
          <w:marBottom w:val="0"/>
          <w:divBdr>
            <w:top w:val="none" w:sz="0" w:space="0" w:color="auto"/>
            <w:left w:val="none" w:sz="0" w:space="0" w:color="auto"/>
            <w:bottom w:val="none" w:sz="0" w:space="0" w:color="auto"/>
            <w:right w:val="none" w:sz="0" w:space="0" w:color="auto"/>
          </w:divBdr>
        </w:div>
        <w:div w:id="294650351">
          <w:marLeft w:val="0"/>
          <w:marRight w:val="0"/>
          <w:marTop w:val="0"/>
          <w:marBottom w:val="0"/>
          <w:divBdr>
            <w:top w:val="none" w:sz="0" w:space="0" w:color="auto"/>
            <w:left w:val="none" w:sz="0" w:space="0" w:color="auto"/>
            <w:bottom w:val="none" w:sz="0" w:space="0" w:color="auto"/>
            <w:right w:val="none" w:sz="0" w:space="0" w:color="auto"/>
          </w:divBdr>
        </w:div>
        <w:div w:id="6790430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20CA1-F41A-4403-9DC7-58937478A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3387</TotalTime>
  <Pages>8</Pages>
  <Words>2863</Words>
  <Characters>16408</Characters>
  <Application>Microsoft Office Word</Application>
  <DocSecurity>0</DocSecurity>
  <Lines>136</Lines>
  <Paragraphs>38</Paragraphs>
  <ScaleCrop>false</ScaleCrop>
  <Company/>
  <LinksUpToDate>false</LinksUpToDate>
  <CharactersWithSpaces>19233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Keith Broadbent (2006303)</dc:creator>
  <cp:keywords/>
  <dc:description/>
  <cp:lastModifiedBy>Dan Broadbent</cp:lastModifiedBy>
  <cp:revision>1559</cp:revision>
  <dcterms:created xsi:type="dcterms:W3CDTF">2021-03-12T11:05:00Z</dcterms:created>
  <dcterms:modified xsi:type="dcterms:W3CDTF">2021-03-25T20:12:00Z</dcterms:modified>
</cp:coreProperties>
</file>