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530AA7" w14:textId="77777777" w:rsidR="005D2207" w:rsidRDefault="005D2207" w:rsidP="005D2207">
      <w:pPr>
        <w:jc w:val="center"/>
        <w:rPr>
          <w:sz w:val="32"/>
          <w:szCs w:val="32"/>
        </w:rPr>
      </w:pPr>
    </w:p>
    <w:p w14:paraId="4D39639C" w14:textId="77777777" w:rsidR="005D2207" w:rsidRDefault="005D2207" w:rsidP="005D2207">
      <w:pPr>
        <w:jc w:val="center"/>
        <w:rPr>
          <w:sz w:val="32"/>
          <w:szCs w:val="32"/>
        </w:rPr>
      </w:pPr>
    </w:p>
    <w:p w14:paraId="3419CB20" w14:textId="77777777" w:rsidR="005D2207" w:rsidRDefault="005D2207" w:rsidP="005D2207">
      <w:pPr>
        <w:jc w:val="center"/>
        <w:rPr>
          <w:sz w:val="32"/>
          <w:szCs w:val="32"/>
        </w:rPr>
      </w:pPr>
    </w:p>
    <w:p w14:paraId="77363A20" w14:textId="77777777" w:rsidR="005D2207" w:rsidRDefault="005D2207" w:rsidP="005D2207">
      <w:pPr>
        <w:jc w:val="center"/>
        <w:rPr>
          <w:sz w:val="32"/>
          <w:szCs w:val="32"/>
        </w:rPr>
      </w:pPr>
    </w:p>
    <w:p w14:paraId="79650B36" w14:textId="77777777" w:rsidR="005D2207" w:rsidRDefault="005D2207" w:rsidP="005D2207">
      <w:pPr>
        <w:jc w:val="center"/>
        <w:rPr>
          <w:sz w:val="32"/>
          <w:szCs w:val="32"/>
        </w:rPr>
      </w:pPr>
    </w:p>
    <w:p w14:paraId="333B3673" w14:textId="77777777" w:rsidR="005D2207" w:rsidRDefault="005D2207" w:rsidP="005D2207">
      <w:pPr>
        <w:jc w:val="center"/>
        <w:rPr>
          <w:sz w:val="32"/>
          <w:szCs w:val="32"/>
        </w:rPr>
      </w:pPr>
    </w:p>
    <w:p w14:paraId="2404C32C" w14:textId="77777777" w:rsidR="005D2207" w:rsidRDefault="005D2207" w:rsidP="005D2207">
      <w:pPr>
        <w:jc w:val="center"/>
        <w:rPr>
          <w:sz w:val="32"/>
          <w:szCs w:val="32"/>
        </w:rPr>
      </w:pPr>
    </w:p>
    <w:p w14:paraId="17DFBB91" w14:textId="77777777" w:rsidR="005D2207" w:rsidRDefault="005D2207" w:rsidP="005D2207">
      <w:pPr>
        <w:jc w:val="center"/>
        <w:rPr>
          <w:sz w:val="32"/>
          <w:szCs w:val="32"/>
        </w:rPr>
      </w:pPr>
    </w:p>
    <w:p w14:paraId="077B667C" w14:textId="77777777" w:rsidR="005D2207" w:rsidRDefault="005D2207" w:rsidP="005D2207">
      <w:pPr>
        <w:jc w:val="center"/>
        <w:rPr>
          <w:sz w:val="32"/>
          <w:szCs w:val="32"/>
        </w:rPr>
      </w:pPr>
    </w:p>
    <w:p w14:paraId="17B1AACD" w14:textId="7D2B76D9" w:rsidR="00FF0F83" w:rsidRDefault="005D2207" w:rsidP="005D2207">
      <w:pPr>
        <w:jc w:val="center"/>
        <w:rPr>
          <w:sz w:val="32"/>
          <w:szCs w:val="32"/>
        </w:rPr>
      </w:pPr>
      <w:r w:rsidRPr="005D2207">
        <w:rPr>
          <w:sz w:val="32"/>
          <w:szCs w:val="32"/>
        </w:rPr>
        <w:t xml:space="preserve">Report on Implementing Flexible Working Strategies at </w:t>
      </w:r>
      <w:proofErr w:type="spellStart"/>
      <w:r w:rsidRPr="005D2207">
        <w:rPr>
          <w:sz w:val="32"/>
          <w:szCs w:val="32"/>
        </w:rPr>
        <w:t>VialTech</w:t>
      </w:r>
      <w:proofErr w:type="spellEnd"/>
    </w:p>
    <w:p w14:paraId="63DE94F8" w14:textId="1D837056" w:rsidR="005D2207" w:rsidRDefault="005D2207" w:rsidP="005D2207">
      <w:pPr>
        <w:jc w:val="center"/>
        <w:rPr>
          <w:sz w:val="32"/>
          <w:szCs w:val="32"/>
        </w:rPr>
      </w:pPr>
      <w:r>
        <w:rPr>
          <w:sz w:val="32"/>
          <w:szCs w:val="32"/>
        </w:rPr>
        <w:t>Student Name: Lavinia Adriana Mandache</w:t>
      </w:r>
    </w:p>
    <w:p w14:paraId="300C0D4B" w14:textId="0C3C6440" w:rsidR="005D2207" w:rsidRDefault="005D2207" w:rsidP="005D2207">
      <w:pPr>
        <w:jc w:val="center"/>
        <w:rPr>
          <w:sz w:val="32"/>
          <w:szCs w:val="32"/>
        </w:rPr>
      </w:pPr>
      <w:r>
        <w:rPr>
          <w:sz w:val="32"/>
          <w:szCs w:val="32"/>
        </w:rPr>
        <w:t>Student ID: 2243640</w:t>
      </w:r>
    </w:p>
    <w:p w14:paraId="0D7962E3" w14:textId="56796357" w:rsidR="005D2207" w:rsidRDefault="005D2207" w:rsidP="005D2207">
      <w:pPr>
        <w:jc w:val="center"/>
        <w:rPr>
          <w:sz w:val="32"/>
          <w:szCs w:val="32"/>
        </w:rPr>
      </w:pPr>
      <w:r>
        <w:rPr>
          <w:sz w:val="32"/>
          <w:szCs w:val="32"/>
        </w:rPr>
        <w:t>Module Name: Managing People</w:t>
      </w:r>
    </w:p>
    <w:p w14:paraId="7042AF61" w14:textId="09E4E11E" w:rsidR="005D2207" w:rsidRDefault="005D2207" w:rsidP="005D2207">
      <w:pPr>
        <w:jc w:val="center"/>
        <w:rPr>
          <w:sz w:val="32"/>
          <w:szCs w:val="32"/>
        </w:rPr>
      </w:pPr>
      <w:r>
        <w:rPr>
          <w:sz w:val="32"/>
          <w:szCs w:val="32"/>
        </w:rPr>
        <w:t>Module Code: LCBB5004</w:t>
      </w:r>
    </w:p>
    <w:p w14:paraId="2F33DAC8" w14:textId="77777777" w:rsidR="005D2207" w:rsidRDefault="005D2207" w:rsidP="005D2207">
      <w:pPr>
        <w:jc w:val="center"/>
        <w:rPr>
          <w:sz w:val="32"/>
          <w:szCs w:val="32"/>
        </w:rPr>
      </w:pPr>
    </w:p>
    <w:p w14:paraId="52BBCB39" w14:textId="77777777" w:rsidR="005D2207" w:rsidRDefault="005D2207" w:rsidP="005D2207">
      <w:pPr>
        <w:jc w:val="center"/>
        <w:rPr>
          <w:sz w:val="32"/>
          <w:szCs w:val="32"/>
        </w:rPr>
      </w:pPr>
    </w:p>
    <w:p w14:paraId="2D2A8DE1" w14:textId="77777777" w:rsidR="005D2207" w:rsidRDefault="005D2207" w:rsidP="005D2207">
      <w:pPr>
        <w:jc w:val="center"/>
        <w:rPr>
          <w:sz w:val="32"/>
          <w:szCs w:val="32"/>
        </w:rPr>
      </w:pPr>
    </w:p>
    <w:p w14:paraId="75AE3D1C" w14:textId="77777777" w:rsidR="005D2207" w:rsidRDefault="005D2207" w:rsidP="005D2207">
      <w:pPr>
        <w:jc w:val="center"/>
        <w:rPr>
          <w:sz w:val="32"/>
          <w:szCs w:val="32"/>
        </w:rPr>
      </w:pPr>
    </w:p>
    <w:p w14:paraId="097AC52D" w14:textId="77777777" w:rsidR="005D2207" w:rsidRDefault="005D2207" w:rsidP="005D2207">
      <w:pPr>
        <w:jc w:val="center"/>
        <w:rPr>
          <w:sz w:val="32"/>
          <w:szCs w:val="32"/>
        </w:rPr>
      </w:pPr>
    </w:p>
    <w:p w14:paraId="667BABEE" w14:textId="77777777" w:rsidR="005D2207" w:rsidRDefault="005D2207" w:rsidP="005D2207">
      <w:pPr>
        <w:jc w:val="center"/>
        <w:rPr>
          <w:sz w:val="32"/>
          <w:szCs w:val="32"/>
        </w:rPr>
      </w:pPr>
    </w:p>
    <w:p w14:paraId="0CEFC160" w14:textId="77777777" w:rsidR="005D2207" w:rsidRDefault="005D2207" w:rsidP="005D2207">
      <w:pPr>
        <w:jc w:val="center"/>
        <w:rPr>
          <w:sz w:val="32"/>
          <w:szCs w:val="32"/>
        </w:rPr>
      </w:pPr>
    </w:p>
    <w:p w14:paraId="2249F15C" w14:textId="77777777" w:rsidR="005D2207" w:rsidRDefault="005D2207" w:rsidP="005D2207">
      <w:pPr>
        <w:jc w:val="center"/>
        <w:rPr>
          <w:sz w:val="32"/>
          <w:szCs w:val="32"/>
        </w:rPr>
      </w:pPr>
    </w:p>
    <w:p w14:paraId="37FA42A5" w14:textId="77777777" w:rsidR="005D2207" w:rsidRDefault="005D2207" w:rsidP="005D2207">
      <w:pPr>
        <w:jc w:val="center"/>
        <w:rPr>
          <w:sz w:val="32"/>
          <w:szCs w:val="32"/>
        </w:rPr>
      </w:pPr>
    </w:p>
    <w:p w14:paraId="7EA1B16C" w14:textId="77777777" w:rsidR="005D2207" w:rsidRDefault="005D2207" w:rsidP="005D2207">
      <w:pPr>
        <w:jc w:val="center"/>
        <w:rPr>
          <w:sz w:val="32"/>
          <w:szCs w:val="32"/>
        </w:rPr>
      </w:pPr>
    </w:p>
    <w:p w14:paraId="3CFA12E3" w14:textId="54EF07D4" w:rsidR="005D2207" w:rsidRDefault="005D2207" w:rsidP="005D2207">
      <w:pPr>
        <w:jc w:val="center"/>
        <w:rPr>
          <w:sz w:val="24"/>
          <w:szCs w:val="24"/>
        </w:rPr>
      </w:pPr>
      <w:r>
        <w:rPr>
          <w:sz w:val="24"/>
          <w:szCs w:val="24"/>
        </w:rPr>
        <w:lastRenderedPageBreak/>
        <w:t>Table of Contents</w:t>
      </w:r>
    </w:p>
    <w:p w14:paraId="12FAE136" w14:textId="77777777" w:rsidR="005D2207" w:rsidRDefault="005D2207" w:rsidP="005D2207">
      <w:pPr>
        <w:jc w:val="center"/>
        <w:rPr>
          <w:sz w:val="24"/>
          <w:szCs w:val="24"/>
        </w:rPr>
      </w:pPr>
    </w:p>
    <w:p w14:paraId="4C3773B9" w14:textId="77777777" w:rsidR="005D2207" w:rsidRPr="005D2207" w:rsidRDefault="005D2207" w:rsidP="005D2207">
      <w:pPr>
        <w:numPr>
          <w:ilvl w:val="0"/>
          <w:numId w:val="2"/>
        </w:numPr>
      </w:pPr>
      <w:r w:rsidRPr="005D2207">
        <w:rPr>
          <w:b/>
          <w:bCs/>
        </w:rPr>
        <w:t>Executive Summary</w:t>
      </w:r>
    </w:p>
    <w:p w14:paraId="065F4D89" w14:textId="77777777" w:rsidR="005D2207" w:rsidRPr="005D2207" w:rsidRDefault="005D2207" w:rsidP="005D2207">
      <w:pPr>
        <w:numPr>
          <w:ilvl w:val="0"/>
          <w:numId w:val="2"/>
        </w:numPr>
      </w:pPr>
      <w:r w:rsidRPr="005D2207">
        <w:rPr>
          <w:b/>
          <w:bCs/>
        </w:rPr>
        <w:t>Benefits of Implementing Flexible Working Strategies</w:t>
      </w:r>
    </w:p>
    <w:p w14:paraId="112E45A2" w14:textId="77777777" w:rsidR="005D2207" w:rsidRPr="005D2207" w:rsidRDefault="005D2207" w:rsidP="005D2207">
      <w:pPr>
        <w:numPr>
          <w:ilvl w:val="1"/>
          <w:numId w:val="2"/>
        </w:numPr>
      </w:pPr>
      <w:r w:rsidRPr="005D2207">
        <w:t>Increased Employee Satisfaction and Retention</w:t>
      </w:r>
    </w:p>
    <w:p w14:paraId="3732088E" w14:textId="77777777" w:rsidR="005D2207" w:rsidRPr="005D2207" w:rsidRDefault="005D2207" w:rsidP="005D2207">
      <w:pPr>
        <w:numPr>
          <w:ilvl w:val="1"/>
          <w:numId w:val="2"/>
        </w:numPr>
      </w:pPr>
      <w:r w:rsidRPr="005D2207">
        <w:t>Enhanced Productivity</w:t>
      </w:r>
    </w:p>
    <w:p w14:paraId="157F0BFA" w14:textId="77777777" w:rsidR="005D2207" w:rsidRPr="005D2207" w:rsidRDefault="005D2207" w:rsidP="005D2207">
      <w:pPr>
        <w:numPr>
          <w:ilvl w:val="1"/>
          <w:numId w:val="2"/>
        </w:numPr>
      </w:pPr>
      <w:r w:rsidRPr="005D2207">
        <w:t>Attracting Top Talent</w:t>
      </w:r>
    </w:p>
    <w:p w14:paraId="45FB27DF" w14:textId="77777777" w:rsidR="005D2207" w:rsidRPr="005D2207" w:rsidRDefault="005D2207" w:rsidP="005D2207">
      <w:pPr>
        <w:numPr>
          <w:ilvl w:val="1"/>
          <w:numId w:val="2"/>
        </w:numPr>
      </w:pPr>
      <w:r w:rsidRPr="005D2207">
        <w:t>Reduced Operational Costs</w:t>
      </w:r>
    </w:p>
    <w:p w14:paraId="4F357CBD" w14:textId="77777777" w:rsidR="005D2207" w:rsidRPr="005D2207" w:rsidRDefault="005D2207" w:rsidP="005D2207">
      <w:pPr>
        <w:numPr>
          <w:ilvl w:val="1"/>
          <w:numId w:val="2"/>
        </w:numPr>
      </w:pPr>
      <w:r w:rsidRPr="005D2207">
        <w:t>Enhanced Work-Life Balance</w:t>
      </w:r>
    </w:p>
    <w:p w14:paraId="51FF399F" w14:textId="77777777" w:rsidR="005D2207" w:rsidRPr="005D2207" w:rsidRDefault="005D2207" w:rsidP="005D2207">
      <w:pPr>
        <w:numPr>
          <w:ilvl w:val="0"/>
          <w:numId w:val="2"/>
        </w:numPr>
      </w:pPr>
      <w:r w:rsidRPr="005D2207">
        <w:rPr>
          <w:b/>
          <w:bCs/>
        </w:rPr>
        <w:t>Considerations for Implementing Flexible Working</w:t>
      </w:r>
    </w:p>
    <w:p w14:paraId="4752763B" w14:textId="77777777" w:rsidR="005D2207" w:rsidRPr="005D2207" w:rsidRDefault="005D2207" w:rsidP="005D2207">
      <w:pPr>
        <w:numPr>
          <w:ilvl w:val="1"/>
          <w:numId w:val="2"/>
        </w:numPr>
      </w:pPr>
      <w:r w:rsidRPr="005D2207">
        <w:t>Assessing Role-Specific Implications</w:t>
      </w:r>
    </w:p>
    <w:p w14:paraId="418E9DBC" w14:textId="77777777" w:rsidR="005D2207" w:rsidRPr="005D2207" w:rsidRDefault="005D2207" w:rsidP="005D2207">
      <w:pPr>
        <w:numPr>
          <w:ilvl w:val="1"/>
          <w:numId w:val="2"/>
        </w:numPr>
      </w:pPr>
      <w:r w:rsidRPr="005D2207">
        <w:t>Technological Infrastructure</w:t>
      </w:r>
    </w:p>
    <w:p w14:paraId="17460925" w14:textId="77777777" w:rsidR="005D2207" w:rsidRPr="005D2207" w:rsidRDefault="005D2207" w:rsidP="005D2207">
      <w:pPr>
        <w:numPr>
          <w:ilvl w:val="1"/>
          <w:numId w:val="2"/>
        </w:numPr>
      </w:pPr>
      <w:r w:rsidRPr="005D2207">
        <w:t>Communication Strategies</w:t>
      </w:r>
    </w:p>
    <w:p w14:paraId="74D98DBB" w14:textId="77777777" w:rsidR="005D2207" w:rsidRPr="005D2207" w:rsidRDefault="005D2207" w:rsidP="005D2207">
      <w:pPr>
        <w:numPr>
          <w:ilvl w:val="1"/>
          <w:numId w:val="2"/>
        </w:numPr>
      </w:pPr>
      <w:r w:rsidRPr="005D2207">
        <w:t>Compliance and Policies</w:t>
      </w:r>
    </w:p>
    <w:p w14:paraId="591F2F1A" w14:textId="77777777" w:rsidR="005D2207" w:rsidRPr="005D2207" w:rsidRDefault="005D2207" w:rsidP="005D2207">
      <w:pPr>
        <w:numPr>
          <w:ilvl w:val="0"/>
          <w:numId w:val="2"/>
        </w:numPr>
      </w:pPr>
      <w:r w:rsidRPr="005D2207">
        <w:rPr>
          <w:b/>
          <w:bCs/>
        </w:rPr>
        <w:t>Reconfiguring the Pay Structure</w:t>
      </w:r>
    </w:p>
    <w:p w14:paraId="1C5ECF24" w14:textId="77777777" w:rsidR="005D2207" w:rsidRPr="005D2207" w:rsidRDefault="005D2207" w:rsidP="005D2207">
      <w:pPr>
        <w:numPr>
          <w:ilvl w:val="1"/>
          <w:numId w:val="2"/>
        </w:numPr>
      </w:pPr>
      <w:r w:rsidRPr="005D2207">
        <w:t>Performance-Based Pay</w:t>
      </w:r>
    </w:p>
    <w:p w14:paraId="7C3D519F" w14:textId="77777777" w:rsidR="005D2207" w:rsidRPr="005D2207" w:rsidRDefault="005D2207" w:rsidP="005D2207">
      <w:pPr>
        <w:numPr>
          <w:ilvl w:val="1"/>
          <w:numId w:val="2"/>
        </w:numPr>
      </w:pPr>
      <w:r w:rsidRPr="005D2207">
        <w:t>Hourly Vs. Salary Compensation</w:t>
      </w:r>
    </w:p>
    <w:p w14:paraId="57712DC8" w14:textId="77777777" w:rsidR="005D2207" w:rsidRPr="005D2207" w:rsidRDefault="005D2207" w:rsidP="005D2207">
      <w:pPr>
        <w:numPr>
          <w:ilvl w:val="1"/>
          <w:numId w:val="2"/>
        </w:numPr>
      </w:pPr>
      <w:r w:rsidRPr="005D2207">
        <w:t>Benefits Package</w:t>
      </w:r>
    </w:p>
    <w:p w14:paraId="2BF63696" w14:textId="77777777" w:rsidR="005D2207" w:rsidRPr="005D2207" w:rsidRDefault="005D2207" w:rsidP="005D2207">
      <w:pPr>
        <w:numPr>
          <w:ilvl w:val="0"/>
          <w:numId w:val="2"/>
        </w:numPr>
      </w:pPr>
      <w:r w:rsidRPr="005D2207">
        <w:rPr>
          <w:b/>
          <w:bCs/>
        </w:rPr>
        <w:t>Strategies to Promote Employee Engagement</w:t>
      </w:r>
    </w:p>
    <w:p w14:paraId="1F98E5AC" w14:textId="77777777" w:rsidR="005D2207" w:rsidRPr="005D2207" w:rsidRDefault="005D2207" w:rsidP="005D2207">
      <w:pPr>
        <w:numPr>
          <w:ilvl w:val="1"/>
          <w:numId w:val="2"/>
        </w:numPr>
      </w:pPr>
      <w:r w:rsidRPr="005D2207">
        <w:t>Regular Feedback</w:t>
      </w:r>
    </w:p>
    <w:p w14:paraId="47AFAE68" w14:textId="77777777" w:rsidR="005D2207" w:rsidRPr="005D2207" w:rsidRDefault="005D2207" w:rsidP="005D2207">
      <w:pPr>
        <w:numPr>
          <w:ilvl w:val="1"/>
          <w:numId w:val="2"/>
        </w:numPr>
      </w:pPr>
      <w:r w:rsidRPr="005D2207">
        <w:t>Training and Development Opportunities</w:t>
      </w:r>
    </w:p>
    <w:p w14:paraId="39C2AB17" w14:textId="77777777" w:rsidR="005D2207" w:rsidRPr="005D2207" w:rsidRDefault="005D2207" w:rsidP="005D2207">
      <w:pPr>
        <w:numPr>
          <w:ilvl w:val="1"/>
          <w:numId w:val="2"/>
        </w:numPr>
      </w:pPr>
      <w:r w:rsidRPr="005D2207">
        <w:t>Team-Building Activities</w:t>
      </w:r>
    </w:p>
    <w:p w14:paraId="7C2A6CFD" w14:textId="77777777" w:rsidR="005D2207" w:rsidRPr="005D2207" w:rsidRDefault="005D2207" w:rsidP="005D2207">
      <w:pPr>
        <w:numPr>
          <w:ilvl w:val="1"/>
          <w:numId w:val="2"/>
        </w:numPr>
      </w:pPr>
      <w:r w:rsidRPr="005D2207">
        <w:t>Promote Work-Life Integration</w:t>
      </w:r>
    </w:p>
    <w:p w14:paraId="02A42BBC" w14:textId="77777777" w:rsidR="005D2207" w:rsidRPr="005D2207" w:rsidRDefault="005D2207" w:rsidP="005D2207">
      <w:pPr>
        <w:numPr>
          <w:ilvl w:val="1"/>
          <w:numId w:val="2"/>
        </w:numPr>
      </w:pPr>
      <w:r w:rsidRPr="005D2207">
        <w:t>Transparent Leadership</w:t>
      </w:r>
    </w:p>
    <w:p w14:paraId="6F2E8EA8" w14:textId="77777777" w:rsidR="005D2207" w:rsidRPr="005D2207" w:rsidRDefault="005D2207" w:rsidP="005D2207">
      <w:pPr>
        <w:numPr>
          <w:ilvl w:val="0"/>
          <w:numId w:val="2"/>
        </w:numPr>
      </w:pPr>
      <w:r w:rsidRPr="005D2207">
        <w:rPr>
          <w:b/>
          <w:bCs/>
        </w:rPr>
        <w:t>Conclusion</w:t>
      </w:r>
    </w:p>
    <w:p w14:paraId="6823A82F" w14:textId="77777777" w:rsidR="005D2207" w:rsidRPr="005D2207" w:rsidRDefault="005D2207" w:rsidP="005D2207">
      <w:pPr>
        <w:numPr>
          <w:ilvl w:val="0"/>
          <w:numId w:val="2"/>
        </w:numPr>
      </w:pPr>
      <w:r w:rsidRPr="005D2207">
        <w:rPr>
          <w:b/>
          <w:bCs/>
        </w:rPr>
        <w:t>References</w:t>
      </w:r>
    </w:p>
    <w:p w14:paraId="7DE4A33D" w14:textId="77777777" w:rsidR="005D2207" w:rsidRDefault="005D2207" w:rsidP="005D2207"/>
    <w:p w14:paraId="591AD28C" w14:textId="77777777" w:rsidR="005D2207" w:rsidRDefault="005D2207" w:rsidP="005D2207"/>
    <w:p w14:paraId="6D92443B" w14:textId="77777777" w:rsidR="005D2207" w:rsidRDefault="005D2207" w:rsidP="005D2207"/>
    <w:p w14:paraId="6DD6574F" w14:textId="77777777" w:rsidR="005D2207" w:rsidRDefault="005D2207" w:rsidP="005D2207"/>
    <w:p w14:paraId="03095016" w14:textId="77777777" w:rsidR="005D2207" w:rsidRDefault="005D2207" w:rsidP="005D2207"/>
    <w:p w14:paraId="42256066" w14:textId="59F1C442" w:rsidR="005D2207" w:rsidRDefault="005D2207" w:rsidP="005D2207">
      <w:pPr>
        <w:jc w:val="center"/>
        <w:rPr>
          <w:sz w:val="24"/>
          <w:szCs w:val="24"/>
        </w:rPr>
      </w:pPr>
      <w:r w:rsidRPr="005D2207">
        <w:rPr>
          <w:sz w:val="24"/>
          <w:szCs w:val="24"/>
        </w:rPr>
        <w:lastRenderedPageBreak/>
        <w:t>Introduction</w:t>
      </w:r>
    </w:p>
    <w:p w14:paraId="058CE395" w14:textId="77777777" w:rsidR="005D2207" w:rsidRDefault="005D2207" w:rsidP="005D2207">
      <w:pPr>
        <w:rPr>
          <w:sz w:val="24"/>
          <w:szCs w:val="24"/>
        </w:rPr>
      </w:pPr>
    </w:p>
    <w:p w14:paraId="3B44A765" w14:textId="1ED79A9D" w:rsidR="00066A59" w:rsidRPr="00066A59" w:rsidRDefault="00066A59" w:rsidP="00066A59">
      <w:pPr>
        <w:rPr>
          <w:sz w:val="24"/>
          <w:szCs w:val="24"/>
        </w:rPr>
      </w:pPr>
      <w:r w:rsidRPr="00066A59">
        <w:rPr>
          <w:sz w:val="24"/>
          <w:szCs w:val="24"/>
        </w:rPr>
        <w:t xml:space="preserve">In the contemporary workplace landscape, the demand for flexibility has surged dramatically, particularly as a result of the COVID-19 pandemic. Companies worldwide are re-evaluating their operational models to meet the evolving expectations of their employees. This shift is not merely a response to external pressures but also a proactive strategy to foster a more engaged and satisfied workforce. For </w:t>
      </w:r>
      <w:proofErr w:type="spellStart"/>
      <w:r w:rsidRPr="00066A59">
        <w:rPr>
          <w:sz w:val="24"/>
          <w:szCs w:val="24"/>
        </w:rPr>
        <w:t>VialTech</w:t>
      </w:r>
      <w:proofErr w:type="spellEnd"/>
      <w:r w:rsidRPr="00066A59">
        <w:rPr>
          <w:sz w:val="24"/>
          <w:szCs w:val="24"/>
        </w:rPr>
        <w:t>, a company at the forefront of providing diagnostic tests for NHS and private patients, embracing flexible working strategies offers an opportunity to modernize its workplace culture and enhance employee productivity.</w:t>
      </w:r>
    </w:p>
    <w:p w14:paraId="6CC91F5E" w14:textId="50532B76" w:rsidR="00066A59" w:rsidRPr="00066A59" w:rsidRDefault="00066A59" w:rsidP="00066A59">
      <w:pPr>
        <w:rPr>
          <w:sz w:val="24"/>
          <w:szCs w:val="24"/>
        </w:rPr>
      </w:pPr>
      <w:r w:rsidRPr="00066A59">
        <w:rPr>
          <w:sz w:val="24"/>
          <w:szCs w:val="24"/>
        </w:rPr>
        <w:t xml:space="preserve">Flexible working arrangements can take various forms—such as remote work, flexible hours, or hybrid models—and each offers distinct benefits that align with both employee needs and organizational objectives. Research consistently shows that companies which adopt such practices improve employee satisfaction and retention, and enhance their competitive edge (CIPD, 2020; KPMG, 2021). Moreover, a focus on flexibility helps </w:t>
      </w:r>
      <w:proofErr w:type="spellStart"/>
      <w:r w:rsidRPr="00066A59">
        <w:rPr>
          <w:sz w:val="24"/>
          <w:szCs w:val="24"/>
        </w:rPr>
        <w:t>VialTech</w:t>
      </w:r>
      <w:proofErr w:type="spellEnd"/>
      <w:r w:rsidRPr="00066A59">
        <w:rPr>
          <w:sz w:val="24"/>
          <w:szCs w:val="24"/>
        </w:rPr>
        <w:t xml:space="preserve"> attract top talent in an increasingly competitive </w:t>
      </w:r>
      <w:proofErr w:type="spellStart"/>
      <w:r w:rsidRPr="00066A59">
        <w:rPr>
          <w:sz w:val="24"/>
          <w:szCs w:val="24"/>
        </w:rPr>
        <w:t>labor</w:t>
      </w:r>
      <w:proofErr w:type="spellEnd"/>
      <w:r w:rsidRPr="00066A59">
        <w:rPr>
          <w:sz w:val="24"/>
          <w:szCs w:val="24"/>
        </w:rPr>
        <w:t xml:space="preserve"> market, as the modern workforce prioritizes work-life balance and adaptability over traditional employment models.</w:t>
      </w:r>
    </w:p>
    <w:p w14:paraId="005D9F4F" w14:textId="21B73113" w:rsidR="00066A59" w:rsidRPr="00066A59" w:rsidRDefault="00066A59" w:rsidP="00066A59">
      <w:pPr>
        <w:rPr>
          <w:sz w:val="24"/>
          <w:szCs w:val="24"/>
        </w:rPr>
      </w:pPr>
      <w:r w:rsidRPr="00066A59">
        <w:rPr>
          <w:sz w:val="24"/>
          <w:szCs w:val="24"/>
        </w:rPr>
        <w:t xml:space="preserve">This report will comprehensively examine the benefits associated with implementing flexible working strategies at </w:t>
      </w:r>
      <w:proofErr w:type="spellStart"/>
      <w:r w:rsidRPr="00066A59">
        <w:rPr>
          <w:sz w:val="24"/>
          <w:szCs w:val="24"/>
        </w:rPr>
        <w:t>VialTech</w:t>
      </w:r>
      <w:proofErr w:type="spellEnd"/>
      <w:r w:rsidRPr="00066A59">
        <w:rPr>
          <w:sz w:val="24"/>
          <w:szCs w:val="24"/>
        </w:rPr>
        <w:t xml:space="preserve">. The analysis will encompass key areas such as employee satisfaction and productivity, implications for various roles within the organization, necessary adjustments to the pay structure, and strategies to ensure ongoing employee engagement. By addressing these topics, this report aims to provide actionable insights that will support </w:t>
      </w:r>
      <w:proofErr w:type="spellStart"/>
      <w:r w:rsidRPr="00066A59">
        <w:rPr>
          <w:sz w:val="24"/>
          <w:szCs w:val="24"/>
        </w:rPr>
        <w:t>VialTech</w:t>
      </w:r>
      <w:proofErr w:type="spellEnd"/>
      <w:r w:rsidRPr="00066A59">
        <w:rPr>
          <w:sz w:val="24"/>
          <w:szCs w:val="24"/>
        </w:rPr>
        <w:t xml:space="preserve"> in not only adapting to changing workforce dynamics but also thriving in an evolving industry.</w:t>
      </w:r>
    </w:p>
    <w:p w14:paraId="6353F20D" w14:textId="22B542FD" w:rsidR="005D2207" w:rsidRDefault="00066A59" w:rsidP="00066A59">
      <w:pPr>
        <w:rPr>
          <w:sz w:val="24"/>
          <w:szCs w:val="24"/>
        </w:rPr>
      </w:pPr>
      <w:r w:rsidRPr="00066A59">
        <w:rPr>
          <w:sz w:val="24"/>
          <w:szCs w:val="24"/>
        </w:rPr>
        <w:t xml:space="preserve">The successful integration of flexible working strategies is not without its challenges, necessitating a thoughtful and structured approach. </w:t>
      </w:r>
      <w:proofErr w:type="spellStart"/>
      <w:r w:rsidRPr="00066A59">
        <w:rPr>
          <w:sz w:val="24"/>
          <w:szCs w:val="24"/>
        </w:rPr>
        <w:t>VialTech</w:t>
      </w:r>
      <w:proofErr w:type="spellEnd"/>
      <w:r w:rsidRPr="00066A59">
        <w:rPr>
          <w:sz w:val="24"/>
          <w:szCs w:val="24"/>
        </w:rPr>
        <w:t xml:space="preserve"> must carefully consider unique operational requirements and employee preferences to tailor its offerings effectively. This report serves as a foundational document to guide the HR department in navigating these complexities, ensuring that any changes made are aligned with organizational goals and contribute positively to the overall work culture.</w:t>
      </w:r>
    </w:p>
    <w:p w14:paraId="2B656C34" w14:textId="77777777" w:rsidR="005D2207" w:rsidRDefault="005D2207" w:rsidP="005D2207">
      <w:pPr>
        <w:jc w:val="center"/>
        <w:rPr>
          <w:sz w:val="24"/>
          <w:szCs w:val="24"/>
        </w:rPr>
      </w:pPr>
    </w:p>
    <w:p w14:paraId="08600F53" w14:textId="77777777" w:rsidR="00066A59" w:rsidRDefault="00066A59" w:rsidP="005D2207">
      <w:pPr>
        <w:jc w:val="center"/>
        <w:rPr>
          <w:sz w:val="24"/>
          <w:szCs w:val="24"/>
        </w:rPr>
      </w:pPr>
    </w:p>
    <w:p w14:paraId="5D7EB597" w14:textId="77777777" w:rsidR="00066A59" w:rsidRDefault="00066A59" w:rsidP="005D2207">
      <w:pPr>
        <w:jc w:val="center"/>
        <w:rPr>
          <w:sz w:val="24"/>
          <w:szCs w:val="24"/>
        </w:rPr>
      </w:pPr>
    </w:p>
    <w:p w14:paraId="3D23CC3B" w14:textId="77777777" w:rsidR="00066A59" w:rsidRDefault="00066A59" w:rsidP="005D2207">
      <w:pPr>
        <w:jc w:val="center"/>
        <w:rPr>
          <w:sz w:val="24"/>
          <w:szCs w:val="24"/>
        </w:rPr>
      </w:pPr>
    </w:p>
    <w:p w14:paraId="4A04A9FC" w14:textId="77777777" w:rsidR="00066A59" w:rsidRDefault="00066A59" w:rsidP="005D2207">
      <w:pPr>
        <w:jc w:val="center"/>
        <w:rPr>
          <w:sz w:val="24"/>
          <w:szCs w:val="24"/>
        </w:rPr>
      </w:pPr>
    </w:p>
    <w:p w14:paraId="25FDD8D8" w14:textId="77777777" w:rsidR="00066A59" w:rsidRDefault="00066A59" w:rsidP="005D2207">
      <w:pPr>
        <w:jc w:val="center"/>
        <w:rPr>
          <w:sz w:val="24"/>
          <w:szCs w:val="24"/>
        </w:rPr>
      </w:pPr>
    </w:p>
    <w:p w14:paraId="13CAED53" w14:textId="77777777" w:rsidR="00066A59" w:rsidRDefault="00066A59" w:rsidP="005D2207">
      <w:pPr>
        <w:jc w:val="center"/>
        <w:rPr>
          <w:sz w:val="24"/>
          <w:szCs w:val="24"/>
        </w:rPr>
      </w:pPr>
    </w:p>
    <w:p w14:paraId="04946F25" w14:textId="77777777" w:rsidR="00066A59" w:rsidRPr="00066A59" w:rsidRDefault="00066A59" w:rsidP="00066A59">
      <w:pPr>
        <w:rPr>
          <w:b/>
          <w:bCs/>
          <w:sz w:val="24"/>
          <w:szCs w:val="24"/>
        </w:rPr>
      </w:pPr>
      <w:r w:rsidRPr="00066A59">
        <w:rPr>
          <w:b/>
          <w:bCs/>
          <w:sz w:val="24"/>
          <w:szCs w:val="24"/>
        </w:rPr>
        <w:lastRenderedPageBreak/>
        <w:t>1. Benefits of Implementing Flexible Working Strategies</w:t>
      </w:r>
    </w:p>
    <w:p w14:paraId="4D78901E" w14:textId="77777777" w:rsidR="00066A59" w:rsidRPr="00066A59" w:rsidRDefault="00066A59" w:rsidP="00066A59">
      <w:pPr>
        <w:rPr>
          <w:sz w:val="24"/>
          <w:szCs w:val="24"/>
        </w:rPr>
      </w:pPr>
      <w:r w:rsidRPr="00066A59">
        <w:rPr>
          <w:sz w:val="24"/>
          <w:szCs w:val="24"/>
        </w:rPr>
        <w:t xml:space="preserve">Flexibility in the workplace has emerged as an essential component of modern employment practices. For </w:t>
      </w:r>
      <w:proofErr w:type="spellStart"/>
      <w:r w:rsidRPr="00066A59">
        <w:rPr>
          <w:sz w:val="24"/>
          <w:szCs w:val="24"/>
        </w:rPr>
        <w:t>VialTech</w:t>
      </w:r>
      <w:proofErr w:type="spellEnd"/>
      <w:r w:rsidRPr="00066A59">
        <w:rPr>
          <w:sz w:val="24"/>
          <w:szCs w:val="24"/>
        </w:rPr>
        <w:t>, which operates multiple teams—administrators, lab technicians, and customer-facing staff—the following benefits merit consideration:</w:t>
      </w:r>
    </w:p>
    <w:p w14:paraId="253DB926" w14:textId="77777777" w:rsidR="00066A59" w:rsidRPr="00066A59" w:rsidRDefault="00066A59" w:rsidP="00066A59">
      <w:pPr>
        <w:rPr>
          <w:b/>
          <w:bCs/>
          <w:sz w:val="24"/>
          <w:szCs w:val="24"/>
        </w:rPr>
      </w:pPr>
      <w:r w:rsidRPr="00066A59">
        <w:rPr>
          <w:b/>
          <w:bCs/>
          <w:sz w:val="24"/>
          <w:szCs w:val="24"/>
        </w:rPr>
        <w:t>1.1 Increased Employee Satisfaction and Retention</w:t>
      </w:r>
    </w:p>
    <w:p w14:paraId="4BF4B002" w14:textId="77777777" w:rsidR="00066A59" w:rsidRPr="00066A59" w:rsidRDefault="00066A59" w:rsidP="00066A59">
      <w:pPr>
        <w:rPr>
          <w:sz w:val="24"/>
          <w:szCs w:val="24"/>
        </w:rPr>
      </w:pPr>
      <w:r w:rsidRPr="00066A59">
        <w:rPr>
          <w:sz w:val="24"/>
          <w:szCs w:val="24"/>
        </w:rPr>
        <w:t>Flexible working arrangements allow employees to effectively balance their work and personal lives, leading to increased job satisfaction. Per a study conducted by CIPD (2020), organizations offering flexible working options report lower turnover rates, as employees are more inclined to remain with firms that accommodate their needs. The example of Microsoft Japan, which implemented a four-day workweek and saw productivity rise by 40%, underscores the potential of flexibility (BBC News, 2019). Offering flexibility aligns with modern work preferences, where eight out of ten employees indicate flexibility as a major factor in job choice (KPMG, 2021).</w:t>
      </w:r>
    </w:p>
    <w:p w14:paraId="05112854" w14:textId="77777777" w:rsidR="00066A59" w:rsidRPr="00066A59" w:rsidRDefault="00066A59" w:rsidP="00066A59">
      <w:pPr>
        <w:rPr>
          <w:b/>
          <w:bCs/>
          <w:sz w:val="24"/>
          <w:szCs w:val="24"/>
        </w:rPr>
      </w:pPr>
      <w:r w:rsidRPr="00066A59">
        <w:rPr>
          <w:b/>
          <w:bCs/>
          <w:sz w:val="24"/>
          <w:szCs w:val="24"/>
        </w:rPr>
        <w:t>1.2 Enhanced Productivity</w:t>
      </w:r>
    </w:p>
    <w:p w14:paraId="7E44CBB2" w14:textId="77777777" w:rsidR="00066A59" w:rsidRPr="00066A59" w:rsidRDefault="00066A59" w:rsidP="00066A59">
      <w:pPr>
        <w:rPr>
          <w:sz w:val="24"/>
          <w:szCs w:val="24"/>
        </w:rPr>
      </w:pPr>
      <w:r w:rsidRPr="00066A59">
        <w:rPr>
          <w:sz w:val="24"/>
          <w:szCs w:val="24"/>
        </w:rPr>
        <w:t xml:space="preserve">Employees who work under flexible schedules tend to exhibit higher productivity levels due to improved morale and engagement. According to Gallup (2020), remote workers often show greater output as they can customize their work environments to maximize efficiency. This is particularly applicable for lab technicians and administrators at </w:t>
      </w:r>
      <w:proofErr w:type="spellStart"/>
      <w:r w:rsidRPr="00066A59">
        <w:rPr>
          <w:sz w:val="24"/>
          <w:szCs w:val="24"/>
        </w:rPr>
        <w:t>VialTech</w:t>
      </w:r>
      <w:proofErr w:type="spellEnd"/>
      <w:r w:rsidRPr="00066A59">
        <w:rPr>
          <w:sz w:val="24"/>
          <w:szCs w:val="24"/>
        </w:rPr>
        <w:t>. A study conducted by Stanford University (2013) found that employees working from home exhibited a 13% increase in productivity—approximately one day of output per week. Moreover, the reduction in commuting time allows employees to allocate more time to productive activities, placing value on both time and output.</w:t>
      </w:r>
    </w:p>
    <w:p w14:paraId="304759CF" w14:textId="77777777" w:rsidR="00066A59" w:rsidRPr="00066A59" w:rsidRDefault="00066A59" w:rsidP="00066A59">
      <w:pPr>
        <w:rPr>
          <w:b/>
          <w:bCs/>
          <w:sz w:val="24"/>
          <w:szCs w:val="24"/>
        </w:rPr>
      </w:pPr>
      <w:r w:rsidRPr="00066A59">
        <w:rPr>
          <w:b/>
          <w:bCs/>
          <w:sz w:val="24"/>
          <w:szCs w:val="24"/>
        </w:rPr>
        <w:t>1.3 Attracting Top Talent</w:t>
      </w:r>
    </w:p>
    <w:p w14:paraId="3C4D34A3" w14:textId="77777777" w:rsidR="00066A59" w:rsidRPr="00066A59" w:rsidRDefault="00066A59" w:rsidP="00066A59">
      <w:pPr>
        <w:rPr>
          <w:sz w:val="24"/>
          <w:szCs w:val="24"/>
        </w:rPr>
      </w:pPr>
      <w:r w:rsidRPr="00066A59">
        <w:rPr>
          <w:sz w:val="24"/>
          <w:szCs w:val="24"/>
        </w:rPr>
        <w:t xml:space="preserve">Flexible working arrangements make </w:t>
      </w:r>
      <w:proofErr w:type="spellStart"/>
      <w:r w:rsidRPr="00066A59">
        <w:rPr>
          <w:sz w:val="24"/>
          <w:szCs w:val="24"/>
        </w:rPr>
        <w:t>VialTech</w:t>
      </w:r>
      <w:proofErr w:type="spellEnd"/>
      <w:r w:rsidRPr="00066A59">
        <w:rPr>
          <w:sz w:val="24"/>
          <w:szCs w:val="24"/>
        </w:rPr>
        <w:t xml:space="preserve"> more attractive to prospective employees. The modern workforce, especially millennials and Gen Z, prioritize flexibility over traditional benefits (Pew Research, 2020). According to a survey by </w:t>
      </w:r>
      <w:proofErr w:type="spellStart"/>
      <w:r w:rsidRPr="00066A59">
        <w:rPr>
          <w:sz w:val="24"/>
          <w:szCs w:val="24"/>
        </w:rPr>
        <w:t>WithYouWithMe</w:t>
      </w:r>
      <w:proofErr w:type="spellEnd"/>
      <w:r w:rsidRPr="00066A59">
        <w:rPr>
          <w:sz w:val="24"/>
          <w:szCs w:val="24"/>
        </w:rPr>
        <w:t xml:space="preserve"> (2021), 87% of prospective employees view flexibility as an essential part of company culture. By adopting flexible working strategies, </w:t>
      </w:r>
      <w:proofErr w:type="spellStart"/>
      <w:r w:rsidRPr="00066A59">
        <w:rPr>
          <w:sz w:val="24"/>
          <w:szCs w:val="24"/>
        </w:rPr>
        <w:t>VialTech</w:t>
      </w:r>
      <w:proofErr w:type="spellEnd"/>
      <w:r w:rsidRPr="00066A59">
        <w:rPr>
          <w:sz w:val="24"/>
          <w:szCs w:val="24"/>
        </w:rPr>
        <w:t xml:space="preserve"> can appeal to this demographic and attract the skilled talent necessary for innovation in diagnostic tests. Employers with robust flexible working policies are perceived as progressive and are more successful in attracting diverse talent pools.</w:t>
      </w:r>
    </w:p>
    <w:p w14:paraId="78E93444" w14:textId="77777777" w:rsidR="00066A59" w:rsidRPr="00066A59" w:rsidRDefault="00066A59" w:rsidP="00066A59">
      <w:pPr>
        <w:rPr>
          <w:b/>
          <w:bCs/>
          <w:sz w:val="24"/>
          <w:szCs w:val="24"/>
        </w:rPr>
      </w:pPr>
      <w:r w:rsidRPr="00066A59">
        <w:rPr>
          <w:b/>
          <w:bCs/>
          <w:sz w:val="24"/>
          <w:szCs w:val="24"/>
        </w:rPr>
        <w:t>1.4 Reduced Operational Costs</w:t>
      </w:r>
    </w:p>
    <w:p w14:paraId="258719DA" w14:textId="77777777" w:rsidR="00066A59" w:rsidRPr="00066A59" w:rsidRDefault="00066A59" w:rsidP="00066A59">
      <w:pPr>
        <w:rPr>
          <w:sz w:val="24"/>
          <w:szCs w:val="24"/>
        </w:rPr>
      </w:pPr>
      <w:r w:rsidRPr="00066A59">
        <w:rPr>
          <w:sz w:val="24"/>
          <w:szCs w:val="24"/>
        </w:rPr>
        <w:t xml:space="preserve">Implementing flexible working can significantly reduce costs associated with physical office space, utilities, maintenance, and rent. Research by Global Workplace Analytics (2021) suggests that companies can save an average of $11,000 per employee annually by offering remote work options. Additionally, companies could consider downsizing their physical space, which not only cuts costs but also minimizes the carbon footprint associated with large office buildings. Strategies such as hot-desking can further enhance space utilization. The associated cost savings could be redirected toward </w:t>
      </w:r>
      <w:r w:rsidRPr="00066A59">
        <w:rPr>
          <w:sz w:val="24"/>
          <w:szCs w:val="24"/>
        </w:rPr>
        <w:lastRenderedPageBreak/>
        <w:t xml:space="preserve">enhancing operational capabilities at </w:t>
      </w:r>
      <w:proofErr w:type="spellStart"/>
      <w:r w:rsidRPr="00066A59">
        <w:rPr>
          <w:sz w:val="24"/>
          <w:szCs w:val="24"/>
        </w:rPr>
        <w:t>VialTech</w:t>
      </w:r>
      <w:proofErr w:type="spellEnd"/>
      <w:r w:rsidRPr="00066A59">
        <w:rPr>
          <w:sz w:val="24"/>
          <w:szCs w:val="24"/>
        </w:rPr>
        <w:t>, such as technology investments and employee training.</w:t>
      </w:r>
    </w:p>
    <w:p w14:paraId="4AF7917E" w14:textId="77777777" w:rsidR="00066A59" w:rsidRPr="00066A59" w:rsidRDefault="00066A59" w:rsidP="00066A59">
      <w:pPr>
        <w:rPr>
          <w:b/>
          <w:bCs/>
          <w:sz w:val="24"/>
          <w:szCs w:val="24"/>
        </w:rPr>
      </w:pPr>
      <w:r w:rsidRPr="00066A59">
        <w:rPr>
          <w:b/>
          <w:bCs/>
          <w:sz w:val="24"/>
          <w:szCs w:val="24"/>
        </w:rPr>
        <w:t>1.5 Enhanced Work-Life Balance</w:t>
      </w:r>
    </w:p>
    <w:p w14:paraId="16956BB0" w14:textId="77777777" w:rsidR="00066A59" w:rsidRPr="00066A59" w:rsidRDefault="00066A59" w:rsidP="00066A59">
      <w:pPr>
        <w:rPr>
          <w:sz w:val="24"/>
          <w:szCs w:val="24"/>
        </w:rPr>
      </w:pPr>
      <w:r w:rsidRPr="00066A59">
        <w:rPr>
          <w:sz w:val="24"/>
          <w:szCs w:val="24"/>
        </w:rPr>
        <w:t xml:space="preserve">Supporting flexible work schedules fosters a culture that values work-life balance. According to the World Health Organization (2021), workplace flexibility contributes to mental well-being, which is increasingly acknowledged as a critical factor in employee satisfaction. Data indicates that employees with a better work-life balance experience less stress and are more engaged (American Psychological Association, 2022). This perspective is reinforced by surveys showing that employees who are satisfied with their work-life balance are 21% more productive (IBM Smarter Workforce Institute, 2020). By helping employees prioritize their personal responsibilities, </w:t>
      </w:r>
      <w:proofErr w:type="spellStart"/>
      <w:r w:rsidRPr="00066A59">
        <w:rPr>
          <w:sz w:val="24"/>
          <w:szCs w:val="24"/>
        </w:rPr>
        <w:t>VialTech</w:t>
      </w:r>
      <w:proofErr w:type="spellEnd"/>
      <w:r w:rsidRPr="00066A59">
        <w:rPr>
          <w:sz w:val="24"/>
          <w:szCs w:val="24"/>
        </w:rPr>
        <w:t xml:space="preserve"> can enhance retention and cultivate loyalty.</w:t>
      </w:r>
    </w:p>
    <w:p w14:paraId="7D50FB67" w14:textId="77777777" w:rsidR="00066A59" w:rsidRPr="00066A59" w:rsidRDefault="00066A59" w:rsidP="00066A59">
      <w:pPr>
        <w:rPr>
          <w:sz w:val="24"/>
          <w:szCs w:val="24"/>
        </w:rPr>
      </w:pPr>
      <w:r w:rsidRPr="00066A59">
        <w:rPr>
          <w:sz w:val="24"/>
          <w:szCs w:val="24"/>
        </w:rPr>
        <w:pict w14:anchorId="6C4AB92A">
          <v:rect id="_x0000_i1055" style="width:0;height:1.5pt" o:hralign="center" o:hrstd="t" o:hrnoshade="t" o:hr="t" stroked="f"/>
        </w:pict>
      </w:r>
    </w:p>
    <w:p w14:paraId="26C98EAA" w14:textId="77777777" w:rsidR="00066A59" w:rsidRPr="00066A59" w:rsidRDefault="00066A59" w:rsidP="00066A59">
      <w:pPr>
        <w:rPr>
          <w:b/>
          <w:bCs/>
          <w:sz w:val="24"/>
          <w:szCs w:val="24"/>
        </w:rPr>
      </w:pPr>
      <w:r w:rsidRPr="00066A59">
        <w:rPr>
          <w:b/>
          <w:bCs/>
          <w:sz w:val="24"/>
          <w:szCs w:val="24"/>
        </w:rPr>
        <w:t>2. Considerations for Implementing Flexible Working</w:t>
      </w:r>
    </w:p>
    <w:p w14:paraId="1D72C722" w14:textId="77777777" w:rsidR="00066A59" w:rsidRPr="00066A59" w:rsidRDefault="00066A59" w:rsidP="00066A59">
      <w:pPr>
        <w:rPr>
          <w:sz w:val="24"/>
          <w:szCs w:val="24"/>
        </w:rPr>
      </w:pPr>
      <w:r w:rsidRPr="00066A59">
        <w:rPr>
          <w:sz w:val="24"/>
          <w:szCs w:val="24"/>
        </w:rPr>
        <w:t xml:space="preserve">Before implementing flexible working arrangements at </w:t>
      </w:r>
      <w:proofErr w:type="spellStart"/>
      <w:r w:rsidRPr="00066A59">
        <w:rPr>
          <w:sz w:val="24"/>
          <w:szCs w:val="24"/>
        </w:rPr>
        <w:t>VialTech</w:t>
      </w:r>
      <w:proofErr w:type="spellEnd"/>
      <w:r w:rsidRPr="00066A59">
        <w:rPr>
          <w:sz w:val="24"/>
          <w:szCs w:val="24"/>
        </w:rPr>
        <w:t>, the HR department must conduct a thorough analysis to ensure successful integration without compromising employee performance or operational efficiency:</w:t>
      </w:r>
    </w:p>
    <w:p w14:paraId="574E1FBE" w14:textId="77777777" w:rsidR="00066A59" w:rsidRPr="00066A59" w:rsidRDefault="00066A59" w:rsidP="00066A59">
      <w:pPr>
        <w:rPr>
          <w:b/>
          <w:bCs/>
          <w:sz w:val="24"/>
          <w:szCs w:val="24"/>
        </w:rPr>
      </w:pPr>
      <w:r w:rsidRPr="00066A59">
        <w:rPr>
          <w:b/>
          <w:bCs/>
          <w:sz w:val="24"/>
          <w:szCs w:val="24"/>
        </w:rPr>
        <w:t>2.1 Assessing Role-Specific Implications</w:t>
      </w:r>
    </w:p>
    <w:p w14:paraId="6B24A54C" w14:textId="77777777" w:rsidR="00066A59" w:rsidRPr="00066A59" w:rsidRDefault="00066A59" w:rsidP="00066A59">
      <w:pPr>
        <w:rPr>
          <w:sz w:val="24"/>
          <w:szCs w:val="24"/>
        </w:rPr>
      </w:pPr>
      <w:r w:rsidRPr="00066A59">
        <w:rPr>
          <w:sz w:val="24"/>
          <w:szCs w:val="24"/>
        </w:rPr>
        <w:t xml:space="preserve">Different teams at </w:t>
      </w:r>
      <w:proofErr w:type="spellStart"/>
      <w:r w:rsidRPr="00066A59">
        <w:rPr>
          <w:sz w:val="24"/>
          <w:szCs w:val="24"/>
        </w:rPr>
        <w:t>VialTech</w:t>
      </w:r>
      <w:proofErr w:type="spellEnd"/>
      <w:r w:rsidRPr="00066A59">
        <w:rPr>
          <w:sz w:val="24"/>
          <w:szCs w:val="24"/>
        </w:rPr>
        <w:t xml:space="preserve"> have varying operational requirements. For instance:</w:t>
      </w:r>
    </w:p>
    <w:p w14:paraId="77E63650" w14:textId="77777777" w:rsidR="00066A59" w:rsidRPr="00066A59" w:rsidRDefault="00066A59" w:rsidP="00066A59">
      <w:pPr>
        <w:numPr>
          <w:ilvl w:val="0"/>
          <w:numId w:val="3"/>
        </w:numPr>
        <w:rPr>
          <w:sz w:val="24"/>
          <w:szCs w:val="24"/>
        </w:rPr>
      </w:pPr>
      <w:r w:rsidRPr="00066A59">
        <w:rPr>
          <w:b/>
          <w:bCs/>
          <w:sz w:val="24"/>
          <w:szCs w:val="24"/>
        </w:rPr>
        <w:t>Lab Technicians:</w:t>
      </w:r>
      <w:r w:rsidRPr="00066A59">
        <w:rPr>
          <w:sz w:val="24"/>
          <w:szCs w:val="24"/>
        </w:rPr>
        <w:t> Their roles may require specific on-site presence during testing procedures. Flexible arrangements could be optimized by allowing remote work for administrative tasks and staggered shifts to keep essential processes uninterrupted. Introducing part-time schedules or rotating shifts can also alleviate operational challenges.</w:t>
      </w:r>
    </w:p>
    <w:p w14:paraId="55BE95DE" w14:textId="77777777" w:rsidR="00066A59" w:rsidRPr="00066A59" w:rsidRDefault="00066A59" w:rsidP="00066A59">
      <w:pPr>
        <w:numPr>
          <w:ilvl w:val="0"/>
          <w:numId w:val="3"/>
        </w:numPr>
        <w:rPr>
          <w:sz w:val="24"/>
          <w:szCs w:val="24"/>
        </w:rPr>
      </w:pPr>
      <w:r w:rsidRPr="00066A59">
        <w:rPr>
          <w:b/>
          <w:bCs/>
          <w:sz w:val="24"/>
          <w:szCs w:val="24"/>
        </w:rPr>
        <w:t>Customer-Facing Staff:</w:t>
      </w:r>
      <w:r w:rsidRPr="00066A59">
        <w:rPr>
          <w:sz w:val="24"/>
          <w:szCs w:val="24"/>
        </w:rPr>
        <w:t> A hybrid model may be beneficial for customer service representatives, facilitating flexibility in handling inquiries while ensuring adequate coverage during peak hours. Introducing set days for remote work, combined with an understanding of peak customer interaction periods, can enhance service levels while allowing flexibility.</w:t>
      </w:r>
    </w:p>
    <w:p w14:paraId="0B885AC4" w14:textId="77777777" w:rsidR="00066A59" w:rsidRPr="00066A59" w:rsidRDefault="00066A59" w:rsidP="00066A59">
      <w:pPr>
        <w:rPr>
          <w:sz w:val="24"/>
          <w:szCs w:val="24"/>
        </w:rPr>
      </w:pPr>
      <w:r w:rsidRPr="00066A59">
        <w:rPr>
          <w:sz w:val="24"/>
          <w:szCs w:val="24"/>
        </w:rPr>
        <w:t>An assessment should be performed to determine which roles can truly benefit from flexible working without impacting service delivery.</w:t>
      </w:r>
    </w:p>
    <w:p w14:paraId="090EC103" w14:textId="77777777" w:rsidR="00066A59" w:rsidRPr="00066A59" w:rsidRDefault="00066A59" w:rsidP="00066A59">
      <w:pPr>
        <w:rPr>
          <w:b/>
          <w:bCs/>
          <w:sz w:val="24"/>
          <w:szCs w:val="24"/>
        </w:rPr>
      </w:pPr>
      <w:r w:rsidRPr="00066A59">
        <w:rPr>
          <w:b/>
          <w:bCs/>
          <w:sz w:val="24"/>
          <w:szCs w:val="24"/>
        </w:rPr>
        <w:t>2.2 Technological Infrastructure</w:t>
      </w:r>
    </w:p>
    <w:p w14:paraId="160F3F39" w14:textId="77777777" w:rsidR="00066A59" w:rsidRPr="00066A59" w:rsidRDefault="00066A59" w:rsidP="00066A59">
      <w:pPr>
        <w:rPr>
          <w:sz w:val="24"/>
          <w:szCs w:val="24"/>
        </w:rPr>
      </w:pPr>
      <w:r w:rsidRPr="00066A59">
        <w:rPr>
          <w:sz w:val="24"/>
          <w:szCs w:val="24"/>
        </w:rPr>
        <w:t xml:space="preserve">Robust technology is crucial for facilitating flexible working. </w:t>
      </w:r>
      <w:proofErr w:type="spellStart"/>
      <w:r w:rsidRPr="00066A59">
        <w:rPr>
          <w:sz w:val="24"/>
          <w:szCs w:val="24"/>
        </w:rPr>
        <w:t>VialTech</w:t>
      </w:r>
      <w:proofErr w:type="spellEnd"/>
      <w:r w:rsidRPr="00066A59">
        <w:rPr>
          <w:sz w:val="24"/>
          <w:szCs w:val="24"/>
        </w:rPr>
        <w:t xml:space="preserve"> must invest in secure communication and collaboration platforms (e.g., Microsoft Teams, Slack, Zoom) and ensure all employees have access to necessary tools to maintain productivity in remote settings. Continuous training will enable staff to effectively utilize these platforms. Enhanced cybersecurity measures, such as VPNs and secure data storage, should corroborate these tools to safeguard sensitive information. </w:t>
      </w:r>
    </w:p>
    <w:p w14:paraId="61F92AD9" w14:textId="77777777" w:rsidR="00066A59" w:rsidRPr="00066A59" w:rsidRDefault="00066A59" w:rsidP="00066A59">
      <w:pPr>
        <w:rPr>
          <w:b/>
          <w:bCs/>
          <w:sz w:val="24"/>
          <w:szCs w:val="24"/>
        </w:rPr>
      </w:pPr>
      <w:r w:rsidRPr="00066A59">
        <w:rPr>
          <w:b/>
          <w:bCs/>
          <w:sz w:val="24"/>
          <w:szCs w:val="24"/>
        </w:rPr>
        <w:lastRenderedPageBreak/>
        <w:t>2.3 Communication Strategies</w:t>
      </w:r>
    </w:p>
    <w:p w14:paraId="2EEDA910" w14:textId="77777777" w:rsidR="00066A59" w:rsidRPr="00066A59" w:rsidRDefault="00066A59" w:rsidP="00066A59">
      <w:pPr>
        <w:rPr>
          <w:sz w:val="24"/>
          <w:szCs w:val="24"/>
        </w:rPr>
      </w:pPr>
      <w:r w:rsidRPr="00066A59">
        <w:rPr>
          <w:sz w:val="24"/>
          <w:szCs w:val="24"/>
        </w:rPr>
        <w:t>A clear communication plan is essential to align organizational objectives with flexible working practices. Regular updates, virtual meetings, and feedback loops will help manage expectations and cultivate a supportive culture during the transition. Tools for shared calendars and project management platforms (such as Trello or Asana) will further promote collaboration. For larger teams, implementing bi-weekly or monthly town halls can facilitate broader engagement.</w:t>
      </w:r>
    </w:p>
    <w:p w14:paraId="6E7BA9AB" w14:textId="77777777" w:rsidR="00066A59" w:rsidRPr="00066A59" w:rsidRDefault="00066A59" w:rsidP="00066A59">
      <w:pPr>
        <w:rPr>
          <w:b/>
          <w:bCs/>
          <w:sz w:val="24"/>
          <w:szCs w:val="24"/>
        </w:rPr>
      </w:pPr>
      <w:r w:rsidRPr="00066A59">
        <w:rPr>
          <w:b/>
          <w:bCs/>
          <w:sz w:val="24"/>
          <w:szCs w:val="24"/>
        </w:rPr>
        <w:t>2.4 Compliance and Policies</w:t>
      </w:r>
    </w:p>
    <w:p w14:paraId="192903AD" w14:textId="77777777" w:rsidR="00066A59" w:rsidRPr="00066A59" w:rsidRDefault="00066A59" w:rsidP="00066A59">
      <w:pPr>
        <w:rPr>
          <w:sz w:val="24"/>
          <w:szCs w:val="24"/>
        </w:rPr>
      </w:pPr>
      <w:r w:rsidRPr="00066A59">
        <w:rPr>
          <w:sz w:val="24"/>
          <w:szCs w:val="24"/>
        </w:rPr>
        <w:t xml:space="preserve">The HR department must develop comprehensive policies addressing flexible work arrangements. Legal considerations, such as health and safety regulations and </w:t>
      </w:r>
      <w:proofErr w:type="spellStart"/>
      <w:r w:rsidRPr="00066A59">
        <w:rPr>
          <w:sz w:val="24"/>
          <w:szCs w:val="24"/>
        </w:rPr>
        <w:t>labor</w:t>
      </w:r>
      <w:proofErr w:type="spellEnd"/>
      <w:r w:rsidRPr="00066A59">
        <w:rPr>
          <w:sz w:val="24"/>
          <w:szCs w:val="24"/>
        </w:rPr>
        <w:t xml:space="preserve"> laws, must also be accounted for to mitigate risks associated with remote work. According to Deloitte (2021), companies should ensure that workforce policies are flexible enough to adapt to changing legal standards in remote work practices. Policies may include guidelines on data security, productivity expectations in remote settings, and protocols for hybrid teamwork.</w:t>
      </w:r>
    </w:p>
    <w:p w14:paraId="557ED5BE" w14:textId="77777777" w:rsidR="00066A59" w:rsidRPr="00066A59" w:rsidRDefault="00066A59" w:rsidP="00066A59">
      <w:pPr>
        <w:rPr>
          <w:sz w:val="24"/>
          <w:szCs w:val="24"/>
        </w:rPr>
      </w:pPr>
      <w:r w:rsidRPr="00066A59">
        <w:rPr>
          <w:sz w:val="24"/>
          <w:szCs w:val="24"/>
        </w:rPr>
        <w:pict w14:anchorId="09AE81AA">
          <v:rect id="_x0000_i1056" style="width:0;height:1.5pt" o:hralign="center" o:hrstd="t" o:hrnoshade="t" o:hr="t" stroked="f"/>
        </w:pict>
      </w:r>
    </w:p>
    <w:p w14:paraId="7DDAC850" w14:textId="77777777" w:rsidR="00066A59" w:rsidRPr="00066A59" w:rsidRDefault="00066A59" w:rsidP="00066A59">
      <w:pPr>
        <w:rPr>
          <w:b/>
          <w:bCs/>
          <w:sz w:val="24"/>
          <w:szCs w:val="24"/>
        </w:rPr>
      </w:pPr>
      <w:r w:rsidRPr="00066A59">
        <w:rPr>
          <w:b/>
          <w:bCs/>
          <w:sz w:val="24"/>
          <w:szCs w:val="24"/>
        </w:rPr>
        <w:t>3. Reconfiguring the Pay Structure</w:t>
      </w:r>
    </w:p>
    <w:p w14:paraId="4D43B3A7" w14:textId="77777777" w:rsidR="00066A59" w:rsidRPr="00066A59" w:rsidRDefault="00066A59" w:rsidP="00066A59">
      <w:pPr>
        <w:rPr>
          <w:sz w:val="24"/>
          <w:szCs w:val="24"/>
        </w:rPr>
      </w:pPr>
      <w:r w:rsidRPr="00066A59">
        <w:rPr>
          <w:sz w:val="24"/>
          <w:szCs w:val="24"/>
        </w:rPr>
        <w:t xml:space="preserve">Implementing flexible working policies may necessitate a revision of </w:t>
      </w:r>
      <w:proofErr w:type="spellStart"/>
      <w:r w:rsidRPr="00066A59">
        <w:rPr>
          <w:sz w:val="24"/>
          <w:szCs w:val="24"/>
        </w:rPr>
        <w:t>VialTech's</w:t>
      </w:r>
      <w:proofErr w:type="spellEnd"/>
      <w:r w:rsidRPr="00066A59">
        <w:rPr>
          <w:sz w:val="24"/>
          <w:szCs w:val="24"/>
        </w:rPr>
        <w:t xml:space="preserve"> pay structure:</w:t>
      </w:r>
    </w:p>
    <w:p w14:paraId="394FDA9F" w14:textId="77777777" w:rsidR="00066A59" w:rsidRPr="00066A59" w:rsidRDefault="00066A59" w:rsidP="00066A59">
      <w:pPr>
        <w:rPr>
          <w:b/>
          <w:bCs/>
          <w:sz w:val="24"/>
          <w:szCs w:val="24"/>
        </w:rPr>
      </w:pPr>
      <w:r w:rsidRPr="00066A59">
        <w:rPr>
          <w:b/>
          <w:bCs/>
          <w:sz w:val="24"/>
          <w:szCs w:val="24"/>
        </w:rPr>
        <w:t>3.1 Performance-Based Pay</w:t>
      </w:r>
    </w:p>
    <w:p w14:paraId="4782CE24" w14:textId="77777777" w:rsidR="00066A59" w:rsidRPr="00066A59" w:rsidRDefault="00066A59" w:rsidP="00066A59">
      <w:pPr>
        <w:rPr>
          <w:sz w:val="24"/>
          <w:szCs w:val="24"/>
        </w:rPr>
      </w:pPr>
      <w:r w:rsidRPr="00066A59">
        <w:rPr>
          <w:sz w:val="24"/>
          <w:szCs w:val="24"/>
        </w:rPr>
        <w:t xml:space="preserve">To promote fairness in a flexible work environment, performance-based compensation methods may be effective. By evaluating employee performance based on output rather than hours worked, </w:t>
      </w:r>
      <w:proofErr w:type="spellStart"/>
      <w:r w:rsidRPr="00066A59">
        <w:rPr>
          <w:sz w:val="24"/>
          <w:szCs w:val="24"/>
        </w:rPr>
        <w:t>VialTech</w:t>
      </w:r>
      <w:proofErr w:type="spellEnd"/>
      <w:r w:rsidRPr="00066A59">
        <w:rPr>
          <w:sz w:val="24"/>
          <w:szCs w:val="24"/>
        </w:rPr>
        <w:t xml:space="preserve"> can incentivize productivity. The inclusion of Key Performance Indicators (KPIs) tailored to each role can ensure employees remain accountable while embracing flexibility. Regular performance reviews could enhance transparency and alignment.</w:t>
      </w:r>
    </w:p>
    <w:p w14:paraId="002B26C1" w14:textId="77777777" w:rsidR="00066A59" w:rsidRPr="00066A59" w:rsidRDefault="00066A59" w:rsidP="00066A59">
      <w:pPr>
        <w:rPr>
          <w:b/>
          <w:bCs/>
          <w:sz w:val="24"/>
          <w:szCs w:val="24"/>
        </w:rPr>
      </w:pPr>
      <w:r w:rsidRPr="00066A59">
        <w:rPr>
          <w:b/>
          <w:bCs/>
          <w:sz w:val="24"/>
          <w:szCs w:val="24"/>
        </w:rPr>
        <w:t>3.2 Hourly Vs. Salary Compensation</w:t>
      </w:r>
    </w:p>
    <w:p w14:paraId="127A6E44" w14:textId="77777777" w:rsidR="00066A59" w:rsidRPr="00066A59" w:rsidRDefault="00066A59" w:rsidP="00066A59">
      <w:pPr>
        <w:rPr>
          <w:sz w:val="24"/>
          <w:szCs w:val="24"/>
        </w:rPr>
      </w:pPr>
      <w:r w:rsidRPr="00066A59">
        <w:rPr>
          <w:sz w:val="24"/>
          <w:szCs w:val="24"/>
        </w:rPr>
        <w:t>For roles that involve specific hours of work (e.g., lab technicians), the pay structure may need to consider compensating for hours worked while offering flexibility in shift selection. Balancing salary compensation with the possibility of remote work duties can help address employee preferences. This requires clarity on terms of employment concerning core hours of operations, especially for teams requiring synchronous communication.</w:t>
      </w:r>
    </w:p>
    <w:p w14:paraId="7DE4EA5D" w14:textId="77777777" w:rsidR="00066A59" w:rsidRPr="00066A59" w:rsidRDefault="00066A59" w:rsidP="00066A59">
      <w:pPr>
        <w:rPr>
          <w:b/>
          <w:bCs/>
          <w:sz w:val="24"/>
          <w:szCs w:val="24"/>
        </w:rPr>
      </w:pPr>
      <w:r w:rsidRPr="00066A59">
        <w:rPr>
          <w:b/>
          <w:bCs/>
          <w:sz w:val="24"/>
          <w:szCs w:val="24"/>
        </w:rPr>
        <w:t>3.3 Benefits Package</w:t>
      </w:r>
    </w:p>
    <w:p w14:paraId="51FFDAD1" w14:textId="77777777" w:rsidR="00066A59" w:rsidRPr="00066A59" w:rsidRDefault="00066A59" w:rsidP="00066A59">
      <w:pPr>
        <w:rPr>
          <w:sz w:val="24"/>
          <w:szCs w:val="24"/>
        </w:rPr>
      </w:pPr>
      <w:r w:rsidRPr="00066A59">
        <w:rPr>
          <w:sz w:val="24"/>
          <w:szCs w:val="24"/>
        </w:rPr>
        <w:t xml:space="preserve">The inclusion of options for remote office stipends, home office setups, or wellness reimbursements can further enhance employee satisfaction. A revised benefits package that supports flexible working may establish </w:t>
      </w:r>
      <w:proofErr w:type="spellStart"/>
      <w:r w:rsidRPr="00066A59">
        <w:rPr>
          <w:sz w:val="24"/>
          <w:szCs w:val="24"/>
        </w:rPr>
        <w:t>VialTech</w:t>
      </w:r>
      <w:proofErr w:type="spellEnd"/>
      <w:r w:rsidRPr="00066A59">
        <w:rPr>
          <w:sz w:val="24"/>
          <w:szCs w:val="24"/>
        </w:rPr>
        <w:t xml:space="preserve"> as an employer of choice. According to Mercer (2021), flexible benefits are increasingly linked to employee </w:t>
      </w:r>
      <w:r w:rsidRPr="00066A59">
        <w:rPr>
          <w:sz w:val="24"/>
          <w:szCs w:val="24"/>
        </w:rPr>
        <w:lastRenderedPageBreak/>
        <w:t>well-being and satisfaction, encouraging companies to adapt their offerings accordingly. Introducing innovative benefits such as mental health days, gym memberships, or training for home-office ergonomics could enhance overall employee morale.</w:t>
      </w:r>
    </w:p>
    <w:p w14:paraId="5F7A58AB" w14:textId="77777777" w:rsidR="00066A59" w:rsidRPr="00066A59" w:rsidRDefault="00066A59" w:rsidP="00066A59">
      <w:pPr>
        <w:rPr>
          <w:sz w:val="24"/>
          <w:szCs w:val="24"/>
        </w:rPr>
      </w:pPr>
      <w:r w:rsidRPr="00066A59">
        <w:rPr>
          <w:sz w:val="24"/>
          <w:szCs w:val="24"/>
        </w:rPr>
        <w:pict w14:anchorId="06B0FE8C">
          <v:rect id="_x0000_i1057" style="width:0;height:1.5pt" o:hralign="center" o:hrstd="t" o:hrnoshade="t" o:hr="t" stroked="f"/>
        </w:pict>
      </w:r>
    </w:p>
    <w:p w14:paraId="73A882AB" w14:textId="77777777" w:rsidR="00066A59" w:rsidRPr="00066A59" w:rsidRDefault="00066A59" w:rsidP="00066A59">
      <w:pPr>
        <w:rPr>
          <w:b/>
          <w:bCs/>
          <w:sz w:val="24"/>
          <w:szCs w:val="24"/>
        </w:rPr>
      </w:pPr>
      <w:r w:rsidRPr="00066A59">
        <w:rPr>
          <w:b/>
          <w:bCs/>
          <w:sz w:val="24"/>
          <w:szCs w:val="24"/>
        </w:rPr>
        <w:t>4. Strategies to Promote Employee Engagement</w:t>
      </w:r>
    </w:p>
    <w:p w14:paraId="22A9BF34" w14:textId="77777777" w:rsidR="00066A59" w:rsidRPr="00066A59" w:rsidRDefault="00066A59" w:rsidP="00066A59">
      <w:pPr>
        <w:rPr>
          <w:sz w:val="24"/>
          <w:szCs w:val="24"/>
        </w:rPr>
      </w:pPr>
      <w:r w:rsidRPr="00066A59">
        <w:rPr>
          <w:sz w:val="24"/>
          <w:szCs w:val="24"/>
        </w:rPr>
        <w:t xml:space="preserve">Engaging employees during the implementation of flexible working is crucial to fostering a positive organizational culture. Below are recommendations tailored to </w:t>
      </w:r>
      <w:proofErr w:type="spellStart"/>
      <w:r w:rsidRPr="00066A59">
        <w:rPr>
          <w:sz w:val="24"/>
          <w:szCs w:val="24"/>
        </w:rPr>
        <w:t>VialTech</w:t>
      </w:r>
      <w:proofErr w:type="spellEnd"/>
      <w:r w:rsidRPr="00066A59">
        <w:rPr>
          <w:sz w:val="24"/>
          <w:szCs w:val="24"/>
        </w:rPr>
        <w:t>:</w:t>
      </w:r>
    </w:p>
    <w:p w14:paraId="6518E2B7" w14:textId="77777777" w:rsidR="00066A59" w:rsidRPr="00066A59" w:rsidRDefault="00066A59" w:rsidP="00066A59">
      <w:pPr>
        <w:rPr>
          <w:b/>
          <w:bCs/>
          <w:sz w:val="24"/>
          <w:szCs w:val="24"/>
        </w:rPr>
      </w:pPr>
      <w:r w:rsidRPr="00066A59">
        <w:rPr>
          <w:b/>
          <w:bCs/>
          <w:sz w:val="24"/>
          <w:szCs w:val="24"/>
        </w:rPr>
        <w:t>4.1 Regular Feedback</w:t>
      </w:r>
    </w:p>
    <w:p w14:paraId="06BE627F" w14:textId="77777777" w:rsidR="00066A59" w:rsidRPr="00066A59" w:rsidRDefault="00066A59" w:rsidP="00066A59">
      <w:pPr>
        <w:rPr>
          <w:sz w:val="24"/>
          <w:szCs w:val="24"/>
        </w:rPr>
      </w:pPr>
      <w:r w:rsidRPr="00066A59">
        <w:rPr>
          <w:sz w:val="24"/>
          <w:szCs w:val="24"/>
        </w:rPr>
        <w:t>Establishing a feedback system that solicits input from employees during and after the transition will help address concerns and improve implementation strategies. Regular check-ins and surveys can gauge satisfaction levels and assist in making necessary adjustments. Using anonymous feedback tools and performance analytics can provide valuable insights on work satisfaction and productivity.</w:t>
      </w:r>
    </w:p>
    <w:p w14:paraId="50D557B6" w14:textId="77777777" w:rsidR="00066A59" w:rsidRPr="00066A59" w:rsidRDefault="00066A59" w:rsidP="00066A59">
      <w:pPr>
        <w:rPr>
          <w:b/>
          <w:bCs/>
          <w:sz w:val="24"/>
          <w:szCs w:val="24"/>
        </w:rPr>
      </w:pPr>
      <w:r w:rsidRPr="00066A59">
        <w:rPr>
          <w:b/>
          <w:bCs/>
          <w:sz w:val="24"/>
          <w:szCs w:val="24"/>
        </w:rPr>
        <w:t>4.2 Training and Development Opportunities</w:t>
      </w:r>
    </w:p>
    <w:p w14:paraId="2392B617" w14:textId="77777777" w:rsidR="00066A59" w:rsidRPr="00066A59" w:rsidRDefault="00066A59" w:rsidP="00066A59">
      <w:pPr>
        <w:rPr>
          <w:sz w:val="24"/>
          <w:szCs w:val="24"/>
        </w:rPr>
      </w:pPr>
      <w:r w:rsidRPr="00066A59">
        <w:rPr>
          <w:sz w:val="24"/>
          <w:szCs w:val="24"/>
        </w:rPr>
        <w:t xml:space="preserve">Offering training sessions on time management, remote collaboration, and professional development will empower employees to maximize their potential in a flexible working model. This investment in their growth demonstrates </w:t>
      </w:r>
      <w:proofErr w:type="spellStart"/>
      <w:r w:rsidRPr="00066A59">
        <w:rPr>
          <w:sz w:val="24"/>
          <w:szCs w:val="24"/>
        </w:rPr>
        <w:t>VialTech's</w:t>
      </w:r>
      <w:proofErr w:type="spellEnd"/>
      <w:r w:rsidRPr="00066A59">
        <w:rPr>
          <w:sz w:val="24"/>
          <w:szCs w:val="24"/>
        </w:rPr>
        <w:t xml:space="preserve"> commitment to employee success. Consider creating mentorship programs to support career development amid transitioning to new working styles.</w:t>
      </w:r>
    </w:p>
    <w:p w14:paraId="4E604315" w14:textId="77777777" w:rsidR="00066A59" w:rsidRPr="00066A59" w:rsidRDefault="00066A59" w:rsidP="00066A59">
      <w:pPr>
        <w:rPr>
          <w:b/>
          <w:bCs/>
          <w:sz w:val="24"/>
          <w:szCs w:val="24"/>
        </w:rPr>
      </w:pPr>
      <w:r w:rsidRPr="00066A59">
        <w:rPr>
          <w:b/>
          <w:bCs/>
          <w:sz w:val="24"/>
          <w:szCs w:val="24"/>
        </w:rPr>
        <w:t>4.3 Team-Building Activities</w:t>
      </w:r>
    </w:p>
    <w:p w14:paraId="5DFA5558" w14:textId="77777777" w:rsidR="00066A59" w:rsidRPr="00066A59" w:rsidRDefault="00066A59" w:rsidP="00066A59">
      <w:pPr>
        <w:rPr>
          <w:sz w:val="24"/>
          <w:szCs w:val="24"/>
        </w:rPr>
      </w:pPr>
      <w:r w:rsidRPr="00066A59">
        <w:rPr>
          <w:sz w:val="24"/>
          <w:szCs w:val="24"/>
        </w:rPr>
        <w:t>Organizing virtual team-building initiatives will foster camaraderie among employees who may work in disparate locations. These activities can range from virtual coffee breaks to structured workshops or themed days that encourage collaboration, keeping the team connected despite the flexible structure.</w:t>
      </w:r>
    </w:p>
    <w:p w14:paraId="67A8ED34" w14:textId="77777777" w:rsidR="00066A59" w:rsidRPr="00066A59" w:rsidRDefault="00066A59" w:rsidP="00066A59">
      <w:pPr>
        <w:rPr>
          <w:b/>
          <w:bCs/>
          <w:sz w:val="24"/>
          <w:szCs w:val="24"/>
        </w:rPr>
      </w:pPr>
      <w:r w:rsidRPr="00066A59">
        <w:rPr>
          <w:b/>
          <w:bCs/>
          <w:sz w:val="24"/>
          <w:szCs w:val="24"/>
        </w:rPr>
        <w:t>4.4 Promote Work-Life Integration</w:t>
      </w:r>
    </w:p>
    <w:p w14:paraId="56A0D4BB" w14:textId="77777777" w:rsidR="00066A59" w:rsidRPr="00066A59" w:rsidRDefault="00066A59" w:rsidP="00066A59">
      <w:pPr>
        <w:rPr>
          <w:sz w:val="24"/>
          <w:szCs w:val="24"/>
        </w:rPr>
      </w:pPr>
      <w:r w:rsidRPr="00066A59">
        <w:rPr>
          <w:sz w:val="24"/>
          <w:szCs w:val="24"/>
        </w:rPr>
        <w:t xml:space="preserve">Encouraging employees to strike a balance between work responsibilities and personal life is vital. Recognizing and celebrating personal milestones, such as birthdays or work anniversaries, can enhance morale and strengthen interpersonal relationships among employees. Moreover, allowing staff to share their flexible working experiences can </w:t>
      </w:r>
      <w:proofErr w:type="spellStart"/>
      <w:r w:rsidRPr="00066A59">
        <w:rPr>
          <w:sz w:val="24"/>
          <w:szCs w:val="24"/>
        </w:rPr>
        <w:t>instill</w:t>
      </w:r>
      <w:proofErr w:type="spellEnd"/>
      <w:r w:rsidRPr="00066A59">
        <w:rPr>
          <w:sz w:val="24"/>
          <w:szCs w:val="24"/>
        </w:rPr>
        <w:t xml:space="preserve"> a sense of community.</w:t>
      </w:r>
    </w:p>
    <w:p w14:paraId="730DF8E6" w14:textId="77777777" w:rsidR="00066A59" w:rsidRPr="00066A59" w:rsidRDefault="00066A59" w:rsidP="00066A59">
      <w:pPr>
        <w:rPr>
          <w:b/>
          <w:bCs/>
          <w:sz w:val="24"/>
          <w:szCs w:val="24"/>
        </w:rPr>
      </w:pPr>
      <w:r w:rsidRPr="00066A59">
        <w:rPr>
          <w:b/>
          <w:bCs/>
          <w:sz w:val="24"/>
          <w:szCs w:val="24"/>
        </w:rPr>
        <w:t>4.5 Transparent Leadership</w:t>
      </w:r>
    </w:p>
    <w:p w14:paraId="7A129021" w14:textId="77777777" w:rsidR="00066A59" w:rsidRPr="00066A59" w:rsidRDefault="00066A59" w:rsidP="00066A59">
      <w:pPr>
        <w:rPr>
          <w:sz w:val="24"/>
          <w:szCs w:val="24"/>
        </w:rPr>
      </w:pPr>
      <w:r w:rsidRPr="00066A59">
        <w:rPr>
          <w:sz w:val="24"/>
          <w:szCs w:val="24"/>
        </w:rPr>
        <w:t>Leadership must actively embrace a culture of transparency by sharing successes, challenges, and developments with employees. Regular updates and an open-door policy will promote trust and ensure employees feel valued and heard during the transition. Informal Q&amp;A sessions or “Ask Me Anything” forums can help bridge the gap between management and staff.</w:t>
      </w:r>
    </w:p>
    <w:p w14:paraId="35303681" w14:textId="77777777" w:rsidR="00066A59" w:rsidRPr="00066A59" w:rsidRDefault="00066A59" w:rsidP="00066A59">
      <w:pPr>
        <w:rPr>
          <w:sz w:val="24"/>
          <w:szCs w:val="24"/>
        </w:rPr>
      </w:pPr>
      <w:r w:rsidRPr="00066A59">
        <w:rPr>
          <w:sz w:val="24"/>
          <w:szCs w:val="24"/>
        </w:rPr>
        <w:lastRenderedPageBreak/>
        <w:pict w14:anchorId="4F2205A5">
          <v:rect id="_x0000_i1058" style="width:0;height:1.5pt" o:hralign="center" o:hrstd="t" o:hrnoshade="t" o:hr="t" stroked="f"/>
        </w:pict>
      </w:r>
    </w:p>
    <w:p w14:paraId="15A7B7BA" w14:textId="77777777" w:rsidR="00066A59" w:rsidRPr="00066A59" w:rsidRDefault="00066A59" w:rsidP="00066A59">
      <w:pPr>
        <w:rPr>
          <w:b/>
          <w:bCs/>
          <w:sz w:val="24"/>
          <w:szCs w:val="24"/>
        </w:rPr>
      </w:pPr>
      <w:r w:rsidRPr="00066A59">
        <w:rPr>
          <w:b/>
          <w:bCs/>
          <w:sz w:val="24"/>
          <w:szCs w:val="24"/>
        </w:rPr>
        <w:t>Conclusion</w:t>
      </w:r>
    </w:p>
    <w:p w14:paraId="5E400B46" w14:textId="77777777" w:rsidR="00066A59" w:rsidRPr="00066A59" w:rsidRDefault="00066A59" w:rsidP="00066A59">
      <w:pPr>
        <w:rPr>
          <w:sz w:val="24"/>
          <w:szCs w:val="24"/>
        </w:rPr>
      </w:pPr>
      <w:r w:rsidRPr="00066A59">
        <w:rPr>
          <w:sz w:val="24"/>
          <w:szCs w:val="24"/>
        </w:rPr>
        <w:t xml:space="preserve">In conclusion, implementing flexible working strategies offers a multitude of benefits for </w:t>
      </w:r>
      <w:proofErr w:type="spellStart"/>
      <w:r w:rsidRPr="00066A59">
        <w:rPr>
          <w:sz w:val="24"/>
          <w:szCs w:val="24"/>
        </w:rPr>
        <w:t>VialTech</w:t>
      </w:r>
      <w:proofErr w:type="spellEnd"/>
      <w:r w:rsidRPr="00066A59">
        <w:rPr>
          <w:sz w:val="24"/>
          <w:szCs w:val="24"/>
        </w:rPr>
        <w:t xml:space="preserve">, including increased employee satisfaction, productivity, and talent attraction. However, careful consideration must be given to the unique needs of different teams, technological infrastructure, communication strategies, and compliance requirements. Additionally, reconfiguring the pay structure to align with performance outcomes and developing engagement initiatives are essential steps in promoting a successful transition to flexible working. By adopting these recommendations, </w:t>
      </w:r>
      <w:proofErr w:type="spellStart"/>
      <w:r w:rsidRPr="00066A59">
        <w:rPr>
          <w:sz w:val="24"/>
          <w:szCs w:val="24"/>
        </w:rPr>
        <w:t>VialTech</w:t>
      </w:r>
      <w:proofErr w:type="spellEnd"/>
      <w:r w:rsidRPr="00066A59">
        <w:rPr>
          <w:sz w:val="24"/>
          <w:szCs w:val="24"/>
        </w:rPr>
        <w:t xml:space="preserve"> can position itself as a forward-thinking organization committed to the well-being of its employees while maintaining operational efficiency.</w:t>
      </w:r>
    </w:p>
    <w:p w14:paraId="59FD58D1" w14:textId="77777777" w:rsidR="00066A59" w:rsidRPr="00066A59" w:rsidRDefault="00066A59" w:rsidP="00066A59">
      <w:pPr>
        <w:rPr>
          <w:sz w:val="24"/>
          <w:szCs w:val="24"/>
        </w:rPr>
      </w:pPr>
      <w:r w:rsidRPr="00066A59">
        <w:rPr>
          <w:sz w:val="24"/>
          <w:szCs w:val="24"/>
        </w:rPr>
        <w:pict w14:anchorId="673F5B0A">
          <v:rect id="_x0000_i1067" style="width:0;height:1.5pt" o:hralign="center" o:hrstd="t" o:hrnoshade="t" o:hr="t" stroked="f"/>
        </w:pict>
      </w:r>
    </w:p>
    <w:p w14:paraId="67452257" w14:textId="77777777" w:rsidR="00066A59" w:rsidRPr="00066A59" w:rsidRDefault="00066A59" w:rsidP="00066A59">
      <w:pPr>
        <w:rPr>
          <w:b/>
          <w:bCs/>
          <w:sz w:val="24"/>
          <w:szCs w:val="24"/>
        </w:rPr>
      </w:pPr>
      <w:r w:rsidRPr="00066A59">
        <w:rPr>
          <w:b/>
          <w:bCs/>
          <w:sz w:val="24"/>
          <w:szCs w:val="24"/>
        </w:rPr>
        <w:t>References</w:t>
      </w:r>
    </w:p>
    <w:p w14:paraId="62434A55" w14:textId="77777777" w:rsidR="00066A59" w:rsidRPr="00066A59" w:rsidRDefault="00066A59" w:rsidP="00066A59">
      <w:pPr>
        <w:numPr>
          <w:ilvl w:val="0"/>
          <w:numId w:val="4"/>
        </w:numPr>
        <w:rPr>
          <w:sz w:val="24"/>
          <w:szCs w:val="24"/>
        </w:rPr>
      </w:pPr>
      <w:r w:rsidRPr="00066A59">
        <w:rPr>
          <w:sz w:val="24"/>
          <w:szCs w:val="24"/>
        </w:rPr>
        <w:t>American Psychological Association. (2022). Work-Life Balance and Employee Well-Being.</w:t>
      </w:r>
    </w:p>
    <w:p w14:paraId="4A8779D7" w14:textId="77777777" w:rsidR="00066A59" w:rsidRPr="00066A59" w:rsidRDefault="00066A59" w:rsidP="00066A59">
      <w:pPr>
        <w:numPr>
          <w:ilvl w:val="0"/>
          <w:numId w:val="4"/>
        </w:numPr>
        <w:rPr>
          <w:sz w:val="24"/>
          <w:szCs w:val="24"/>
        </w:rPr>
      </w:pPr>
      <w:r w:rsidRPr="00066A59">
        <w:rPr>
          <w:sz w:val="24"/>
          <w:szCs w:val="24"/>
        </w:rPr>
        <w:t>BBC News. (2019). Microsoft Japan: Four-day work week boosts productivity by 40%.</w:t>
      </w:r>
    </w:p>
    <w:p w14:paraId="4A5A1A93" w14:textId="77777777" w:rsidR="00066A59" w:rsidRPr="00066A59" w:rsidRDefault="00066A59" w:rsidP="00066A59">
      <w:pPr>
        <w:numPr>
          <w:ilvl w:val="0"/>
          <w:numId w:val="4"/>
        </w:numPr>
        <w:rPr>
          <w:sz w:val="24"/>
          <w:szCs w:val="24"/>
        </w:rPr>
      </w:pPr>
      <w:r w:rsidRPr="00066A59">
        <w:rPr>
          <w:sz w:val="24"/>
          <w:szCs w:val="24"/>
        </w:rPr>
        <w:t>CIPD. (2020). Flexible Working: A Guide for Employers.</w:t>
      </w:r>
    </w:p>
    <w:p w14:paraId="7DBA61B3" w14:textId="77777777" w:rsidR="00066A59" w:rsidRPr="00066A59" w:rsidRDefault="00066A59" w:rsidP="00066A59">
      <w:pPr>
        <w:numPr>
          <w:ilvl w:val="0"/>
          <w:numId w:val="4"/>
        </w:numPr>
        <w:rPr>
          <w:sz w:val="24"/>
          <w:szCs w:val="24"/>
        </w:rPr>
      </w:pPr>
      <w:r w:rsidRPr="00066A59">
        <w:rPr>
          <w:sz w:val="24"/>
          <w:szCs w:val="24"/>
        </w:rPr>
        <w:t>Deloitte. (2021). The Future of Work: Navigating New Ways of Working.</w:t>
      </w:r>
    </w:p>
    <w:p w14:paraId="72430A3C" w14:textId="77777777" w:rsidR="00066A59" w:rsidRPr="00066A59" w:rsidRDefault="00066A59" w:rsidP="00066A59">
      <w:pPr>
        <w:numPr>
          <w:ilvl w:val="0"/>
          <w:numId w:val="4"/>
        </w:numPr>
        <w:rPr>
          <w:sz w:val="24"/>
          <w:szCs w:val="24"/>
        </w:rPr>
      </w:pPr>
      <w:r w:rsidRPr="00066A59">
        <w:rPr>
          <w:sz w:val="24"/>
          <w:szCs w:val="24"/>
        </w:rPr>
        <w:t>Gallup. (2020). State of the American Workplace Report.</w:t>
      </w:r>
    </w:p>
    <w:p w14:paraId="10EC8388" w14:textId="77777777" w:rsidR="00066A59" w:rsidRPr="00066A59" w:rsidRDefault="00066A59" w:rsidP="00066A59">
      <w:pPr>
        <w:numPr>
          <w:ilvl w:val="0"/>
          <w:numId w:val="4"/>
        </w:numPr>
        <w:rPr>
          <w:sz w:val="24"/>
          <w:szCs w:val="24"/>
        </w:rPr>
      </w:pPr>
      <w:r w:rsidRPr="00066A59">
        <w:rPr>
          <w:sz w:val="24"/>
          <w:szCs w:val="24"/>
        </w:rPr>
        <w:t>Global Workplace Analytics. (2021). Work-at-Home and Telecommuting.</w:t>
      </w:r>
    </w:p>
    <w:p w14:paraId="5C7EA2E4" w14:textId="77777777" w:rsidR="00066A59" w:rsidRPr="00066A59" w:rsidRDefault="00066A59" w:rsidP="00066A59">
      <w:pPr>
        <w:numPr>
          <w:ilvl w:val="0"/>
          <w:numId w:val="4"/>
        </w:numPr>
        <w:rPr>
          <w:sz w:val="24"/>
          <w:szCs w:val="24"/>
        </w:rPr>
      </w:pPr>
      <w:r w:rsidRPr="00066A59">
        <w:rPr>
          <w:sz w:val="24"/>
          <w:szCs w:val="24"/>
        </w:rPr>
        <w:t>IBM Smarter Workforce Institute. (2020). The Impact of Employee Well-Being on Productivity.</w:t>
      </w:r>
    </w:p>
    <w:p w14:paraId="013BDE4C" w14:textId="77777777" w:rsidR="00066A59" w:rsidRPr="00066A59" w:rsidRDefault="00066A59" w:rsidP="00066A59">
      <w:pPr>
        <w:numPr>
          <w:ilvl w:val="0"/>
          <w:numId w:val="4"/>
        </w:numPr>
        <w:rPr>
          <w:sz w:val="24"/>
          <w:szCs w:val="24"/>
        </w:rPr>
      </w:pPr>
      <w:r w:rsidRPr="00066A59">
        <w:rPr>
          <w:sz w:val="24"/>
          <w:szCs w:val="24"/>
        </w:rPr>
        <w:t>KPMG. (2021). The Future of Work: Embracing a Hybrid World.</w:t>
      </w:r>
    </w:p>
    <w:p w14:paraId="70CBB870" w14:textId="77777777" w:rsidR="00066A59" w:rsidRPr="00066A59" w:rsidRDefault="00066A59" w:rsidP="00066A59">
      <w:pPr>
        <w:numPr>
          <w:ilvl w:val="0"/>
          <w:numId w:val="4"/>
        </w:numPr>
        <w:rPr>
          <w:sz w:val="24"/>
          <w:szCs w:val="24"/>
        </w:rPr>
      </w:pPr>
      <w:r w:rsidRPr="00066A59">
        <w:rPr>
          <w:sz w:val="24"/>
          <w:szCs w:val="24"/>
        </w:rPr>
        <w:t>Mercer. (2021). Global Talent Trends: The Pulse of the Workforce.</w:t>
      </w:r>
    </w:p>
    <w:p w14:paraId="526F8EAF" w14:textId="77777777" w:rsidR="00066A59" w:rsidRPr="00066A59" w:rsidRDefault="00066A59" w:rsidP="00066A59">
      <w:pPr>
        <w:numPr>
          <w:ilvl w:val="0"/>
          <w:numId w:val="4"/>
        </w:numPr>
        <w:rPr>
          <w:sz w:val="24"/>
          <w:szCs w:val="24"/>
        </w:rPr>
      </w:pPr>
      <w:r w:rsidRPr="00066A59">
        <w:rPr>
          <w:sz w:val="24"/>
          <w:szCs w:val="24"/>
        </w:rPr>
        <w:t>Pew Research. (2020). The Future of Work: A New Perspective.</w:t>
      </w:r>
    </w:p>
    <w:p w14:paraId="1CC1A778" w14:textId="77777777" w:rsidR="00066A59" w:rsidRPr="00066A59" w:rsidRDefault="00066A59" w:rsidP="00066A59">
      <w:pPr>
        <w:numPr>
          <w:ilvl w:val="0"/>
          <w:numId w:val="4"/>
        </w:numPr>
        <w:rPr>
          <w:sz w:val="24"/>
          <w:szCs w:val="24"/>
        </w:rPr>
      </w:pPr>
      <w:r w:rsidRPr="00066A59">
        <w:rPr>
          <w:sz w:val="24"/>
          <w:szCs w:val="24"/>
        </w:rPr>
        <w:t>Stanford University. (2013). Does Working from Home Work? Evidence from a Chinese Experiment.</w:t>
      </w:r>
    </w:p>
    <w:p w14:paraId="4C425C8B" w14:textId="77777777" w:rsidR="00066A59" w:rsidRPr="00066A59" w:rsidRDefault="00066A59" w:rsidP="00066A59">
      <w:pPr>
        <w:numPr>
          <w:ilvl w:val="0"/>
          <w:numId w:val="4"/>
        </w:numPr>
        <w:rPr>
          <w:sz w:val="24"/>
          <w:szCs w:val="24"/>
        </w:rPr>
      </w:pPr>
      <w:proofErr w:type="spellStart"/>
      <w:r w:rsidRPr="00066A59">
        <w:rPr>
          <w:sz w:val="24"/>
          <w:szCs w:val="24"/>
        </w:rPr>
        <w:t>WithYouWithMe</w:t>
      </w:r>
      <w:proofErr w:type="spellEnd"/>
      <w:r w:rsidRPr="00066A59">
        <w:rPr>
          <w:sz w:val="24"/>
          <w:szCs w:val="24"/>
        </w:rPr>
        <w:t>. (2021). The Future of Work Survey: Perspective on Flexibility.</w:t>
      </w:r>
    </w:p>
    <w:p w14:paraId="28E511F2" w14:textId="77777777" w:rsidR="00066A59" w:rsidRPr="00066A59" w:rsidRDefault="00066A59" w:rsidP="00066A59">
      <w:pPr>
        <w:numPr>
          <w:ilvl w:val="0"/>
          <w:numId w:val="4"/>
        </w:numPr>
        <w:rPr>
          <w:sz w:val="24"/>
          <w:szCs w:val="24"/>
        </w:rPr>
      </w:pPr>
      <w:r w:rsidRPr="00066A59">
        <w:rPr>
          <w:sz w:val="24"/>
          <w:szCs w:val="24"/>
        </w:rPr>
        <w:t>World Health Organization. (2021). Mental Health and Work: A Global Perspective.</w:t>
      </w:r>
    </w:p>
    <w:p w14:paraId="5F04A44B" w14:textId="77777777" w:rsidR="00066A59" w:rsidRPr="005D2207" w:rsidRDefault="00066A59" w:rsidP="00066A59">
      <w:pPr>
        <w:rPr>
          <w:sz w:val="24"/>
          <w:szCs w:val="24"/>
        </w:rPr>
      </w:pPr>
    </w:p>
    <w:sectPr w:rsidR="00066A59" w:rsidRPr="005D22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E7D50"/>
    <w:multiLevelType w:val="multilevel"/>
    <w:tmpl w:val="8D347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CB378B"/>
    <w:multiLevelType w:val="hybridMultilevel"/>
    <w:tmpl w:val="8B8265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054987"/>
    <w:multiLevelType w:val="multilevel"/>
    <w:tmpl w:val="E782E9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E43096"/>
    <w:multiLevelType w:val="multilevel"/>
    <w:tmpl w:val="3F2A7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0393511">
    <w:abstractNumId w:val="1"/>
  </w:num>
  <w:num w:numId="2" w16cid:durableId="378943108">
    <w:abstractNumId w:val="2"/>
  </w:num>
  <w:num w:numId="3" w16cid:durableId="686370211">
    <w:abstractNumId w:val="3"/>
  </w:num>
  <w:num w:numId="4" w16cid:durableId="1055079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207"/>
    <w:rsid w:val="00066A59"/>
    <w:rsid w:val="005D2207"/>
    <w:rsid w:val="00762BB9"/>
    <w:rsid w:val="00883E95"/>
    <w:rsid w:val="00893AA0"/>
    <w:rsid w:val="0092451A"/>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5D589"/>
  <w15:chartTrackingRefBased/>
  <w15:docId w15:val="{52090FA4-52A7-4675-97C4-7695B367C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2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22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22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22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22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22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2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2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2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2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22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22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22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22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22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2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2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207"/>
    <w:rPr>
      <w:rFonts w:eastAsiaTheme="majorEastAsia" w:cstheme="majorBidi"/>
      <w:color w:val="272727" w:themeColor="text1" w:themeTint="D8"/>
    </w:rPr>
  </w:style>
  <w:style w:type="paragraph" w:styleId="Title">
    <w:name w:val="Title"/>
    <w:basedOn w:val="Normal"/>
    <w:next w:val="Normal"/>
    <w:link w:val="TitleChar"/>
    <w:uiPriority w:val="10"/>
    <w:qFormat/>
    <w:rsid w:val="005D22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2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2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2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207"/>
    <w:pPr>
      <w:spacing w:before="160"/>
      <w:jc w:val="center"/>
    </w:pPr>
    <w:rPr>
      <w:i/>
      <w:iCs/>
      <w:color w:val="404040" w:themeColor="text1" w:themeTint="BF"/>
    </w:rPr>
  </w:style>
  <w:style w:type="character" w:customStyle="1" w:styleId="QuoteChar">
    <w:name w:val="Quote Char"/>
    <w:basedOn w:val="DefaultParagraphFont"/>
    <w:link w:val="Quote"/>
    <w:uiPriority w:val="29"/>
    <w:rsid w:val="005D2207"/>
    <w:rPr>
      <w:i/>
      <w:iCs/>
      <w:color w:val="404040" w:themeColor="text1" w:themeTint="BF"/>
    </w:rPr>
  </w:style>
  <w:style w:type="paragraph" w:styleId="ListParagraph">
    <w:name w:val="List Paragraph"/>
    <w:basedOn w:val="Normal"/>
    <w:uiPriority w:val="34"/>
    <w:qFormat/>
    <w:rsid w:val="005D2207"/>
    <w:pPr>
      <w:ind w:left="720"/>
      <w:contextualSpacing/>
    </w:pPr>
  </w:style>
  <w:style w:type="character" w:styleId="IntenseEmphasis">
    <w:name w:val="Intense Emphasis"/>
    <w:basedOn w:val="DefaultParagraphFont"/>
    <w:uiPriority w:val="21"/>
    <w:qFormat/>
    <w:rsid w:val="005D2207"/>
    <w:rPr>
      <w:i/>
      <w:iCs/>
      <w:color w:val="0F4761" w:themeColor="accent1" w:themeShade="BF"/>
    </w:rPr>
  </w:style>
  <w:style w:type="paragraph" w:styleId="IntenseQuote">
    <w:name w:val="Intense Quote"/>
    <w:basedOn w:val="Normal"/>
    <w:next w:val="Normal"/>
    <w:link w:val="IntenseQuoteChar"/>
    <w:uiPriority w:val="30"/>
    <w:qFormat/>
    <w:rsid w:val="005D22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2207"/>
    <w:rPr>
      <w:i/>
      <w:iCs/>
      <w:color w:val="0F4761" w:themeColor="accent1" w:themeShade="BF"/>
    </w:rPr>
  </w:style>
  <w:style w:type="character" w:styleId="IntenseReference">
    <w:name w:val="Intense Reference"/>
    <w:basedOn w:val="DefaultParagraphFont"/>
    <w:uiPriority w:val="32"/>
    <w:qFormat/>
    <w:rsid w:val="005D220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7199659">
      <w:bodyDiv w:val="1"/>
      <w:marLeft w:val="0"/>
      <w:marRight w:val="0"/>
      <w:marTop w:val="0"/>
      <w:marBottom w:val="0"/>
      <w:divBdr>
        <w:top w:val="none" w:sz="0" w:space="0" w:color="auto"/>
        <w:left w:val="none" w:sz="0" w:space="0" w:color="auto"/>
        <w:bottom w:val="none" w:sz="0" w:space="0" w:color="auto"/>
        <w:right w:val="none" w:sz="0" w:space="0" w:color="auto"/>
      </w:divBdr>
    </w:div>
    <w:div w:id="1151874667">
      <w:bodyDiv w:val="1"/>
      <w:marLeft w:val="0"/>
      <w:marRight w:val="0"/>
      <w:marTop w:val="0"/>
      <w:marBottom w:val="0"/>
      <w:divBdr>
        <w:top w:val="none" w:sz="0" w:space="0" w:color="auto"/>
        <w:left w:val="none" w:sz="0" w:space="0" w:color="auto"/>
        <w:bottom w:val="none" w:sz="0" w:space="0" w:color="auto"/>
        <w:right w:val="none" w:sz="0" w:space="0" w:color="auto"/>
      </w:divBdr>
    </w:div>
    <w:div w:id="1272857888">
      <w:bodyDiv w:val="1"/>
      <w:marLeft w:val="0"/>
      <w:marRight w:val="0"/>
      <w:marTop w:val="0"/>
      <w:marBottom w:val="0"/>
      <w:divBdr>
        <w:top w:val="none" w:sz="0" w:space="0" w:color="auto"/>
        <w:left w:val="none" w:sz="0" w:space="0" w:color="auto"/>
        <w:bottom w:val="none" w:sz="0" w:space="0" w:color="auto"/>
        <w:right w:val="none" w:sz="0" w:space="0" w:color="auto"/>
      </w:divBdr>
    </w:div>
    <w:div w:id="1815755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2300</Words>
  <Characters>13114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mandache</dc:creator>
  <cp:keywords/>
  <dc:description/>
  <cp:lastModifiedBy>adriana mandache</cp:lastModifiedBy>
  <cp:revision>1</cp:revision>
  <dcterms:created xsi:type="dcterms:W3CDTF">2024-07-28T20:45:00Z</dcterms:created>
  <dcterms:modified xsi:type="dcterms:W3CDTF">2024-07-28T21:02:00Z</dcterms:modified>
</cp:coreProperties>
</file>