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Normal.0"/>
        <w:rPr>
          <w:outline w:val="0"/>
          <w:color w:val="000000"/>
          <w:u w:color="000000"/>
          <w14:textFill>
            <w14:solidFill>
              <w14:srgbClr w14:val="000000"/>
            </w14:solidFill>
          </w14:textFill>
        </w:rPr>
      </w:pPr>
    </w:p>
    <w:p>
      <w:pPr>
        <w:pStyle w:val="Normal.0"/>
        <w:rPr>
          <w:b w:val="1"/>
          <w:bCs w:val="1"/>
          <w:i w:val="1"/>
          <w:iCs w:val="1"/>
          <w:outline w:val="0"/>
          <w:color w:val="000000"/>
          <w:u w:val="single" w:color="000000"/>
          <w14:textFill>
            <w14:solidFill>
              <w14:srgbClr w14:val="000000"/>
            </w14:solidFill>
          </w14:textFill>
        </w:rPr>
      </w:pPr>
    </w:p>
    <w:p>
      <w:pPr>
        <w:pStyle w:val="Body Text"/>
        <w:jc w:val="center"/>
        <w:rPr>
          <w:b w:val="1"/>
          <w:bCs w:val="1"/>
          <w:outline w:val="0"/>
          <w:color w:val="000000"/>
          <w:sz w:val="72"/>
          <w:szCs w:val="72"/>
          <w:u w:val="single" w:color="000000"/>
          <w14:textFill>
            <w14:solidFill>
              <w14:srgbClr w14:val="000000"/>
            </w14:solidFill>
          </w14:textFill>
        </w:rPr>
      </w:pPr>
    </w:p>
    <w:p>
      <w:pPr>
        <w:pStyle w:val="Body Text"/>
        <w:jc w:val="center"/>
        <w:rPr>
          <w:b w:val="1"/>
          <w:bCs w:val="1"/>
          <w:outline w:val="0"/>
          <w:color w:val="000000"/>
          <w:sz w:val="72"/>
          <w:szCs w:val="72"/>
          <w:u w:val="single" w:color="000000"/>
          <w14:textFill>
            <w14:solidFill>
              <w14:srgbClr w14:val="000000"/>
            </w14:solidFill>
          </w14:textFill>
        </w:rPr>
      </w:pPr>
    </w:p>
    <w:p>
      <w:pPr>
        <w:pStyle w:val="Body Text"/>
        <w:jc w:val="center"/>
        <w:rPr>
          <w:b w:val="1"/>
          <w:bCs w:val="1"/>
          <w:outline w:val="0"/>
          <w:color w:val="000000"/>
          <w:sz w:val="72"/>
          <w:szCs w:val="72"/>
          <w:u w:color="000000"/>
          <w14:textFill>
            <w14:solidFill>
              <w14:srgbClr w14:val="000000"/>
            </w14:solidFill>
          </w14:textFill>
        </w:rPr>
      </w:pPr>
      <w:r>
        <w:rPr>
          <w:b w:val="1"/>
          <w:bCs w:val="1"/>
          <w:outline w:val="0"/>
          <w:color w:val="000000"/>
          <w:sz w:val="72"/>
          <w:szCs w:val="72"/>
          <w:u w:color="000000"/>
          <w:shd w:val="clear" w:color="auto" w:fill="ffffff"/>
          <w:rtl w:val="0"/>
          <w:lang w:val="en-US"/>
          <w14:textFill>
            <w14:solidFill>
              <w14:srgbClr w14:val="000000"/>
            </w14:solidFill>
          </w14:textFill>
        </w:rPr>
        <w:t>CIVIL LITIGATION</w:t>
      </w:r>
    </w:p>
    <w:p>
      <w:pPr>
        <w:pStyle w:val="Normal.0"/>
        <w:rPr>
          <w:outline w:val="0"/>
          <w:color w:val="000000"/>
          <w:u w:color="000000"/>
          <w14:textFill>
            <w14:solidFill>
              <w14:srgbClr w14:val="000000"/>
            </w14:solidFill>
          </w14:textFill>
        </w:rPr>
      </w:pPr>
    </w:p>
    <w:p>
      <w:pPr>
        <w:pStyle w:val="Normal.0"/>
        <w:rPr>
          <w:outline w:val="0"/>
          <w:color w:val="000000"/>
          <w:u w:color="000000"/>
          <w14:textFill>
            <w14:solidFill>
              <w14:srgbClr w14:val="000000"/>
            </w14:solidFill>
          </w14:textFill>
        </w:rPr>
      </w:pPr>
      <w:r>
        <w:rPr>
          <w:outline w:val="0"/>
          <w:color w:val="000000"/>
          <w:u w:color="000000"/>
          <w:rtl w:val="0"/>
          <w:lang w:val="en-US"/>
          <w14:textFill>
            <w14:solidFill>
              <w14:srgbClr w14:val="000000"/>
            </w14:solidFill>
          </w14:textFill>
        </w:rPr>
        <w:t xml:space="preserve">                                                              Forida Yeasmin</w:t>
      </w:r>
    </w:p>
    <w:p>
      <w:pPr>
        <w:pStyle w:val="Normal.0"/>
        <w:rPr>
          <w:outline w:val="0"/>
          <w:color w:val="000000"/>
          <w:u w:color="000000"/>
          <w14:textFill>
            <w14:solidFill>
              <w14:srgbClr w14:val="000000"/>
            </w14:solidFill>
          </w14:textFill>
        </w:rPr>
      </w:pPr>
      <w:r>
        <w:rPr>
          <w:outline w:val="0"/>
          <w:color w:val="000000"/>
          <w:u w:color="000000"/>
          <w:rtl w:val="0"/>
          <w:lang w:val="en-US"/>
          <w14:textFill>
            <w14:solidFill>
              <w14:srgbClr w14:val="000000"/>
            </w14:solidFill>
          </w14:textFill>
        </w:rPr>
        <w:t xml:space="preserve">                                                       Student Number 1912559</w:t>
      </w:r>
    </w:p>
    <w:p>
      <w:pPr>
        <w:pStyle w:val="Normal.0"/>
        <w:rPr>
          <w:outline w:val="0"/>
          <w:color w:val="000000"/>
          <w:u w:color="000000"/>
          <w14:textFill>
            <w14:solidFill>
              <w14:srgbClr w14:val="000000"/>
            </w14:solidFill>
          </w14:textFill>
        </w:rPr>
      </w:pPr>
    </w:p>
    <w:p>
      <w:pPr>
        <w:pStyle w:val="Normal.0"/>
        <w:rPr>
          <w:outline w:val="0"/>
          <w:color w:val="000000"/>
          <w:u w:color="000000"/>
          <w14:textFill>
            <w14:solidFill>
              <w14:srgbClr w14:val="000000"/>
            </w14:solidFill>
          </w14:textFill>
        </w:rPr>
      </w:pPr>
    </w:p>
    <w:p>
      <w:pPr>
        <w:pStyle w:val="Heading 1"/>
        <w:rPr>
          <w:outline w:val="0"/>
          <w:color w:val="000000"/>
          <w:u w:color="000000"/>
          <w14:textFill>
            <w14:solidFill>
              <w14:srgbClr w14:val="000000"/>
            </w14:solidFill>
          </w14:textFill>
        </w:rPr>
      </w:pPr>
    </w:p>
    <w:p>
      <w:pPr>
        <w:pStyle w:val="Normal.0"/>
        <w:rPr>
          <w:outline w:val="0"/>
          <w:color w:val="000000"/>
          <w:u w:color="000000"/>
          <w14:textFill>
            <w14:solidFill>
              <w14:srgbClr w14:val="000000"/>
            </w14:solidFill>
          </w14:textFill>
        </w:rPr>
      </w:pPr>
    </w:p>
    <w:p>
      <w:pPr>
        <w:pStyle w:val="Heading 1"/>
        <w:ind w:left="0" w:firstLine="0"/>
        <w:rPr>
          <w:outline w:val="0"/>
          <w:color w:val="000000"/>
          <w:u w:color="000000"/>
          <w14:textFill>
            <w14:solidFill>
              <w14:srgbClr w14:val="000000"/>
            </w14:solidFill>
          </w14:textFill>
        </w:rPr>
      </w:pPr>
    </w:p>
    <w:p>
      <w:pPr>
        <w:pStyle w:val="Heading 1"/>
        <w:ind w:left="0" w:firstLine="0"/>
      </w:pPr>
    </w:p>
    <w:p>
      <w:pPr>
        <w:pStyle w:val="Heading 1"/>
        <w:tabs>
          <w:tab w:val="left" w:pos="4215"/>
        </w:tabs>
        <w:ind w:left="0" w:firstLine="0"/>
      </w:pPr>
      <w:r>
        <w:tab/>
      </w:r>
    </w:p>
    <w:p>
      <w:pPr>
        <w:pStyle w:val="Heading 1"/>
        <w:ind w:left="0" w:firstLine="0"/>
      </w:pPr>
      <w:r>
        <w:rPr>
          <w:rFonts w:ascii="Arial Unicode MS" w:cs="Arial Unicode MS" w:hAnsi="Arial Unicode MS" w:eastAsia="Arial Unicode MS"/>
          <w:b w:val="0"/>
          <w:bCs w:val="0"/>
          <w:i w:val="0"/>
          <w:iCs w:val="0"/>
        </w:rPr>
        <w:br w:type="page"/>
      </w:r>
    </w:p>
    <w:p>
      <w:pPr>
        <w:pStyle w:val="TOC Heading"/>
        <w:jc w:val="center"/>
        <w:rPr>
          <w:rFonts w:ascii="Times New Roman" w:cs="Times New Roman" w:hAnsi="Times New Roman" w:eastAsia="Times New Roman"/>
          <w:b w:val="1"/>
          <w:bCs w:val="1"/>
          <w:outline w:val="0"/>
          <w:color w:val="000000"/>
          <w:sz w:val="28"/>
          <w:szCs w:val="28"/>
          <w:u w:color="000000"/>
          <w14:textFill>
            <w14:solidFill>
              <w14:srgbClr w14:val="000000"/>
            </w14:solidFill>
          </w14:textFill>
        </w:rPr>
      </w:pPr>
      <w:r>
        <w:rPr>
          <w:rFonts w:ascii="Times New Roman" w:hAnsi="Times New Roman"/>
          <w:b w:val="1"/>
          <w:bCs w:val="1"/>
          <w:outline w:val="0"/>
          <w:color w:val="000000"/>
          <w:sz w:val="28"/>
          <w:szCs w:val="28"/>
          <w:u w:color="000000"/>
          <w:rtl w:val="0"/>
          <w:lang w:val="en-US"/>
          <w14:textFill>
            <w14:solidFill>
              <w14:srgbClr w14:val="000000"/>
            </w14:solidFill>
          </w14:textFill>
        </w:rPr>
        <w:t>TABLE OF CONTENTS</w:t>
      </w:r>
    </w:p>
    <w:p>
      <w:pPr>
        <w:pStyle w:val="Normal.0"/>
      </w:pPr>
      <w:r>
        <w:rPr>
          <w:b w:val="1"/>
          <w:bCs w:val="1"/>
          <w:outline w:val="0"/>
          <w:color w:val="000000"/>
          <w:sz w:val="28"/>
          <w:szCs w:val="28"/>
          <w:u w:color="000000"/>
          <w14:textFill>
            <w14:solidFill>
              <w14:srgbClr w14:val="000000"/>
            </w14:solidFill>
          </w14:textFill>
        </w:rPr>
        <w:fldChar w:fldCharType="begin" w:fldLock="0"/>
      </w:r>
      <w:r>
        <w:rPr>
          <w:b w:val="1"/>
          <w:bCs w:val="1"/>
          <w:outline w:val="0"/>
          <w:color w:val="000000"/>
          <w:sz w:val="28"/>
          <w:szCs w:val="28"/>
          <w:u w:color="000000"/>
          <w14:textFill>
            <w14:solidFill>
              <w14:srgbClr w14:val="000000"/>
            </w14:solidFill>
          </w14:textFill>
        </w:rPr>
        <w:instrText xml:space="preserve"> TOC \o 1-2 </w:instrText>
      </w:r>
      <w:r>
        <w:rPr>
          <w:b w:val="1"/>
          <w:bCs w:val="1"/>
          <w:outline w:val="0"/>
          <w:color w:val="000000"/>
          <w:sz w:val="28"/>
          <w:szCs w:val="28"/>
          <w:u w:color="000000"/>
          <w14:textFill>
            <w14:solidFill>
              <w14:srgbClr w14:val="000000"/>
            </w14:solidFill>
          </w14:textFill>
        </w:rPr>
        <w:fldChar w:fldCharType="separate" w:fldLock="0"/>
      </w:r>
    </w:p>
    <w:p>
      <w:pPr>
        <w:pStyle w:val="TOC 1"/>
      </w:pPr>
      <w:r>
        <w:rPr>
          <w:rFonts w:cs="Arial Unicode MS" w:eastAsia="Arial Unicode MS"/>
          <w:rtl w:val="0"/>
        </w:rPr>
        <w:t>QUESTION 1</w:t>
        <w:tab/>
      </w:r>
      <w:r>
        <w:rPr/>
        <w:fldChar w:fldCharType="begin" w:fldLock="0"/>
      </w:r>
      <w:r>
        <w:instrText xml:space="preserve"> PAGEREF _Toc \h </w:instrText>
      </w:r>
      <w:r>
        <w:rPr/>
        <w:fldChar w:fldCharType="separate" w:fldLock="0"/>
      </w:r>
      <w:r>
        <w:rPr>
          <w:rFonts w:cs="Arial Unicode MS" w:eastAsia="Arial Unicode MS"/>
          <w:rtl w:val="0"/>
        </w:rPr>
        <w:t>3</w:t>
      </w:r>
      <w:r>
        <w:rPr/>
        <w:fldChar w:fldCharType="end" w:fldLock="0"/>
      </w:r>
    </w:p>
    <w:p>
      <w:pPr>
        <w:pStyle w:val="TOC 2"/>
      </w:pPr>
      <w:r>
        <w:rPr>
          <w:rFonts w:cs="Arial Unicode MS" w:eastAsia="Arial Unicode MS"/>
          <w:rtl w:val="0"/>
        </w:rPr>
        <w:t>A</w:t>
        <w:tab/>
      </w:r>
      <w:r>
        <w:rPr/>
        <w:fldChar w:fldCharType="begin" w:fldLock="0"/>
      </w:r>
      <w:r>
        <w:instrText xml:space="preserve"> PAGEREF _Toc1 \h </w:instrText>
      </w:r>
      <w:r>
        <w:rPr/>
        <w:fldChar w:fldCharType="separate" w:fldLock="0"/>
      </w:r>
      <w:r>
        <w:rPr>
          <w:rFonts w:cs="Arial Unicode MS" w:eastAsia="Arial Unicode MS"/>
          <w:rtl w:val="0"/>
        </w:rPr>
        <w:t>3</w:t>
      </w:r>
      <w:r>
        <w:rPr/>
        <w:fldChar w:fldCharType="end" w:fldLock="0"/>
      </w:r>
    </w:p>
    <w:p>
      <w:pPr>
        <w:pStyle w:val="TOC 2"/>
      </w:pPr>
      <w:r>
        <w:rPr>
          <w:rFonts w:cs="Arial Unicode MS" w:eastAsia="Arial Unicode MS"/>
          <w:rtl w:val="0"/>
        </w:rPr>
        <w:t>B</w:t>
        <w:tab/>
      </w:r>
      <w:r>
        <w:rPr/>
        <w:fldChar w:fldCharType="begin" w:fldLock="0"/>
      </w:r>
      <w:r>
        <w:instrText xml:space="preserve"> PAGEREF _Toc2 \h </w:instrText>
      </w:r>
      <w:r>
        <w:rPr/>
        <w:fldChar w:fldCharType="separate" w:fldLock="0"/>
      </w:r>
      <w:r>
        <w:rPr>
          <w:rFonts w:cs="Arial Unicode MS" w:eastAsia="Arial Unicode MS"/>
          <w:rtl w:val="0"/>
        </w:rPr>
        <w:t>3</w:t>
      </w:r>
      <w:r>
        <w:rPr/>
        <w:fldChar w:fldCharType="end" w:fldLock="0"/>
      </w:r>
    </w:p>
    <w:p>
      <w:pPr>
        <w:pStyle w:val="TOC 2"/>
      </w:pPr>
      <w:r>
        <w:rPr>
          <w:rFonts w:cs="Arial Unicode MS" w:eastAsia="Arial Unicode MS"/>
          <w:rtl w:val="0"/>
        </w:rPr>
        <w:t>C</w:t>
        <w:tab/>
      </w:r>
      <w:r>
        <w:rPr/>
        <w:fldChar w:fldCharType="begin" w:fldLock="0"/>
      </w:r>
      <w:r>
        <w:instrText xml:space="preserve"> PAGEREF _Toc3 \h </w:instrText>
      </w:r>
      <w:r>
        <w:rPr/>
        <w:fldChar w:fldCharType="separate" w:fldLock="0"/>
      </w:r>
      <w:r>
        <w:rPr>
          <w:rFonts w:cs="Arial Unicode MS" w:eastAsia="Arial Unicode MS"/>
          <w:rtl w:val="0"/>
        </w:rPr>
        <w:t>3</w:t>
      </w:r>
      <w:r>
        <w:rPr/>
        <w:fldChar w:fldCharType="end" w:fldLock="0"/>
      </w:r>
    </w:p>
    <w:p>
      <w:pPr>
        <w:pStyle w:val="TOC 2"/>
      </w:pPr>
      <w:r>
        <w:rPr>
          <w:rFonts w:cs="Arial Unicode MS" w:eastAsia="Arial Unicode MS"/>
          <w:rtl w:val="0"/>
        </w:rPr>
        <w:t>D</w:t>
        <w:tab/>
      </w:r>
      <w:r>
        <w:rPr/>
        <w:fldChar w:fldCharType="begin" w:fldLock="0"/>
      </w:r>
      <w:r>
        <w:instrText xml:space="preserve"> PAGEREF _Toc4 \h </w:instrText>
      </w:r>
      <w:r>
        <w:rPr/>
        <w:fldChar w:fldCharType="separate" w:fldLock="0"/>
      </w:r>
      <w:r>
        <w:rPr>
          <w:rFonts w:cs="Arial Unicode MS" w:eastAsia="Arial Unicode MS"/>
          <w:rtl w:val="0"/>
        </w:rPr>
        <w:t>3</w:t>
      </w:r>
      <w:r>
        <w:rPr/>
        <w:fldChar w:fldCharType="end" w:fldLock="0"/>
      </w:r>
    </w:p>
    <w:p>
      <w:pPr>
        <w:pStyle w:val="TOC 1"/>
      </w:pPr>
      <w:r>
        <w:rPr>
          <w:rFonts w:cs="Arial Unicode MS" w:eastAsia="Arial Unicode MS"/>
          <w:rtl w:val="0"/>
        </w:rPr>
        <w:t>QUESTION 2</w:t>
        <w:tab/>
      </w:r>
      <w:r>
        <w:rPr/>
        <w:fldChar w:fldCharType="begin" w:fldLock="0"/>
      </w:r>
      <w:r>
        <w:instrText xml:space="preserve"> PAGEREF _Toc5 \h </w:instrText>
      </w:r>
      <w:r>
        <w:rPr/>
        <w:fldChar w:fldCharType="separate" w:fldLock="0"/>
      </w:r>
      <w:r>
        <w:rPr>
          <w:rFonts w:cs="Arial Unicode MS" w:eastAsia="Arial Unicode MS"/>
          <w:rtl w:val="0"/>
        </w:rPr>
        <w:t>4</w:t>
      </w:r>
      <w:r>
        <w:rPr/>
        <w:fldChar w:fldCharType="end" w:fldLock="0"/>
      </w:r>
    </w:p>
    <w:p>
      <w:pPr>
        <w:pStyle w:val="TOC 1"/>
      </w:pPr>
      <w:r>
        <w:rPr>
          <w:rFonts w:cs="Arial Unicode MS" w:eastAsia="Arial Unicode MS"/>
          <w:rtl w:val="0"/>
        </w:rPr>
        <w:t>QUESTION 3</w:t>
        <w:tab/>
      </w:r>
      <w:r>
        <w:rPr/>
        <w:fldChar w:fldCharType="begin" w:fldLock="0"/>
      </w:r>
      <w:r>
        <w:instrText xml:space="preserve"> PAGEREF _Toc6 \h </w:instrText>
      </w:r>
      <w:r>
        <w:rPr/>
        <w:fldChar w:fldCharType="separate" w:fldLock="0"/>
      </w:r>
      <w:r>
        <w:rPr>
          <w:rFonts w:cs="Arial Unicode MS" w:eastAsia="Arial Unicode MS"/>
          <w:rtl w:val="0"/>
        </w:rPr>
        <w:t>4</w:t>
      </w:r>
      <w:r>
        <w:rPr/>
        <w:fldChar w:fldCharType="end" w:fldLock="0"/>
      </w:r>
    </w:p>
    <w:p>
      <w:pPr>
        <w:pStyle w:val="TOC 1"/>
      </w:pPr>
      <w:r>
        <w:rPr>
          <w:rFonts w:cs="Arial Unicode MS" w:eastAsia="Arial Unicode MS"/>
          <w:rtl w:val="0"/>
        </w:rPr>
        <w:t>QUESTION 4</w:t>
        <w:tab/>
      </w:r>
      <w:r>
        <w:rPr/>
        <w:fldChar w:fldCharType="begin" w:fldLock="0"/>
      </w:r>
      <w:r>
        <w:instrText xml:space="preserve"> PAGEREF _Toc7 \h </w:instrText>
      </w:r>
      <w:r>
        <w:rPr/>
        <w:fldChar w:fldCharType="separate" w:fldLock="0"/>
      </w:r>
      <w:r>
        <w:rPr>
          <w:rFonts w:cs="Arial Unicode MS" w:eastAsia="Arial Unicode MS"/>
          <w:rtl w:val="0"/>
        </w:rPr>
        <w:t>5</w:t>
      </w:r>
      <w:r>
        <w:rPr/>
        <w:fldChar w:fldCharType="end" w:fldLock="0"/>
      </w:r>
    </w:p>
    <w:p>
      <w:pPr>
        <w:pStyle w:val="TOC 1"/>
      </w:pPr>
      <w:r>
        <w:rPr>
          <w:rFonts w:cs="Arial Unicode MS" w:eastAsia="Arial Unicode MS"/>
          <w:rtl w:val="0"/>
        </w:rPr>
        <w:t>QUESITON 5</w:t>
        <w:tab/>
      </w:r>
      <w:r>
        <w:rPr/>
        <w:fldChar w:fldCharType="begin" w:fldLock="0"/>
      </w:r>
      <w:r>
        <w:instrText xml:space="preserve"> PAGEREF _Toc8 \h </w:instrText>
      </w:r>
      <w:r>
        <w:rPr/>
        <w:fldChar w:fldCharType="separate" w:fldLock="0"/>
      </w:r>
      <w:r>
        <w:rPr>
          <w:rFonts w:cs="Arial Unicode MS" w:eastAsia="Arial Unicode MS"/>
          <w:rtl w:val="0"/>
        </w:rPr>
        <w:t>5</w:t>
      </w:r>
      <w:r>
        <w:rPr/>
        <w:fldChar w:fldCharType="end" w:fldLock="0"/>
      </w:r>
    </w:p>
    <w:p>
      <w:pPr>
        <w:pStyle w:val="TOC 1"/>
      </w:pPr>
      <w:r>
        <w:rPr>
          <w:rFonts w:cs="Arial Unicode MS" w:eastAsia="Arial Unicode MS"/>
          <w:rtl w:val="0"/>
        </w:rPr>
        <w:t>REFERENCES</w:t>
        <w:tab/>
      </w:r>
      <w:r>
        <w:rPr/>
        <w:fldChar w:fldCharType="begin" w:fldLock="0"/>
      </w:r>
      <w:r>
        <w:instrText xml:space="preserve"> PAGEREF _Toc9 \h </w:instrText>
      </w:r>
      <w:r>
        <w:rPr/>
        <w:fldChar w:fldCharType="separate" w:fldLock="0"/>
      </w:r>
      <w:r>
        <w:rPr>
          <w:rFonts w:cs="Arial Unicode MS" w:eastAsia="Arial Unicode MS"/>
          <w:rtl w:val="0"/>
        </w:rPr>
        <w:t>7</w:t>
      </w:r>
      <w:r>
        <w:rPr/>
        <w:fldChar w:fldCharType="end" w:fldLock="0"/>
      </w:r>
    </w:p>
    <w:p>
      <w:pPr>
        <w:pStyle w:val="Normal.0"/>
        <w:rPr>
          <w:outline w:val="0"/>
          <w:color w:val="000000"/>
          <w:u w:color="000000"/>
          <w14:textFill>
            <w14:solidFill>
              <w14:srgbClr w14:val="000000"/>
            </w14:solidFill>
          </w14:textFill>
        </w:rPr>
      </w:pPr>
      <w:r>
        <w:rPr>
          <w:b w:val="1"/>
          <w:bCs w:val="1"/>
          <w:outline w:val="0"/>
          <w:color w:val="000000"/>
          <w:sz w:val="28"/>
          <w:szCs w:val="28"/>
          <w:u w:color="000000"/>
          <w14:textFill>
            <w14:solidFill>
              <w14:srgbClr w14:val="000000"/>
            </w14:solidFill>
          </w14:textFill>
        </w:rPr>
        <w:fldChar w:fldCharType="end" w:fldLock="0"/>
      </w:r>
    </w:p>
    <w:p>
      <w:pPr>
        <w:pStyle w:val="Heading 1"/>
        <w:ind w:left="0" w:firstLine="0"/>
      </w:pPr>
      <w:r>
        <w:rPr>
          <w:rFonts w:ascii="Arial Unicode MS" w:cs="Arial Unicode MS" w:hAnsi="Arial Unicode MS" w:eastAsia="Arial Unicode MS"/>
          <w:b w:val="0"/>
          <w:bCs w:val="0"/>
          <w:i w:val="0"/>
          <w:iCs w:val="0"/>
          <w:outline w:val="0"/>
          <w:color w:val="000000"/>
          <w:u w:color="000000"/>
          <w14:textFill>
            <w14:solidFill>
              <w14:srgbClr w14:val="000000"/>
            </w14:solidFill>
          </w14:textFill>
        </w:rPr>
        <w:br w:type="page"/>
      </w:r>
    </w:p>
    <w:p>
      <w:pPr>
        <w:pStyle w:val="Heading 1"/>
        <w:ind w:left="0" w:firstLine="0"/>
        <w:rPr>
          <w:outline w:val="0"/>
          <w:color w:val="000000"/>
          <w:u w:color="000000"/>
          <w14:textFill>
            <w14:solidFill>
              <w14:srgbClr w14:val="000000"/>
            </w14:solidFill>
          </w14:textFill>
        </w:rPr>
      </w:pPr>
      <w:bookmarkStart w:name="_Toc" w:id="0"/>
      <w:r>
        <w:rPr>
          <w:outline w:val="0"/>
          <w:color w:val="000000"/>
          <w:u w:color="000000"/>
          <w:rtl w:val="0"/>
          <w:lang w:val="en-US"/>
          <w14:textFill>
            <w14:solidFill>
              <w14:srgbClr w14:val="000000"/>
            </w14:solidFill>
          </w14:textFill>
        </w:rPr>
        <w:t>QUESTION 1</w:t>
      </w:r>
      <w:bookmarkEnd w:id="0"/>
    </w:p>
    <w:p>
      <w:pPr>
        <w:pStyle w:val="Heading 2"/>
      </w:pPr>
      <w:bookmarkStart w:name="_Toc1" w:id="1"/>
      <w:r>
        <w:rPr>
          <w:rFonts w:cs="Arial Unicode MS" w:eastAsia="Arial Unicode MS"/>
          <w:rtl w:val="0"/>
          <w:lang w:val="en-US"/>
        </w:rPr>
        <w:t>A</w:t>
      </w:r>
      <w:bookmarkEnd w:id="1"/>
    </w:p>
    <w:p>
      <w:pPr>
        <w:pStyle w:val="Normal.0"/>
        <w:ind w:firstLine="720"/>
      </w:pPr>
      <w:r>
        <w:rPr>
          <w:rtl w:val="0"/>
          <w:lang w:val="en-US"/>
        </w:rPr>
        <w:t>The funding option being available to Mr Wheeler includes the compensation from the party which did the accident. Along with this the another funding option being available to Mr Wheeler includes the help from the government as well (</w:t>
      </w:r>
      <w:r>
        <w:rPr>
          <w:outline w:val="0"/>
          <w:color w:val="000000"/>
          <w:u w:color="000000"/>
          <w:rtl w:val="0"/>
          <w:lang w:val="en-US"/>
          <w14:textFill>
            <w14:solidFill>
              <w14:srgbClr w14:val="000000"/>
            </w14:solidFill>
          </w14:textFill>
        </w:rPr>
        <w:t>Price, 2020</w:t>
      </w:r>
      <w:r>
        <w:rPr>
          <w:rtl w:val="0"/>
          <w:lang w:val="en-US"/>
        </w:rPr>
        <w:t xml:space="preserve">). This is particularly because of the reason that when the accident is not the fault of person then in that case many reliefs funds are provided by government for their relief. Along with this another funding option for the party is to claim the insurance in better way so that they can do the work accordingly. </w:t>
      </w:r>
    </w:p>
    <w:p>
      <w:pPr>
        <w:pStyle w:val="Heading 2"/>
      </w:pPr>
      <w:bookmarkStart w:name="_Toc2" w:id="2"/>
      <w:r>
        <w:rPr>
          <w:rFonts w:cs="Arial Unicode MS" w:eastAsia="Arial Unicode MS"/>
          <w:rtl w:val="0"/>
          <w:lang w:val="en-US"/>
        </w:rPr>
        <w:t>B</w:t>
      </w:r>
      <w:bookmarkEnd w:id="2"/>
    </w:p>
    <w:p>
      <w:pPr>
        <w:pStyle w:val="Normal.0"/>
        <w:ind w:firstLine="720"/>
      </w:pPr>
      <w:r>
        <w:rPr>
          <w:rtl w:val="0"/>
          <w:lang w:val="en-US"/>
        </w:rPr>
        <w:t xml:space="preserve">In this particular case, Joshua must win the case against the defendant because it was not his fault and because of this they must get the funding. Also they have to pay the cost to the firm and solicitor as well as they are fighting the case and this will be increasing the cost of Wheeler. With regards to the funding method, the compensation will be assisting Wheeler to pay the cost of the solicitor and to use it in treatment of Joshua. </w:t>
      </w:r>
    </w:p>
    <w:p>
      <w:pPr>
        <w:pStyle w:val="Heading 2"/>
      </w:pPr>
      <w:bookmarkStart w:name="_Toc3" w:id="3"/>
      <w:r>
        <w:rPr>
          <w:rFonts w:cs="Arial Unicode MS" w:eastAsia="Arial Unicode MS"/>
          <w:rtl w:val="0"/>
          <w:lang w:val="en-US"/>
        </w:rPr>
        <w:t>C</w:t>
      </w:r>
      <w:bookmarkEnd w:id="3"/>
    </w:p>
    <w:p>
      <w:pPr>
        <w:pStyle w:val="Normal.0"/>
        <w:ind w:firstLine="720"/>
      </w:pPr>
      <w:r>
        <w:rPr>
          <w:rtl w:val="0"/>
          <w:lang w:val="en-US"/>
        </w:rPr>
        <w:t>Along with this in case Joshua lose the case then the potential liability for the cost relating to both the solicitor and the opponent will be increased. This is because of the reason that in case the opponent will not be in fault then they will be asking for compensation and this need to be case of the funding option no compensation will be provided to Wheeler from the opponent party (</w:t>
      </w:r>
      <w:r>
        <w:rPr>
          <w:outline w:val="0"/>
          <w:color w:val="000000"/>
          <w:u w:color="000000"/>
          <w:rtl w:val="0"/>
          <w:lang w:val="en-US"/>
          <w14:textFill>
            <w14:solidFill>
              <w14:srgbClr w14:val="000000"/>
            </w14:solidFill>
          </w14:textFill>
        </w:rPr>
        <w:t>Jowitt, 2021</w:t>
      </w:r>
      <w:r>
        <w:rPr>
          <w:rtl w:val="0"/>
          <w:lang w:val="en-US"/>
        </w:rPr>
        <w:t xml:space="preserve">). This is particularly because the person is not at fault and they will not be providing for the compensation. But the help from government will be provided to the child for the recovery. But this money will be used in the treatment of the patient only and not for paying compensation to the opponent. </w:t>
      </w:r>
    </w:p>
    <w:p>
      <w:pPr>
        <w:pStyle w:val="Heading 2"/>
      </w:pPr>
      <w:bookmarkStart w:name="_Toc4" w:id="4"/>
      <w:r>
        <w:rPr>
          <w:rFonts w:cs="Arial Unicode MS" w:eastAsia="Arial Unicode MS"/>
          <w:rtl w:val="0"/>
          <w:lang w:val="en-US"/>
        </w:rPr>
        <w:t>D</w:t>
      </w:r>
      <w:bookmarkEnd w:id="4"/>
    </w:p>
    <w:p>
      <w:pPr>
        <w:pStyle w:val="Normal.0"/>
        <w:ind w:firstLine="720"/>
      </w:pPr>
      <w:r>
        <w:rPr>
          <w:rtl w:val="0"/>
          <w:lang w:val="en-US"/>
        </w:rPr>
        <w:t>Many different issues can be faced in case of Joshua because he is a child and minor. Thus it might be possible that the in case Joshua is minor then it might be possible that they are not eligible for compensation. But according to the Children and Young Person act 1933, in case of the minor the parents will be responsible and liable for every act that the person need to be perform for providing justice to Joshua (</w:t>
      </w:r>
      <w:r>
        <w:rPr>
          <w:i w:val="1"/>
          <w:iCs w:val="1"/>
          <w:outline w:val="0"/>
          <w:color w:val="000000"/>
          <w:u w:color="000000"/>
          <w:rtl w:val="0"/>
          <w:lang w:val="en-US"/>
          <w14:textFill>
            <w14:solidFill>
              <w14:srgbClr w14:val="000000"/>
            </w14:solidFill>
          </w14:textFill>
        </w:rPr>
        <w:t>Children and Young Persons Act 1933</w:t>
      </w:r>
      <w:r>
        <w:rPr>
          <w:outline w:val="0"/>
          <w:color w:val="000000"/>
          <w:u w:color="000000"/>
          <w:rtl w:val="0"/>
          <w:lang w:val="en-US"/>
          <w14:textFill>
            <w14:solidFill>
              <w14:srgbClr w14:val="000000"/>
            </w14:solidFill>
          </w14:textFill>
        </w:rPr>
        <w:t>, 2022</w:t>
      </w:r>
      <w:r>
        <w:rPr>
          <w:rtl w:val="0"/>
          <w:lang w:val="en-US"/>
        </w:rPr>
        <w:t xml:space="preserve">). In case parents are not there then the legal guardian of the child will be doing every task that need to be performed by the person. </w:t>
      </w:r>
    </w:p>
    <w:p>
      <w:pPr>
        <w:pStyle w:val="Heading 1"/>
        <w:ind w:left="0" w:firstLine="0"/>
        <w:rPr>
          <w:lang w:val="it-IT"/>
        </w:rPr>
      </w:pPr>
      <w:bookmarkStart w:name="_Toc5" w:id="5"/>
      <w:r>
        <w:rPr>
          <w:rtl w:val="0"/>
          <w:lang w:val="it-IT"/>
        </w:rPr>
        <w:t xml:space="preserve">QUESTION 2 </w:t>
      </w:r>
      <w:bookmarkEnd w:id="5"/>
    </w:p>
    <w:p>
      <w:pPr>
        <w:pStyle w:val="Body Text"/>
      </w:pPr>
      <w:r>
        <w:rPr>
          <w:rtl w:val="0"/>
          <w:lang w:val="it-IT"/>
        </w:rPr>
        <w:tab/>
        <w:t xml:space="preserve"> </w:t>
      </w:r>
      <w:r>
        <w:rPr>
          <w:rtl w:val="0"/>
          <w:lang w:val="en-US"/>
        </w:rPr>
        <w:t>In order to get the precise results for the proceeding there are various things which are reqired to be focused so that effectual functioning for successful processing can be idnetified.  The particular proceeding will be dealt in the high court so that significant claims for the injury can be obtained (Curcuruto and et.al., 2018). The main reason behind this is that the partcular court can allow to get accurate information so that proper claiming can be achieved thorugh dealing properly with required documents. There are differnt form of the documents which are  required to be atken into the porcedure so that having  four crucial  information which comrpises  personal idnetification, medical evidence of the injury, proof of the cause of the accidents and financial records of out of the pocket expenses that has been incurred. The main reason behind this is that it can  be helpful in attaining the claiming of results so that accuarte ability to achieve  the relevant functioningin ciurt in smooth manner can become with help of accident managment London.</w:t>
      </w:r>
    </w:p>
    <w:p>
      <w:pPr>
        <w:pStyle w:val="Body"/>
        <w:rPr>
          <w:rFonts w:ascii="Times New Roman" w:cs="Times New Roman" w:hAnsi="Times New Roman" w:eastAsia="Times New Roman"/>
        </w:rPr>
      </w:pPr>
    </w:p>
    <w:p>
      <w:pPr>
        <w:pStyle w:val="Heading 1"/>
        <w:ind w:left="0" w:firstLine="0"/>
        <w:rPr>
          <w:lang w:val="it-IT"/>
        </w:rPr>
      </w:pPr>
      <w:bookmarkStart w:name="_Toc6" w:id="6"/>
      <w:r>
        <w:rPr>
          <w:rtl w:val="0"/>
          <w:lang w:val="it-IT"/>
        </w:rPr>
        <w:t>QUESTION 3</w:t>
      </w:r>
      <w:bookmarkEnd w:id="6"/>
    </w:p>
    <w:p>
      <w:pPr>
        <w:pStyle w:val="Body Text"/>
      </w:pPr>
      <w:r>
        <w:rPr>
          <w:rtl w:val="0"/>
        </w:rPr>
        <w:tab/>
        <w:t xml:space="preserve"> The one of the significant method that is required to be taken into the consideration for having the appropriate in the particular mentioned case so that effectual information to meet the ability to have mentioned claim (</w:t>
      </w:r>
      <w:r>
        <w:rPr>
          <w:outline w:val="0"/>
          <w:color w:val="222222"/>
          <w:u w:color="222222"/>
          <w:rtl w:val="0"/>
          <w:lang w:val="en-US"/>
          <w14:textFill>
            <w14:solidFill>
              <w14:srgbClr w14:val="222222"/>
            </w14:solidFill>
          </w14:textFill>
        </w:rPr>
        <w:t>Tuitt,2022</w:t>
      </w:r>
      <w:r>
        <w:rPr>
          <w:rtl w:val="0"/>
          <w:lang w:val="en-US"/>
        </w:rPr>
        <w:t xml:space="preserve">).  This comprises the methods which involve giving the information to the helpline, submitting the claim form, etc. so that proper information regarding the particular claim can be derived. The crucial methods which can be used for having the effectual understanding that in the particular case which can help in attaining by filing the form of insurance so that claiming in reliable time duration can become possible by having contact with accident management London, proper plan with broker to get loan, having authorized insurer financial conduct authority, etc. In the current it is articulated that the has won the case in against of defendant so that proper claiming can be achieved. On the basis of this it can be articulated that it can allow getting relevant claiming of amount with help of dealing the case in mentioned court which is exerted to achieve the desire results as per the prevailing requirements. </w:t>
      </w:r>
    </w:p>
    <w:p>
      <w:pPr>
        <w:pStyle w:val="Heading 1"/>
        <w:ind w:left="0" w:firstLine="0"/>
      </w:pPr>
      <w:bookmarkStart w:name="_Toc7" w:id="7"/>
      <w:r>
        <w:rPr>
          <w:rtl w:val="0"/>
          <w:lang w:val="en-US"/>
        </w:rPr>
        <w:t>QUESTION 4</w:t>
      </w:r>
      <w:bookmarkEnd w:id="7"/>
    </w:p>
    <w:p>
      <w:pPr>
        <w:pStyle w:val="Normal.0"/>
      </w:pPr>
      <w:r>
        <w:rPr>
          <w:rtl w:val="0"/>
        </w:rPr>
        <w:tab/>
        <w:t xml:space="preserve"> As per the prevailing requirement the emphasis should be provided on having the time duration limit in mind which involve 3 years from date of the accident occurred (</w:t>
      </w:r>
      <w:r>
        <w:rPr>
          <w:outline w:val="0"/>
          <w:color w:val="222222"/>
          <w:u w:color="222222"/>
          <w:rtl w:val="0"/>
          <w:lang w:val="en-US"/>
          <w14:textFill>
            <w14:solidFill>
              <w14:srgbClr w14:val="222222"/>
            </w14:solidFill>
          </w14:textFill>
        </w:rPr>
        <w:t>Levy and et.al., 2019</w:t>
      </w:r>
      <w:r>
        <w:rPr>
          <w:rtl w:val="0"/>
          <w:lang w:val="en-US"/>
        </w:rPr>
        <w:t xml:space="preserve">). In the particular case the emphasis will be provided to have offered the enough time to defendant. In the particular case the particular action caused on the 9th March 2022 so William Golding can get the significant period of 3 years after the particular date in order to respond to the particular claim. With the mentioned duration the higher level of focus can be provided by William Golding to meet the legal requirements in turn significant processing can be achieved to have proper adherence with it. </w:t>
      </w:r>
    </w:p>
    <w:p>
      <w:pPr>
        <w:pStyle w:val="Heading 1"/>
        <w:rPr>
          <w:outline w:val="0"/>
          <w:color w:val="000000"/>
          <w:u w:color="000000"/>
          <w14:textFill>
            <w14:solidFill>
              <w14:srgbClr w14:val="000000"/>
            </w14:solidFill>
          </w14:textFill>
        </w:rPr>
      </w:pPr>
      <w:bookmarkStart w:name="_Toc8" w:id="8"/>
      <w:r>
        <w:rPr>
          <w:rFonts w:cs="Arial Unicode MS" w:eastAsia="Arial Unicode MS"/>
          <w:outline w:val="0"/>
          <w:color w:val="000000"/>
          <w:u w:color="000000"/>
          <w:rtl w:val="0"/>
          <w:lang w:val="en-US"/>
          <w14:textFill>
            <w14:solidFill>
              <w14:srgbClr w14:val="000000"/>
            </w14:solidFill>
          </w14:textFill>
        </w:rPr>
        <w:t xml:space="preserve">QUESITON 5 </w:t>
      </w:r>
      <w:bookmarkEnd w:id="8"/>
    </w:p>
    <w:p>
      <w:pPr>
        <w:pStyle w:val="Normal.0"/>
        <w:ind w:firstLine="720"/>
      </w:pPr>
      <w:r>
        <w:rPr>
          <w:rtl w:val="0"/>
          <w:lang w:val="en-US"/>
        </w:rPr>
        <w:t>Part 36 offer to settle is a type of provision which provides for the facility relating to the settlement of the case or the dispute. This is a provision under the Civil Procedure Rules which help the person to settle the dispute in better and effective manner and that to without going for the trial as well (</w:t>
      </w:r>
      <w:r>
        <w:rPr>
          <w:i w:val="1"/>
          <w:iCs w:val="1"/>
          <w:outline w:val="0"/>
          <w:color w:val="000000"/>
          <w:u w:color="000000"/>
          <w:rtl w:val="0"/>
          <w:lang w:val="en-US"/>
          <w14:textFill>
            <w14:solidFill>
              <w14:srgbClr w14:val="000000"/>
            </w14:solidFill>
          </w14:textFill>
        </w:rPr>
        <w:t>High Court upholds order for Part 36 costs consequences following nominal damages award</w:t>
      </w:r>
      <w:r>
        <w:rPr>
          <w:outline w:val="0"/>
          <w:color w:val="000000"/>
          <w:u w:color="000000"/>
          <w:rtl w:val="0"/>
          <w:lang w:val="en-US"/>
          <w14:textFill>
            <w14:solidFill>
              <w14:srgbClr w14:val="000000"/>
            </w14:solidFill>
          </w14:textFill>
        </w:rPr>
        <w:t>, 2022</w:t>
      </w:r>
      <w:r>
        <w:rPr>
          <w:rtl w:val="0"/>
          <w:lang w:val="en-US"/>
        </w:rPr>
        <w:t xml:space="preserve">). this is the provision which provides for the different types of the provision through which the working can be improved and the dispute can be solved in better and effective manner. The consequences which the party need to face after the accepting of the offer is that the defendant need to be pay a particular sum of money to the claimant within the time of 14 days from the date of acceptance. </w:t>
      </w:r>
    </w:p>
    <w:p>
      <w:pPr>
        <w:pStyle w:val="Normal.0"/>
        <w:ind w:firstLine="720"/>
      </w:pPr>
      <w:r>
        <w:rPr>
          <w:rtl w:val="0"/>
          <w:lang w:val="en-US"/>
        </w:rPr>
        <w:t xml:space="preserve">Along with this, the cost of the parties is also saved as they do not have to go for long trials and then get justice. Hence, with help of this the case will be solved in less time and as a result of this the both the parties will be benefitted in better and effective manner. In accordance to the case of </w:t>
      </w:r>
      <w:r>
        <w:rPr>
          <w:i w:val="1"/>
          <w:iCs w:val="1"/>
          <w:rtl w:val="0"/>
          <w:lang w:val="en-US"/>
        </w:rPr>
        <w:t>Lisa Carver -v- BAA PLC</w:t>
      </w:r>
      <w:r>
        <w:rPr>
          <w:rtl w:val="0"/>
          <w:lang w:val="en-US"/>
        </w:rPr>
        <w:t> </w:t>
      </w:r>
      <w:r>
        <w:rPr>
          <w:rtl w:val="0"/>
          <w:lang w:val="en-US"/>
        </w:rPr>
        <w:t>[2008] EWCA Civ 412 the claimant had beaten the defendant offer and court considered that and all the cost also increased. As a result of this the judgement was more advantageous rather than the offer (</w:t>
      </w:r>
      <w:r>
        <w:rPr>
          <w:i w:val="1"/>
          <w:iCs w:val="1"/>
          <w:outline w:val="0"/>
          <w:color w:val="000000"/>
          <w:u w:color="000000"/>
          <w:rtl w:val="0"/>
          <w:lang w:val="en-US"/>
          <w14:textFill>
            <w14:solidFill>
              <w14:srgbClr w14:val="000000"/>
            </w14:solidFill>
          </w14:textFill>
        </w:rPr>
        <w:t>Part 36</w:t>
      </w:r>
      <w:r>
        <w:rPr>
          <w:outline w:val="0"/>
          <w:color w:val="000000"/>
          <w:u w:color="000000"/>
          <w:rtl w:val="0"/>
          <w:lang w:val="en-US"/>
          <w14:textFill>
            <w14:solidFill>
              <w14:srgbClr w14:val="000000"/>
            </w14:solidFill>
          </w14:textFill>
        </w:rPr>
        <w:t>, 2022</w:t>
      </w:r>
      <w:r>
        <w:rPr>
          <w:rtl w:val="0"/>
          <w:lang w:val="en-US"/>
        </w:rPr>
        <w:t xml:space="preserve">). </w:t>
      </w:r>
    </w:p>
    <w:p>
      <w:pPr>
        <w:pStyle w:val="Normal.0"/>
      </w:pPr>
    </w:p>
    <w:p>
      <w:pPr>
        <w:pStyle w:val="Caption A"/>
        <w:rPr>
          <w:outline w:val="0"/>
          <w:color w:val="000000"/>
          <w:u w:color="000000"/>
          <w14:textFill>
            <w14:solidFill>
              <w14:srgbClr w14:val="000000"/>
            </w14:solidFill>
          </w14:textFill>
        </w:rPr>
      </w:pPr>
      <w:r>
        <w:rPr>
          <w:outline w:val="0"/>
          <w:color w:val="000000"/>
          <w:u w:color="000000"/>
          <w14:textFill>
            <w14:solidFill>
              <w14:srgbClr w14:val="000000"/>
            </w14:solidFill>
          </w14:textFill>
        </w:rPr>
        <w:br w:type="textWrapping"/>
        <w:tab/>
      </w:r>
    </w:p>
    <w:p>
      <w:pPr>
        <w:pStyle w:val="Caption A"/>
        <w:ind w:firstLine="432"/>
        <w:rPr>
          <w:outline w:val="0"/>
          <w:color w:val="000000"/>
          <w:u w:color="000000"/>
          <w14:textFill>
            <w14:solidFill>
              <w14:srgbClr w14:val="000000"/>
            </w14:solidFill>
          </w14:textFill>
        </w:rPr>
      </w:pPr>
    </w:p>
    <w:p>
      <w:pPr>
        <w:pStyle w:val="Heading 1"/>
        <w:pageBreakBefore w:val="1"/>
        <w:rPr>
          <w:outline w:val="0"/>
          <w:color w:val="000000"/>
          <w:u w:val="single" w:color="000000"/>
          <w14:textFill>
            <w14:solidFill>
              <w14:srgbClr w14:val="000000"/>
            </w14:solidFill>
          </w14:textFill>
        </w:rPr>
      </w:pPr>
      <w:bookmarkStart w:name="_Toc9" w:id="9"/>
      <w:r>
        <w:rPr>
          <w:outline w:val="0"/>
          <w:color w:val="000000"/>
          <w:u w:color="000000"/>
          <w:rtl w:val="0"/>
          <w:lang w:val="en-US"/>
          <w14:textFill>
            <w14:solidFill>
              <w14:srgbClr w14:val="000000"/>
            </w14:solidFill>
          </w14:textFill>
        </w:rPr>
        <w:t>REFERENCES</w:t>
      </w:r>
      <w:bookmarkEnd w:id="9"/>
    </w:p>
    <w:p>
      <w:pPr>
        <w:pStyle w:val="Normal.0"/>
        <w:ind w:left="832" w:hanging="832"/>
        <w:rPr>
          <w:outline w:val="0"/>
          <w:color w:val="000000"/>
          <w:u w:color="000000"/>
          <w14:textFill>
            <w14:solidFill>
              <w14:srgbClr w14:val="000000"/>
            </w14:solidFill>
          </w14:textFill>
        </w:rPr>
      </w:pPr>
      <w:r>
        <w:rPr>
          <w:outline w:val="0"/>
          <w:color w:val="000000"/>
          <w:u w:val="single" w:color="000000"/>
          <w:rtl w:val="0"/>
          <w:lang w:val="en-US"/>
          <w14:textFill>
            <w14:solidFill>
              <w14:srgbClr w14:val="000000"/>
            </w14:solidFill>
          </w14:textFill>
        </w:rPr>
        <w:t>Books and Journals</w:t>
      </w:r>
      <w:r>
        <w:rPr>
          <w:outline w:val="0"/>
          <w:color w:val="000000"/>
          <w:u w:color="000000"/>
          <w:rtl w:val="0"/>
          <w:lang w:val="en-US"/>
          <w14:textFill>
            <w14:solidFill>
              <w14:srgbClr w14:val="000000"/>
            </w14:solidFill>
          </w14:textFill>
        </w:rPr>
        <w:t xml:space="preserve"> </w:t>
      </w:r>
    </w:p>
    <w:p>
      <w:pPr>
        <w:pStyle w:val="Body Text"/>
        <w:spacing w:after="120" w:line="100" w:lineRule="atLeast"/>
        <w:ind w:left="575" w:hanging="561"/>
        <w:rPr>
          <w:outline w:val="0"/>
          <w:color w:val="000000"/>
          <w:u w:color="000000"/>
          <w14:textFill>
            <w14:solidFill>
              <w14:srgbClr w14:val="000000"/>
            </w14:solidFill>
          </w14:textFill>
        </w:rPr>
      </w:pPr>
      <w:r>
        <w:rPr>
          <w:outline w:val="0"/>
          <w:color w:val="000000"/>
          <w:u w:color="000000"/>
          <w:rtl w:val="0"/>
          <w:lang w:val="en-US"/>
          <w14:textFill>
            <w14:solidFill>
              <w14:srgbClr w14:val="000000"/>
            </w14:solidFill>
          </w14:textFill>
        </w:rPr>
        <w:t>Price, J., 2020. The experience of young people transitioning between youth offending services to probation services.</w:t>
      </w:r>
      <w:r>
        <w:rPr>
          <w:outline w:val="0"/>
          <w:color w:val="000000"/>
          <w:u w:color="000000"/>
          <w:rtl w:val="0"/>
          <w:lang w:val="en-US"/>
          <w14:textFill>
            <w14:solidFill>
              <w14:srgbClr w14:val="000000"/>
            </w14:solidFill>
          </w14:textFill>
        </w:rPr>
        <w:t> </w:t>
      </w:r>
      <w:r>
        <w:rPr>
          <w:i w:val="1"/>
          <w:iCs w:val="1"/>
          <w:outline w:val="0"/>
          <w:color w:val="000000"/>
          <w:u w:color="000000"/>
          <w:rtl w:val="0"/>
          <w:lang w:val="en-US"/>
          <w14:textFill>
            <w14:solidFill>
              <w14:srgbClr w14:val="000000"/>
            </w14:solidFill>
          </w14:textFill>
        </w:rPr>
        <w:t>Probation Journal</w:t>
      </w:r>
      <w:r>
        <w:rPr>
          <w:outline w:val="0"/>
          <w:color w:val="000000"/>
          <w:u w:color="000000"/>
          <w:rtl w:val="0"/>
          <w:lang w:val="en-US"/>
          <w14:textFill>
            <w14:solidFill>
              <w14:srgbClr w14:val="000000"/>
            </w14:solidFill>
          </w14:textFill>
        </w:rPr>
        <w:t>.</w:t>
      </w:r>
      <w:r>
        <w:rPr>
          <w:outline w:val="0"/>
          <w:color w:val="000000"/>
          <w:u w:color="000000"/>
          <w:rtl w:val="0"/>
          <w:lang w:val="en-US"/>
          <w14:textFill>
            <w14:solidFill>
              <w14:srgbClr w14:val="000000"/>
            </w14:solidFill>
          </w14:textFill>
        </w:rPr>
        <w:t> </w:t>
      </w:r>
      <w:r>
        <w:rPr>
          <w:outline w:val="0"/>
          <w:color w:val="000000"/>
          <w:u w:color="000000"/>
          <w:rtl w:val="0"/>
          <w:lang w:val="en-US"/>
          <w14:textFill>
            <w14:solidFill>
              <w14:srgbClr w14:val="000000"/>
            </w14:solidFill>
          </w14:textFill>
        </w:rPr>
        <w:t>67(3). pp.246-263.</w:t>
      </w:r>
    </w:p>
    <w:p>
      <w:pPr>
        <w:pStyle w:val="Body Text"/>
        <w:spacing w:after="120" w:line="100" w:lineRule="atLeast"/>
        <w:ind w:left="575" w:hanging="561"/>
        <w:rPr>
          <w:outline w:val="0"/>
          <w:color w:val="000000"/>
          <w:u w:color="000000"/>
          <w14:textFill>
            <w14:solidFill>
              <w14:srgbClr w14:val="000000"/>
            </w14:solidFill>
          </w14:textFill>
        </w:rPr>
      </w:pPr>
      <w:r>
        <w:rPr>
          <w:outline w:val="0"/>
          <w:color w:val="000000"/>
          <w:u w:color="000000"/>
          <w:rtl w:val="0"/>
          <w:lang w:val="en-US"/>
          <w14:textFill>
            <w14:solidFill>
              <w14:srgbClr w14:val="000000"/>
            </w14:solidFill>
          </w14:textFill>
        </w:rPr>
        <w:t>Jowitt, J., 2021. Assessing contemporary legislative proposals for their compatibility with a natural law case for AI legal personhood.</w:t>
      </w:r>
      <w:r>
        <w:rPr>
          <w:outline w:val="0"/>
          <w:color w:val="000000"/>
          <w:u w:color="000000"/>
          <w:rtl w:val="0"/>
          <w:lang w:val="en-US"/>
          <w14:textFill>
            <w14:solidFill>
              <w14:srgbClr w14:val="000000"/>
            </w14:solidFill>
          </w14:textFill>
        </w:rPr>
        <w:t> </w:t>
      </w:r>
      <w:r>
        <w:rPr>
          <w:i w:val="1"/>
          <w:iCs w:val="1"/>
          <w:outline w:val="0"/>
          <w:color w:val="000000"/>
          <w:u w:color="000000"/>
          <w:rtl w:val="0"/>
          <w:lang w:val="en-US"/>
          <w14:textFill>
            <w14:solidFill>
              <w14:srgbClr w14:val="000000"/>
            </w14:solidFill>
          </w14:textFill>
        </w:rPr>
        <w:t>AI &amp; SOCIETY</w:t>
      </w:r>
      <w:r>
        <w:rPr>
          <w:outline w:val="0"/>
          <w:color w:val="000000"/>
          <w:u w:color="000000"/>
          <w:rtl w:val="0"/>
          <w:lang w:val="en-US"/>
          <w14:textFill>
            <w14:solidFill>
              <w14:srgbClr w14:val="000000"/>
            </w14:solidFill>
          </w14:textFill>
        </w:rPr>
        <w:t>.</w:t>
      </w:r>
      <w:r>
        <w:rPr>
          <w:outline w:val="0"/>
          <w:color w:val="000000"/>
          <w:u w:color="000000"/>
          <w:rtl w:val="0"/>
          <w:lang w:val="en-US"/>
          <w14:textFill>
            <w14:solidFill>
              <w14:srgbClr w14:val="000000"/>
            </w14:solidFill>
          </w14:textFill>
        </w:rPr>
        <w:t> </w:t>
      </w:r>
      <w:r>
        <w:rPr>
          <w:outline w:val="0"/>
          <w:color w:val="000000"/>
          <w:u w:color="000000"/>
          <w:rtl w:val="0"/>
          <w:lang w:val="en-US"/>
          <w14:textFill>
            <w14:solidFill>
              <w14:srgbClr w14:val="000000"/>
            </w14:solidFill>
          </w14:textFill>
        </w:rPr>
        <w:t>36(2). pp.499-508.</w:t>
      </w:r>
    </w:p>
    <w:p>
      <w:pPr>
        <w:pStyle w:val="Body Text"/>
        <w:spacing w:after="120" w:line="100" w:lineRule="atLeast"/>
        <w:ind w:left="575" w:hanging="561"/>
        <w:rPr>
          <w:outline w:val="0"/>
          <w:color w:val="000000"/>
          <w:u w:color="000000"/>
          <w:lang w:val="en-US"/>
          <w14:textFill>
            <w14:solidFill>
              <w14:srgbClr w14:val="000000"/>
            </w14:solidFill>
          </w14:textFill>
        </w:rPr>
      </w:pPr>
      <w:r>
        <w:rPr>
          <w:outline w:val="0"/>
          <w:color w:val="000000"/>
          <w:u w:color="000000"/>
          <w:rtl w:val="0"/>
          <w:lang w:val="en-US"/>
          <w14:textFill>
            <w14:solidFill>
              <w14:srgbClr w14:val="000000"/>
            </w14:solidFill>
          </w14:textFill>
        </w:rPr>
        <w:t>Curcuruto, M and et.al.,  2018. Multilevel safety climate in the UK rail industry: A cross validation of the Zohar and Luria MSC scale.</w:t>
      </w:r>
      <w:r>
        <w:rPr>
          <w:outline w:val="0"/>
          <w:color w:val="000000"/>
          <w:u w:color="000000"/>
          <w:rtl w:val="0"/>
          <w:lang w:val="en-US"/>
          <w14:textFill>
            <w14:solidFill>
              <w14:srgbClr w14:val="000000"/>
            </w14:solidFill>
          </w14:textFill>
        </w:rPr>
        <w:t> </w:t>
      </w:r>
      <w:r>
        <w:rPr>
          <w:i w:val="1"/>
          <w:iCs w:val="1"/>
          <w:outline w:val="0"/>
          <w:color w:val="000000"/>
          <w:u w:color="000000"/>
          <w:rtl w:val="0"/>
          <w:lang w:val="en-US"/>
          <w14:textFill>
            <w14:solidFill>
              <w14:srgbClr w14:val="000000"/>
            </w14:solidFill>
          </w14:textFill>
        </w:rPr>
        <w:t>Safety science</w:t>
      </w:r>
      <w:r>
        <w:rPr>
          <w:outline w:val="0"/>
          <w:color w:val="000000"/>
          <w:u w:color="000000"/>
          <w:rtl w:val="0"/>
          <w:lang w:val="en-US"/>
          <w14:textFill>
            <w14:solidFill>
              <w14:srgbClr w14:val="000000"/>
            </w14:solidFill>
          </w14:textFill>
        </w:rPr>
        <w:t>. 110.  pp.183-194.</w:t>
      </w:r>
    </w:p>
    <w:p>
      <w:pPr>
        <w:pStyle w:val="Body Text"/>
        <w:spacing w:after="120" w:line="100" w:lineRule="atLeast"/>
        <w:ind w:left="575" w:hanging="561"/>
        <w:rPr>
          <w:outline w:val="0"/>
          <w:color w:val="000000"/>
          <w:u w:color="000000"/>
          <w:lang w:val="en-US"/>
          <w14:textFill>
            <w14:solidFill>
              <w14:srgbClr w14:val="000000"/>
            </w14:solidFill>
          </w14:textFill>
        </w:rPr>
      </w:pPr>
      <w:r>
        <w:rPr>
          <w:outline w:val="0"/>
          <w:color w:val="000000"/>
          <w:u w:color="000000"/>
          <w:rtl w:val="0"/>
          <w:lang w:val="en-US"/>
          <w14:textFill>
            <w14:solidFill>
              <w14:srgbClr w14:val="000000"/>
            </w14:solidFill>
          </w14:textFill>
        </w:rPr>
        <w:t>Levy, M.L. And et.al., 2019. Paediatric asthma care in the UK: fragmented and fatally fallible.</w:t>
      </w:r>
      <w:r>
        <w:rPr>
          <w:outline w:val="0"/>
          <w:color w:val="000000"/>
          <w:u w:color="000000"/>
          <w:rtl w:val="0"/>
          <w:lang w:val="en-US"/>
          <w14:textFill>
            <w14:solidFill>
              <w14:srgbClr w14:val="000000"/>
            </w14:solidFill>
          </w14:textFill>
        </w:rPr>
        <w:t> </w:t>
      </w:r>
      <w:r>
        <w:rPr>
          <w:i w:val="1"/>
          <w:iCs w:val="1"/>
          <w:outline w:val="0"/>
          <w:color w:val="000000"/>
          <w:u w:color="000000"/>
          <w:rtl w:val="0"/>
          <w:lang w:val="en-US"/>
          <w14:textFill>
            <w14:solidFill>
              <w14:srgbClr w14:val="000000"/>
            </w14:solidFill>
          </w14:textFill>
        </w:rPr>
        <w:t>British Journal of General Practice</w:t>
      </w:r>
      <w:r>
        <w:rPr>
          <w:outline w:val="0"/>
          <w:color w:val="000000"/>
          <w:u w:color="000000"/>
          <w:rtl w:val="0"/>
          <w:lang w:val="en-US"/>
          <w14:textFill>
            <w14:solidFill>
              <w14:srgbClr w14:val="000000"/>
            </w14:solidFill>
          </w14:textFill>
        </w:rPr>
        <w:t>. 69(685). pp.405-406.</w:t>
      </w:r>
    </w:p>
    <w:p>
      <w:pPr>
        <w:pStyle w:val="Body Text"/>
        <w:spacing w:after="120" w:line="100" w:lineRule="atLeast"/>
        <w:ind w:left="575" w:hanging="561"/>
        <w:rPr>
          <w:outline w:val="0"/>
          <w:color w:val="000000"/>
          <w:u w:color="000000"/>
          <w:lang w:val="en-US"/>
          <w14:textFill>
            <w14:solidFill>
              <w14:srgbClr w14:val="000000"/>
            </w14:solidFill>
          </w14:textFill>
        </w:rPr>
      </w:pPr>
      <w:r>
        <w:rPr>
          <w:outline w:val="0"/>
          <w:color w:val="000000"/>
          <w:u w:color="000000"/>
          <w:rtl w:val="0"/>
          <w:lang w:val="en-US"/>
          <w14:textFill>
            <w14:solidFill>
              <w14:srgbClr w14:val="000000"/>
            </w14:solidFill>
          </w14:textFill>
        </w:rPr>
        <w:t xml:space="preserve">Tuitt, P., A., 2022. </w:t>
      </w:r>
      <w:r>
        <w:rPr>
          <w:outline w:val="0"/>
          <w:color w:val="000000"/>
          <w:u w:color="000000"/>
          <w:rtl w:val="0"/>
          <w:lang w:val="en-US"/>
          <w14:textFill>
            <w14:solidFill>
              <w14:srgbClr w14:val="000000"/>
            </w14:solidFill>
          </w14:textFill>
        </w:rPr>
        <w:t>‘</w:t>
      </w:r>
      <w:r>
        <w:rPr>
          <w:outline w:val="0"/>
          <w:color w:val="000000"/>
          <w:u w:color="000000"/>
          <w:rtl w:val="0"/>
          <w:lang w:val="en-US"/>
          <w14:textFill>
            <w14:solidFill>
              <w14:srgbClr w14:val="000000"/>
            </w14:solidFill>
          </w14:textFill>
        </w:rPr>
        <w:t>Personal</w:t>
      </w:r>
      <w:r>
        <w:rPr>
          <w:outline w:val="0"/>
          <w:color w:val="000000"/>
          <w:u w:color="000000"/>
          <w:rtl w:val="0"/>
          <w:lang w:val="en-US"/>
          <w14:textFill>
            <w14:solidFill>
              <w14:srgbClr w14:val="000000"/>
            </w14:solidFill>
          </w14:textFill>
        </w:rPr>
        <w:t>’</w:t>
      </w:r>
      <w:r>
        <w:rPr>
          <w:outline w:val="0"/>
          <w:color w:val="000000"/>
          <w:u w:color="000000"/>
          <w:rtl w:val="0"/>
          <w:lang w:val="en-US"/>
          <w14:textFill>
            <w14:solidFill>
              <w14:srgbClr w14:val="000000"/>
            </w14:solidFill>
          </w14:textFill>
        </w:rPr>
        <w:t>Right to a Decolonised Curriculum?. In</w:t>
      </w:r>
      <w:r>
        <w:rPr>
          <w:outline w:val="0"/>
          <w:color w:val="000000"/>
          <w:u w:color="000000"/>
          <w:rtl w:val="0"/>
          <w:lang w:val="en-US"/>
          <w14:textFill>
            <w14:solidFill>
              <w14:srgbClr w14:val="000000"/>
            </w14:solidFill>
          </w14:textFill>
        </w:rPr>
        <w:t> </w:t>
      </w:r>
      <w:r>
        <w:rPr>
          <w:i w:val="1"/>
          <w:iCs w:val="1"/>
          <w:outline w:val="0"/>
          <w:color w:val="000000"/>
          <w:u w:color="000000"/>
          <w:rtl w:val="0"/>
          <w:lang w:val="en-US"/>
          <w14:textFill>
            <w14:solidFill>
              <w14:srgbClr w14:val="000000"/>
            </w14:solidFill>
          </w14:textFill>
        </w:rPr>
        <w:t>Personal Identity and the European Court of Human Rights</w:t>
      </w:r>
      <w:r>
        <w:rPr>
          <w:outline w:val="0"/>
          <w:color w:val="000000"/>
          <w:u w:color="000000"/>
          <w:rtl w:val="0"/>
          <w:lang w:val="en-US"/>
          <w14:textFill>
            <w14:solidFill>
              <w14:srgbClr w14:val="000000"/>
            </w14:solidFill>
          </w14:textFill>
        </w:rPr>
        <w:t> </w:t>
      </w:r>
      <w:r>
        <w:rPr>
          <w:outline w:val="0"/>
          <w:color w:val="000000"/>
          <w:u w:color="000000"/>
          <w:rtl w:val="0"/>
          <w:lang w:val="en-US"/>
          <w14:textFill>
            <w14:solidFill>
              <w14:srgbClr w14:val="000000"/>
            </w14:solidFill>
          </w14:textFill>
        </w:rPr>
        <w:t>(pp. 179-196). Routledge.</w:t>
      </w:r>
    </w:p>
    <w:p>
      <w:pPr>
        <w:pStyle w:val="Body Text"/>
        <w:spacing w:after="120" w:line="100" w:lineRule="atLeast"/>
        <w:ind w:left="575" w:hanging="561"/>
        <w:rPr>
          <w:outline w:val="0"/>
          <w:color w:val="000000"/>
          <w:u w:color="000000"/>
          <w14:textFill>
            <w14:solidFill>
              <w14:srgbClr w14:val="000000"/>
            </w14:solidFill>
          </w14:textFill>
        </w:rPr>
      </w:pPr>
      <w:r>
        <w:rPr>
          <w:outline w:val="0"/>
          <w:color w:val="000000"/>
          <w:u w:val="single" w:color="000000"/>
          <w:rtl w:val="0"/>
          <w:lang w:val="en-US"/>
          <w14:textFill>
            <w14:solidFill>
              <w14:srgbClr w14:val="000000"/>
            </w14:solidFill>
          </w14:textFill>
        </w:rPr>
        <w:t>Online</w:t>
      </w:r>
      <w:r>
        <w:rPr>
          <w:outline w:val="0"/>
          <w:color w:val="000000"/>
          <w:u w:color="000000"/>
          <w:rtl w:val="0"/>
          <w:lang w:val="en-US"/>
          <w14:textFill>
            <w14:solidFill>
              <w14:srgbClr w14:val="000000"/>
            </w14:solidFill>
          </w14:textFill>
        </w:rPr>
        <w:t xml:space="preserve"> </w:t>
      </w:r>
    </w:p>
    <w:p>
      <w:pPr>
        <w:pStyle w:val="Body Text"/>
        <w:spacing w:after="120" w:line="100" w:lineRule="atLeast"/>
        <w:ind w:left="575" w:hanging="561"/>
        <w:rPr>
          <w:outline w:val="0"/>
          <w:color w:val="000000"/>
          <w:u w:color="000000"/>
          <w14:textFill>
            <w14:solidFill>
              <w14:srgbClr w14:val="000000"/>
            </w14:solidFill>
          </w14:textFill>
        </w:rPr>
      </w:pPr>
      <w:r>
        <w:rPr>
          <w:i w:val="1"/>
          <w:iCs w:val="1"/>
          <w:outline w:val="0"/>
          <w:color w:val="000000"/>
          <w:u w:color="000000"/>
          <w:rtl w:val="0"/>
          <w:lang w:val="en-US"/>
          <w14:textFill>
            <w14:solidFill>
              <w14:srgbClr w14:val="000000"/>
            </w14:solidFill>
          </w14:textFill>
        </w:rPr>
        <w:t>Part 36</w:t>
      </w:r>
      <w:r>
        <w:rPr>
          <w:outline w:val="0"/>
          <w:color w:val="000000"/>
          <w:u w:color="000000"/>
          <w:rtl w:val="0"/>
          <w:lang w:val="en-US"/>
          <w14:textFill>
            <w14:solidFill>
              <w14:srgbClr w14:val="000000"/>
            </w14:solidFill>
          </w14:textFill>
        </w:rPr>
        <w:t>. 2022. [Online]. Available through: &lt;</w:t>
      </w:r>
      <w:r>
        <w:rPr>
          <w:rtl w:val="0"/>
          <w:lang w:val="en-US"/>
        </w:rPr>
        <w:t xml:space="preserve"> </w:t>
      </w:r>
      <w:r>
        <w:rPr>
          <w:outline w:val="0"/>
          <w:color w:val="000000"/>
          <w:u w:color="000000"/>
          <w:rtl w:val="0"/>
          <w:lang w:val="en-US"/>
          <w14:textFill>
            <w14:solidFill>
              <w14:srgbClr w14:val="000000"/>
            </w14:solidFill>
          </w14:textFill>
        </w:rPr>
        <w:t>https://www.ashurst.com/en/news-and-insights/legal-updates/quickguides---part-36/ &gt;</w:t>
      </w:r>
    </w:p>
    <w:p>
      <w:pPr>
        <w:pStyle w:val="Body Text"/>
        <w:spacing w:after="120" w:line="100" w:lineRule="atLeast"/>
        <w:ind w:left="575" w:hanging="561"/>
        <w:rPr>
          <w:outline w:val="0"/>
          <w:color w:val="000000"/>
          <w:u w:color="000000"/>
          <w14:textFill>
            <w14:solidFill>
              <w14:srgbClr w14:val="000000"/>
            </w14:solidFill>
          </w14:textFill>
        </w:rPr>
      </w:pPr>
      <w:r>
        <w:rPr>
          <w:i w:val="1"/>
          <w:iCs w:val="1"/>
          <w:outline w:val="0"/>
          <w:color w:val="000000"/>
          <w:u w:color="000000"/>
          <w:rtl w:val="0"/>
          <w:lang w:val="en-US"/>
          <w14:textFill>
            <w14:solidFill>
              <w14:srgbClr w14:val="000000"/>
            </w14:solidFill>
          </w14:textFill>
        </w:rPr>
        <w:t>High Court upholds order for Part 36 costs consequences following nominal damages award</w:t>
      </w:r>
      <w:r>
        <w:rPr>
          <w:outline w:val="0"/>
          <w:color w:val="000000"/>
          <w:u w:color="000000"/>
          <w:rtl w:val="0"/>
          <w:lang w:val="en-US"/>
          <w14:textFill>
            <w14:solidFill>
              <w14:srgbClr w14:val="000000"/>
            </w14:solidFill>
          </w14:textFill>
        </w:rPr>
        <w:t>. 2022. [Online]. Available through: &lt;</w:t>
      </w:r>
      <w:r>
        <w:rPr>
          <w:rtl w:val="0"/>
          <w:lang w:val="en-US"/>
        </w:rPr>
        <w:t xml:space="preserve"> </w:t>
      </w:r>
      <w:r>
        <w:rPr>
          <w:outline w:val="0"/>
          <w:color w:val="000000"/>
          <w:u w:color="000000"/>
          <w:rtl w:val="0"/>
          <w:lang w:val="en-US"/>
          <w14:textFill>
            <w14:solidFill>
              <w14:srgbClr w14:val="000000"/>
            </w14:solidFill>
          </w14:textFill>
        </w:rPr>
        <w:t>https://hsfnotes.com/litigation/2021/06/30/high-court-upholds-order-for-part-36-costs-consequences-following-nominal-damages-award/ &gt;</w:t>
      </w:r>
    </w:p>
    <w:p>
      <w:pPr>
        <w:pStyle w:val="Body Text"/>
        <w:spacing w:after="120" w:line="100" w:lineRule="atLeast"/>
        <w:ind w:left="575" w:hanging="561"/>
        <w:rPr>
          <w:outline w:val="0"/>
          <w:color w:val="000000"/>
          <w:u w:color="000000"/>
          <w14:textFill>
            <w14:solidFill>
              <w14:srgbClr w14:val="000000"/>
            </w14:solidFill>
          </w14:textFill>
        </w:rPr>
      </w:pPr>
      <w:r>
        <w:rPr>
          <w:i w:val="1"/>
          <w:iCs w:val="1"/>
          <w:outline w:val="0"/>
          <w:color w:val="000000"/>
          <w:u w:color="000000"/>
          <w:rtl w:val="0"/>
          <w:lang w:val="en-US"/>
          <w14:textFill>
            <w14:solidFill>
              <w14:srgbClr w14:val="000000"/>
            </w14:solidFill>
          </w14:textFill>
        </w:rPr>
        <w:t>Children and Young Persons Act 1933</w:t>
      </w:r>
      <w:r>
        <w:rPr>
          <w:outline w:val="0"/>
          <w:color w:val="000000"/>
          <w:u w:color="000000"/>
          <w:rtl w:val="0"/>
          <w:lang w:val="en-US"/>
          <w14:textFill>
            <w14:solidFill>
              <w14:srgbClr w14:val="000000"/>
            </w14:solidFill>
          </w14:textFill>
        </w:rPr>
        <w:t>. 2022. [Online]. Available through: &lt;</w:t>
      </w:r>
      <w:r>
        <w:rPr>
          <w:rtl w:val="0"/>
          <w:lang w:val="en-US"/>
        </w:rPr>
        <w:t xml:space="preserve"> </w:t>
      </w:r>
      <w:r>
        <w:rPr>
          <w:outline w:val="0"/>
          <w:color w:val="000000"/>
          <w:u w:color="000000"/>
          <w:rtl w:val="0"/>
          <w:lang w:val="en-US"/>
          <w14:textFill>
            <w14:solidFill>
              <w14:srgbClr w14:val="000000"/>
            </w14:solidFill>
          </w14:textFill>
        </w:rPr>
        <w:t>https://www.legislation.gov.uk/ukpga/Geo5/23-24/12&gt;</w:t>
      </w:r>
    </w:p>
    <w:p>
      <w:pPr>
        <w:pStyle w:val="Body Text"/>
        <w:spacing w:after="120" w:line="100" w:lineRule="atLeast"/>
        <w:ind w:left="575" w:hanging="561"/>
        <w:rPr>
          <w:outline w:val="0"/>
          <w:color w:val="000000"/>
          <w:u w:color="000000"/>
          <w14:textFill>
            <w14:solidFill>
              <w14:srgbClr w14:val="000000"/>
            </w14:solidFill>
          </w14:textFill>
        </w:rPr>
      </w:pPr>
    </w:p>
    <w:p>
      <w:pPr>
        <w:pStyle w:val="Body Text"/>
        <w:spacing w:after="120" w:line="100" w:lineRule="atLeast"/>
        <w:ind w:left="575" w:hanging="561"/>
      </w:pPr>
      <w:r>
        <w:rPr>
          <w:outline w:val="0"/>
          <w:color w:val="000000"/>
          <w:u w:color="000000"/>
          <w14:textFill>
            <w14:solidFill>
              <w14:srgbClr w14:val="000000"/>
            </w14:solidFill>
          </w14:textFill>
        </w:rPr>
      </w:r>
    </w:p>
    <w:sectPr>
      <w:headerReference w:type="default" r:id="rId4"/>
      <w:footerReference w:type="default" r:id="rId5"/>
      <w:pgSz w:w="12240" w:h="15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Light">
    <w:charset w:val="00"/>
    <w:family w:val="roman"/>
    <w:pitch w:val="default"/>
  </w:font>
  <w:font w:name="Tinos">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mc:AlternateContent>
        <mc:Choice Requires="wps">
          <w:drawing xmlns:a="http://schemas.openxmlformats.org/drawingml/2006/main">
            <wp:anchor distT="152400" distB="152400" distL="152400" distR="152400" simplePos="0" relativeHeight="251658240" behindDoc="1" locked="0" layoutInCell="1" allowOverlap="1">
              <wp:simplePos x="0" y="0"/>
              <wp:positionH relativeFrom="page">
                <wp:posOffset>0</wp:posOffset>
              </wp:positionH>
              <wp:positionV relativeFrom="page">
                <wp:posOffset>0</wp:posOffset>
              </wp:positionV>
              <wp:extent cx="7772400" cy="10058400"/>
              <wp:effectExtent l="0" t="0" r="0" b="0"/>
              <wp:wrapNone/>
              <wp:docPr id="1073741825" name="officeArt object" descr="Rectangle"/>
              <wp:cNvGraphicFramePr/>
              <a:graphic xmlns:a="http://schemas.openxmlformats.org/drawingml/2006/main">
                <a:graphicData uri="http://schemas.microsoft.com/office/word/2010/wordprocessingShape">
                  <wps:wsp>
                    <wps:cNvSpPr/>
                    <wps:spPr>
                      <a:xfrm>
                        <a:off x="0" y="0"/>
                        <a:ext cx="7772400" cy="10058400"/>
                      </a:xfrm>
                      <a:prstGeom prst="roundRect">
                        <a:avLst>
                          <a:gd name="adj" fmla="val 0"/>
                        </a:avLst>
                      </a:prstGeom>
                      <a:solidFill>
                        <a:srgbClr val="FFFFFF"/>
                      </a:solidFill>
                      <a:ln w="12700" cap="flat">
                        <a:noFill/>
                        <a:miter lim="400000"/>
                      </a:ln>
                      <a:effectLst/>
                    </wps:spPr>
                    <wps:bodyPr/>
                  </wps:wsp>
                </a:graphicData>
              </a:graphic>
            </wp:anchor>
          </w:drawing>
        </mc:Choice>
        <mc:Fallback>
          <w:pict>
            <v:roundrect id="_x0000_s1026" style="visibility:visible;position:absolute;margin-left:0.0pt;margin-top:0.0pt;width:612.0pt;height:792.0pt;z-index:-251658240;mso-position-horizontal:absolute;mso-position-horizontal-relative:page;mso-position-vertical:absolute;mso-position-vertical-relative:page;mso-wrap-distance-left:12.0pt;mso-wrap-distance-top:12.0pt;mso-wrap-distance-right:12.0pt;mso-wrap-distance-bottom:12.0pt;" adj="0">
              <v:fill color="#FFFFFF" opacity="100.0%" type="solid"/>
              <v:stroke on="f" weight="1.0pt" dashstyle="solid" endcap="flat" miterlimit="400.0%" joinstyle="miter" linestyle="single" startarrow="none" startarrowwidth="medium" startarrowlength="medium" endarrow="none" endarrowwidth="medium" endarrowlength="medium"/>
              <w10:wrap type="none" side="bothSides" anchorx="page" anchory="page"/>
            </v:roundrect>
          </w:pict>
        </mc:Fallback>
      </mc:AlternateContent>
    </w: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Normal.0">
    <w:name w:val="Normal"/>
    <w:next w:val="Normal.0"/>
    <w:pPr>
      <w:keepNext w:val="0"/>
      <w:keepLines w:val="0"/>
      <w:pageBreakBefore w:val="0"/>
      <w:widowControl w:val="1"/>
      <w:shd w:val="clear" w:color="auto" w:fill="auto"/>
      <w:suppressAutoHyphens w:val="1"/>
      <w:bidi w:val="0"/>
      <w:spacing w:before="0" w:after="0" w:line="360" w:lineRule="auto"/>
      <w:ind w:left="0" w:right="0" w:firstLine="0"/>
      <w:jc w:val="both"/>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noFill/>
      </w14:textOutline>
      <w14:textFill>
        <w14:solidFill>
          <w14:srgbClr w14:val="000000"/>
        </w14:solidFill>
      </w14:textFill>
    </w:rPr>
  </w:style>
  <w:style w:type="paragraph" w:styleId="Body Text">
    <w:name w:val="Body Text"/>
    <w:next w:val="Body Text"/>
    <w:pPr>
      <w:keepNext w:val="0"/>
      <w:keepLines w:val="0"/>
      <w:pageBreakBefore w:val="0"/>
      <w:widowControl w:val="1"/>
      <w:shd w:val="clear" w:color="auto" w:fill="auto"/>
      <w:suppressAutoHyphens w:val="1"/>
      <w:bidi w:val="0"/>
      <w:spacing w:before="0" w:after="0" w:line="360" w:lineRule="auto"/>
      <w:ind w:left="0" w:right="0" w:firstLine="0"/>
      <w:jc w:val="both"/>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Heading 1">
    <w:name w:val="Heading 1"/>
    <w:next w:val="Normal.0"/>
    <w:pPr>
      <w:keepNext w:val="1"/>
      <w:keepLines w:val="1"/>
      <w:pageBreakBefore w:val="0"/>
      <w:widowControl w:val="1"/>
      <w:shd w:val="clear" w:color="auto" w:fill="auto"/>
      <w:suppressAutoHyphens w:val="1"/>
      <w:bidi w:val="0"/>
      <w:spacing w:before="113" w:after="0" w:line="360" w:lineRule="auto"/>
      <w:ind w:left="432" w:right="0" w:hanging="432"/>
      <w:jc w:val="both"/>
      <w:outlineLvl w:val="0"/>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lang w:val="en-US"/>
      <w14:textOutline>
        <w14:noFill/>
      </w14:textOutline>
      <w14:textFill>
        <w14:solidFill>
          <w14:srgbClr w14:val="000000"/>
        </w14:solidFill>
      </w14:textFill>
    </w:rPr>
  </w:style>
  <w:style w:type="paragraph" w:styleId="TOC Heading">
    <w:name w:val="TOC Heading"/>
    <w:next w:val="Normal.0"/>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Calibri Light" w:cs="Arial Unicode MS" w:hAnsi="Calibri Light" w:eastAsia="Arial Unicode MS"/>
      <w:b w:val="0"/>
      <w:bCs w:val="0"/>
      <w:i w:val="0"/>
      <w:iCs w:val="0"/>
      <w:caps w:val="0"/>
      <w:smallCaps w:val="0"/>
      <w:strike w:val="0"/>
      <w:dstrike w:val="0"/>
      <w:outline w:val="0"/>
      <w:color w:val="2e74b5"/>
      <w:spacing w:val="0"/>
      <w:kern w:val="0"/>
      <w:position w:val="0"/>
      <w:sz w:val="32"/>
      <w:szCs w:val="32"/>
      <w:u w:val="none" w:color="2e74b5"/>
      <w:shd w:val="nil" w:color="auto" w:fill="auto"/>
      <w:vertAlign w:val="baseline"/>
      <w:lang w:val="en-US"/>
      <w14:textFill>
        <w14:solidFill>
          <w14:srgbClr w14:val="2E74B5"/>
        </w14:solidFill>
      </w14:textFill>
    </w:rPr>
  </w:style>
  <w:style w:type="paragraph" w:styleId="TOC 1">
    <w:name w:val="TOC 1"/>
    <w:next w:val="TOC 1"/>
    <w:pPr>
      <w:keepNext w:val="0"/>
      <w:keepLines w:val="0"/>
      <w:pageBreakBefore w:val="0"/>
      <w:widowControl w:val="1"/>
      <w:shd w:val="clear" w:color="auto" w:fill="auto"/>
      <w:tabs>
        <w:tab w:val="right" w:pos="9340" w:leader="dot"/>
      </w:tabs>
      <w:suppressAutoHyphens w:val="1"/>
      <w:bidi w:val="0"/>
      <w:spacing w:before="0" w:after="0" w:line="360" w:lineRule="auto"/>
      <w:ind w:left="0" w:right="0" w:firstLine="0"/>
      <w:jc w:val="both"/>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TOC 2">
    <w:name w:val="TOC 2"/>
    <w:next w:val="TOC 2"/>
    <w:pPr>
      <w:keepNext w:val="0"/>
      <w:keepLines w:val="0"/>
      <w:pageBreakBefore w:val="0"/>
      <w:widowControl w:val="1"/>
      <w:shd w:val="clear" w:color="auto" w:fill="auto"/>
      <w:tabs>
        <w:tab w:val="right" w:pos="9340" w:leader="dot"/>
      </w:tabs>
      <w:suppressAutoHyphens w:val="1"/>
      <w:bidi w:val="0"/>
      <w:spacing w:before="0" w:after="0" w:line="360" w:lineRule="auto"/>
      <w:ind w:left="283" w:right="0" w:firstLine="0"/>
      <w:jc w:val="both"/>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Heading 2">
    <w:name w:val="Heading 2"/>
    <w:next w:val="Normal.0"/>
    <w:pPr>
      <w:keepNext w:val="1"/>
      <w:keepLines w:val="1"/>
      <w:pageBreakBefore w:val="0"/>
      <w:widowControl w:val="1"/>
      <w:shd w:val="clear" w:color="auto" w:fill="auto"/>
      <w:suppressAutoHyphens w:val="1"/>
      <w:bidi w:val="0"/>
      <w:spacing w:before="113" w:after="0" w:line="360" w:lineRule="auto"/>
      <w:ind w:left="576" w:right="0" w:hanging="576"/>
      <w:jc w:val="both"/>
      <w:outlineLvl w:val="1"/>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single" w:color="000000"/>
      <w:shd w:val="nil" w:color="auto" w:fill="auto"/>
      <w:vertAlign w:val="baseline"/>
      <w:lang w:val="en-US"/>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1"/>
      <w:bidi w:val="0"/>
      <w:spacing w:before="0" w:after="0" w:line="360" w:lineRule="auto"/>
      <w:ind w:left="0" w:right="0" w:firstLine="0"/>
      <w:jc w:val="both"/>
      <w:outlineLvl w:val="9"/>
    </w:pPr>
    <w:rPr>
      <w:rFonts w:ascii="Tinos" w:cs="Tinos" w:hAnsi="Tinos" w:eastAsia="Tino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Caption A">
    <w:name w:val="Caption A"/>
    <w:next w:val="Caption A"/>
    <w:pPr>
      <w:keepNext w:val="0"/>
      <w:keepLines w:val="0"/>
      <w:pageBreakBefore w:val="0"/>
      <w:widowControl w:val="1"/>
      <w:shd w:val="clear" w:color="auto" w:fill="auto"/>
      <w:suppressAutoHyphens w:val="1"/>
      <w:bidi w:val="0"/>
      <w:spacing w:before="120" w:after="120" w:line="360" w:lineRule="auto"/>
      <w:ind w:left="0" w:right="0" w:firstLine="0"/>
      <w:jc w:val="both"/>
      <w:outlineLvl w:val="9"/>
    </w:pPr>
    <w:rPr>
      <w:rFonts w:ascii="Times New Roman" w:cs="Times New Roman" w:hAnsi="Times New Roman" w:eastAsia="Times New Roman"/>
      <w:b w:val="0"/>
      <w:bCs w:val="0"/>
      <w:i w:val="1"/>
      <w:iCs w:val="1"/>
      <w:caps w:val="0"/>
      <w:smallCaps w:val="0"/>
      <w:strike w:val="0"/>
      <w:dstrike w:val="0"/>
      <w:outline w:val="0"/>
      <w:color w:val="000000"/>
      <w:spacing w:val="0"/>
      <w:kern w:val="0"/>
      <w:position w:val="0"/>
      <w:sz w:val="24"/>
      <w:szCs w:val="24"/>
      <w:u w:val="none" w:color="000000"/>
      <w:shd w:val="nil" w:color="auto" w:fill="auto"/>
      <w:vertAlign w:val="baseline"/>
      <w:lang w:val="en-US"/>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a:themeElements>
    <a:clrScheme name="Offic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a:majorFont>
        <a:latin typeface="Helvetica Neue"/>
        <a:ea typeface="Helvetica Neue"/>
        <a:cs typeface="Helvetica Neue"/>
      </a:majorFont>
      <a:minorFont>
        <a:latin typeface="Helvetica Neue"/>
        <a:ea typeface="Helvetica Neue"/>
        <a:cs typeface="Helvetica Neu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0" tIns="0" rIns="0" bIns="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0" tIns="0" rIns="0" bIns="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