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6C6F731" w:rsidR="00986B43" w:rsidRPr="000621EA"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621EA">
              <w:rPr>
                <w:rFonts w:ascii="Times New Roman" w:hAnsi="Times New Roman" w:cs="Times New Roman"/>
                <w:bCs/>
                <w:color w:val="auto"/>
                <w:sz w:val="48"/>
              </w:rPr>
              <w:t>Sioned Gayther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A3497B0" w14:textId="77777777" w:rsidR="000621EA" w:rsidRDefault="009C337F" w:rsidP="005D3F07">
            <w:pPr>
              <w:overflowPunct/>
              <w:autoSpaceDE/>
              <w:autoSpaceDN/>
              <w:adjustRightInd/>
              <w:ind w:right="-957"/>
              <w:textAlignment w:val="auto"/>
              <w:rPr>
                <w:rFonts w:ascii="Times New Roman" w:hAnsi="Times New Roman" w:cs="Times New Roman"/>
                <w:bCs/>
                <w:sz w:val="48"/>
              </w:rPr>
            </w:pPr>
            <w:r>
              <w:rPr>
                <w:rFonts w:ascii="Times New Roman" w:hAnsi="Times New Roman" w:cs="Times New Roman"/>
                <w:b/>
                <w:color w:val="auto"/>
                <w:sz w:val="48"/>
              </w:rPr>
              <w:t>Email address:</w:t>
            </w:r>
            <w:r w:rsidR="000621EA" w:rsidRPr="0062473C">
              <w:rPr>
                <w:rFonts w:ascii="Times New Roman" w:hAnsi="Times New Roman" w:cs="Times New Roman"/>
                <w:bCs/>
                <w:sz w:val="48"/>
              </w:rPr>
              <w:t xml:space="preserve"> </w:t>
            </w:r>
          </w:p>
          <w:p w14:paraId="3A6EAAC7" w14:textId="27754DC0" w:rsidR="009C337F" w:rsidRDefault="000621EA" w:rsidP="005D3F07">
            <w:pPr>
              <w:overflowPunct/>
              <w:autoSpaceDE/>
              <w:autoSpaceDN/>
              <w:adjustRightInd/>
              <w:ind w:right="-957"/>
              <w:textAlignment w:val="auto"/>
              <w:rPr>
                <w:rFonts w:ascii="Times New Roman" w:hAnsi="Times New Roman" w:cs="Times New Roman"/>
                <w:b/>
                <w:color w:val="auto"/>
                <w:sz w:val="48"/>
              </w:rPr>
            </w:pPr>
            <w:r w:rsidRPr="0062473C">
              <w:rPr>
                <w:rFonts w:ascii="Times New Roman" w:hAnsi="Times New Roman" w:cs="Times New Roman"/>
                <w:bCs/>
                <w:sz w:val="48"/>
              </w:rPr>
              <w:t>sioned.gayther@denbighshire.gov.uk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C26D15D" w14:textId="25750AC6" w:rsidR="000621EA" w:rsidRPr="000621EA" w:rsidRDefault="000621EA"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2433665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8C749D4" w14:textId="77777777" w:rsidR="000621EA" w:rsidRPr="00367498" w:rsidRDefault="000621EA" w:rsidP="000621EA">
            <w:pPr>
              <w:pStyle w:val="NoSpacing"/>
            </w:pPr>
            <w:r w:rsidRPr="00367498">
              <w:rPr>
                <w:b/>
                <w:bCs/>
              </w:rPr>
              <w:t>Introduction</w:t>
            </w:r>
          </w:p>
          <w:p w14:paraId="4068408D" w14:textId="77777777" w:rsidR="000621EA" w:rsidRPr="00367498" w:rsidRDefault="000621EA" w:rsidP="000621EA">
            <w:pPr>
              <w:pStyle w:val="NoSpacing"/>
            </w:pPr>
          </w:p>
          <w:p w14:paraId="7A8148B2" w14:textId="77777777" w:rsidR="000621EA" w:rsidRPr="00367498" w:rsidRDefault="000621EA" w:rsidP="000621EA">
            <w:pPr>
              <w:pStyle w:val="NoSpacing"/>
            </w:pPr>
          </w:p>
          <w:p w14:paraId="4CCECEF2" w14:textId="77777777" w:rsidR="000621EA" w:rsidRPr="00367498" w:rsidRDefault="000621EA" w:rsidP="000621EA">
            <w:pPr>
              <w:pStyle w:val="NoSpacing"/>
            </w:pPr>
            <w:r w:rsidRPr="00367498">
              <w:t>This critically reflective case study examines a safeguarding assessment undertaken within my role in the Complex Disability Team concerning the financial exploitation of an adult with a learning disability. The analysis demonstrates how the case relates directly to Part 7 of the Social Services and Well-being (Wales) Act 2014 (SSWBA), the Wales Safeguarding Procedures (2019), and associated Welsh legislative and policy frameworks</w:t>
            </w:r>
            <w:sdt>
              <w:sdtPr>
                <w:id w:val="2147081848"/>
                <w:citation/>
              </w:sdtPr>
              <w:sdtContent>
                <w:r>
                  <w:fldChar w:fldCharType="begin"/>
                </w:r>
                <w:r>
                  <w:instrText xml:space="preserve"> CITATION Wel144 \l 2057 </w:instrText>
                </w:r>
                <w:r>
                  <w:fldChar w:fldCharType="separate"/>
                </w:r>
                <w:r>
                  <w:rPr>
                    <w:noProof/>
                  </w:rPr>
                  <w:t xml:space="preserve"> </w:t>
                </w:r>
                <w:r w:rsidRPr="00357879">
                  <w:rPr>
                    <w:noProof/>
                  </w:rPr>
                  <w:t>(Welsh Government, 2014)</w:t>
                </w:r>
                <w:r>
                  <w:fldChar w:fldCharType="end"/>
                </w:r>
              </w:sdtContent>
            </w:sdt>
            <w:r>
              <w:t>,</w:t>
            </w:r>
            <w:sdt>
              <w:sdtPr>
                <w:id w:val="1197120591"/>
                <w:citation/>
              </w:sdtPr>
              <w:sdtContent>
                <w:r>
                  <w:fldChar w:fldCharType="begin"/>
                </w:r>
                <w:r>
                  <w:instrText xml:space="preserve"> CITATION Wal19 \l 2057 </w:instrText>
                </w:r>
                <w:r>
                  <w:fldChar w:fldCharType="separate"/>
                </w:r>
                <w:r>
                  <w:rPr>
                    <w:noProof/>
                  </w:rPr>
                  <w:t xml:space="preserve"> </w:t>
                </w:r>
                <w:r w:rsidRPr="00357879">
                  <w:rPr>
                    <w:noProof/>
                  </w:rPr>
                  <w:t>(Wales Safeguarding Procedures, 2019)</w:t>
                </w:r>
                <w:r>
                  <w:fldChar w:fldCharType="end"/>
                </w:r>
              </w:sdtContent>
            </w:sdt>
            <w:r w:rsidRPr="00367498">
              <w:t>. It explores how professional judgement, multi-agency collaboration, and theory-informed assessment shaped proportionate intervention within a complex situation involving capacity, vulnerability, autonomy and risk.</w:t>
            </w:r>
          </w:p>
          <w:p w14:paraId="34E6048A" w14:textId="77777777" w:rsidR="000621EA" w:rsidRPr="00367498" w:rsidRDefault="000621EA" w:rsidP="000621EA">
            <w:pPr>
              <w:pStyle w:val="NoSpacing"/>
            </w:pPr>
          </w:p>
          <w:p w14:paraId="7748E7D0" w14:textId="77777777" w:rsidR="000621EA" w:rsidRDefault="000621EA" w:rsidP="000621EA">
            <w:pPr>
              <w:pStyle w:val="NoSpacing"/>
            </w:pPr>
            <w:r w:rsidRPr="00367498">
              <w:t>Rather than outlining safeguarding legislation in abstraction, this case study applies statutory frameworks, social work theory and ethical principles directly to the lived circumstances of Individual 1. The discussion critically evaluates decision-making thresholds, safeguarding dilemmas, and the balance between protection and empowerment within the specific context of practice in Wales.</w:t>
            </w:r>
          </w:p>
          <w:p w14:paraId="42F213EB" w14:textId="77777777" w:rsidR="000621EA" w:rsidRPr="00367498" w:rsidRDefault="000621EA" w:rsidP="000621EA">
            <w:pPr>
              <w:pStyle w:val="NoSpacing"/>
            </w:pPr>
          </w:p>
          <w:p w14:paraId="5BF2F3DD" w14:textId="77777777" w:rsidR="000621EA" w:rsidRPr="00367498" w:rsidRDefault="000621EA" w:rsidP="000621EA">
            <w:pPr>
              <w:pStyle w:val="NoSpacing"/>
            </w:pPr>
          </w:p>
          <w:p w14:paraId="128248CB" w14:textId="77777777" w:rsidR="000621EA" w:rsidRPr="00E1117C" w:rsidRDefault="000621EA" w:rsidP="000621EA">
            <w:pPr>
              <w:pStyle w:val="NoSpacing"/>
              <w:rPr>
                <w:i/>
                <w:iCs/>
              </w:rPr>
            </w:pPr>
            <w:r>
              <w:rPr>
                <w:i/>
                <w:iCs/>
              </w:rPr>
              <w:t xml:space="preserve">Section Word Count: </w:t>
            </w:r>
            <w:r w:rsidRPr="00E1117C">
              <w:rPr>
                <w:i/>
                <w:iCs/>
              </w:rPr>
              <w:t>142</w:t>
            </w:r>
          </w:p>
          <w:p w14:paraId="2B2F4F9E" w14:textId="77777777" w:rsidR="000621EA" w:rsidRPr="00367498" w:rsidRDefault="000621EA" w:rsidP="000621EA">
            <w:pPr>
              <w:pStyle w:val="NoSpacing"/>
            </w:pPr>
          </w:p>
          <w:p w14:paraId="510E18E5" w14:textId="77777777" w:rsidR="000621EA" w:rsidRPr="00367498" w:rsidRDefault="000621EA" w:rsidP="000621EA">
            <w:pPr>
              <w:pStyle w:val="NoSpacing"/>
            </w:pPr>
          </w:p>
          <w:p w14:paraId="24DDE162" w14:textId="77777777" w:rsidR="000621EA" w:rsidRPr="00367498" w:rsidRDefault="000621EA" w:rsidP="000621EA">
            <w:pPr>
              <w:pStyle w:val="NoSpacing"/>
            </w:pPr>
            <w:r w:rsidRPr="00367498">
              <w:rPr>
                <w:b/>
                <w:bCs/>
              </w:rPr>
              <w:t>Case Overview and Safeguarding Context</w:t>
            </w:r>
          </w:p>
          <w:p w14:paraId="6F1C3E6C" w14:textId="77777777" w:rsidR="000621EA" w:rsidRPr="00367498" w:rsidRDefault="000621EA" w:rsidP="000621EA">
            <w:pPr>
              <w:pStyle w:val="NoSpacing"/>
            </w:pPr>
          </w:p>
          <w:p w14:paraId="29939C90" w14:textId="77777777" w:rsidR="000621EA" w:rsidRPr="00367498" w:rsidRDefault="000621EA" w:rsidP="000621EA">
            <w:pPr>
              <w:pStyle w:val="NoSpacing"/>
            </w:pPr>
          </w:p>
          <w:p w14:paraId="1EEA065F" w14:textId="77777777" w:rsidR="000621EA" w:rsidRPr="00367498" w:rsidRDefault="000621EA" w:rsidP="000621EA">
            <w:pPr>
              <w:pStyle w:val="NoSpacing"/>
            </w:pPr>
            <w:r w:rsidRPr="00367498">
              <w:t>For confidentiality purposes, identifying information has been removed, and the adult will be referred to as Individual 1 in accordance with the BASW Code of Ethics (2021)</w:t>
            </w:r>
            <w:sdt>
              <w:sdtPr>
                <w:id w:val="930006112"/>
                <w:citation/>
              </w:sdtPr>
              <w:sdtContent>
                <w:r>
                  <w:fldChar w:fldCharType="begin"/>
                </w:r>
                <w:r>
                  <w:instrText xml:space="preserve"> CITATION Bri21 \l 2057 </w:instrText>
                </w:r>
                <w:r>
                  <w:fldChar w:fldCharType="separate"/>
                </w:r>
                <w:r>
                  <w:rPr>
                    <w:noProof/>
                  </w:rPr>
                  <w:t xml:space="preserve"> </w:t>
                </w:r>
                <w:r w:rsidRPr="00357879">
                  <w:rPr>
                    <w:noProof/>
                  </w:rPr>
                  <w:t>(British Association of Social Workers, 2021)</w:t>
                </w:r>
                <w:r>
                  <w:fldChar w:fldCharType="end"/>
                </w:r>
              </w:sdtContent>
            </w:sdt>
            <w:r w:rsidRPr="00367498">
              <w:t>.</w:t>
            </w:r>
          </w:p>
          <w:p w14:paraId="13033DFC" w14:textId="77777777" w:rsidR="000621EA" w:rsidRPr="00367498" w:rsidRDefault="000621EA" w:rsidP="000621EA">
            <w:pPr>
              <w:pStyle w:val="NoSpacing"/>
            </w:pPr>
          </w:p>
          <w:p w14:paraId="7E6DAD5B" w14:textId="77777777" w:rsidR="000621EA" w:rsidRPr="00367498" w:rsidRDefault="000621EA" w:rsidP="000621EA">
            <w:pPr>
              <w:pStyle w:val="NoSpacing"/>
            </w:pPr>
            <w:r w:rsidRPr="00367498">
              <w:t>Individual 1 is a man in his early 60s who lives alone in a semi-rural coastal town in Wales. He has a moderate learning disability and limited informal support following separation from his ex-wife. Although he manages aspects of daily living independently, he requires support with financial decision-making and has been assessed as lacking capacity in relation to managing his finances.</w:t>
            </w:r>
          </w:p>
          <w:p w14:paraId="50A080D5" w14:textId="77777777" w:rsidR="000621EA" w:rsidRPr="00367498" w:rsidRDefault="000621EA" w:rsidP="000621EA">
            <w:pPr>
              <w:pStyle w:val="NoSpacing"/>
            </w:pPr>
          </w:p>
          <w:p w14:paraId="387B4020" w14:textId="77777777" w:rsidR="000621EA" w:rsidRPr="00367498" w:rsidRDefault="000621EA" w:rsidP="000621EA">
            <w:pPr>
              <w:pStyle w:val="NoSpacing"/>
            </w:pPr>
            <w:r w:rsidRPr="00367498">
              <w:t xml:space="preserve">A safeguarding concern was raised following a police referral indicating that his former partner had removed a significant sum of money from his bank account. While the police investigated, no further action (NFA) was taken due to evidential limitations. Despite the absence of criminal proceedings, the referral met the threshold under Section 126 of Part 7 of the Social Services and Well-being (Wales) Act 2014, which requires local authorities to make enquiries where there is reasonable cause to suspect that an adult is experiencing or is at risk of abuse and, due to care and support needs, is unable to protect themselves </w:t>
            </w:r>
            <w:sdt>
              <w:sdtPr>
                <w:id w:val="714867967"/>
                <w:citation/>
              </w:sdtPr>
              <w:sdtContent>
                <w:r>
                  <w:fldChar w:fldCharType="begin"/>
                </w:r>
                <w:r>
                  <w:instrText xml:space="preserve"> CITATION Wel143 \l 2057 </w:instrText>
                </w:r>
                <w:r>
                  <w:fldChar w:fldCharType="separate"/>
                </w:r>
                <w:r w:rsidRPr="00357879">
                  <w:rPr>
                    <w:noProof/>
                  </w:rPr>
                  <w:t>(Welsh Government, 2014)</w:t>
                </w:r>
                <w:r>
                  <w:fldChar w:fldCharType="end"/>
                </w:r>
              </w:sdtContent>
            </w:sdt>
            <w:r w:rsidRPr="00367498">
              <w:t>.</w:t>
            </w:r>
          </w:p>
          <w:p w14:paraId="6B57CFCF" w14:textId="77777777" w:rsidR="000621EA" w:rsidRPr="00367498" w:rsidRDefault="000621EA" w:rsidP="000621EA">
            <w:pPr>
              <w:pStyle w:val="NoSpacing"/>
            </w:pPr>
          </w:p>
          <w:p w14:paraId="22CC1D48" w14:textId="77777777" w:rsidR="000621EA" w:rsidRPr="00367498" w:rsidRDefault="000621EA" w:rsidP="000621EA">
            <w:pPr>
              <w:pStyle w:val="NoSpacing"/>
            </w:pPr>
            <w:r w:rsidRPr="00367498">
              <w:t>Individual 1’s circumstances reflect the intersection of disability, social isolation and deprivation. According to the Welsh Index of Multiple Deprivation, parts of his locality experience higher deprivation in income and access to services</w:t>
            </w:r>
            <w:sdt>
              <w:sdtPr>
                <w:id w:val="1886523432"/>
                <w:citation/>
              </w:sdtPr>
              <w:sdtContent>
                <w:r>
                  <w:fldChar w:fldCharType="begin"/>
                </w:r>
                <w:r>
                  <w:instrText xml:space="preserve"> CITATION Wel24 \l 2057 </w:instrText>
                </w:r>
                <w:r>
                  <w:fldChar w:fldCharType="separate"/>
                </w:r>
                <w:r>
                  <w:rPr>
                    <w:noProof/>
                  </w:rPr>
                  <w:t xml:space="preserve"> </w:t>
                </w:r>
                <w:r w:rsidRPr="00357879">
                  <w:rPr>
                    <w:noProof/>
                  </w:rPr>
                  <w:t>(Welsh Government, 2024)</w:t>
                </w:r>
                <w:r>
                  <w:fldChar w:fldCharType="end"/>
                </w:r>
              </w:sdtContent>
            </w:sdt>
            <w:r w:rsidRPr="00367498">
              <w:t>. These structural factors increase vulnerability, particularly for adults with cognitive impairments who rely on limited informal networks. His primary source of social contact is voluntary work at a local charity shop, where he has developed a supportive relationship with the manager. While this provides routine and purpose, reliance on informal networks also presents safeguarding complexity if boundaries become blurred.</w:t>
            </w:r>
          </w:p>
          <w:p w14:paraId="0B8C07FC" w14:textId="77777777" w:rsidR="000621EA" w:rsidRPr="00367498" w:rsidRDefault="000621EA" w:rsidP="000621EA">
            <w:pPr>
              <w:pStyle w:val="NoSpacing"/>
            </w:pPr>
          </w:p>
          <w:p w14:paraId="161B0433" w14:textId="77777777" w:rsidR="000621EA" w:rsidRPr="00367498" w:rsidRDefault="000621EA" w:rsidP="000621EA">
            <w:pPr>
              <w:pStyle w:val="NoSpacing"/>
            </w:pPr>
            <w:r w:rsidRPr="00367498">
              <w:t xml:space="preserve">The case therefore required careful assessment of risk, capacity and proportionality. A key professional judgement concerned whether to initiate a formal safeguarding enquiry under Part 7 </w:t>
            </w:r>
            <w:r>
              <w:t xml:space="preserve">of SSWBA </w:t>
            </w:r>
            <w:r w:rsidRPr="00367498">
              <w:t>or pursue preventative and proportionate intervention under Part 2 of the Act, which promotes early intervention and well-being</w:t>
            </w:r>
            <w:sdt>
              <w:sdtPr>
                <w:id w:val="-1031033075"/>
                <w:citation/>
              </w:sdtPr>
              <w:sdtContent>
                <w:r>
                  <w:fldChar w:fldCharType="begin"/>
                </w:r>
                <w:r>
                  <w:instrText xml:space="preserve"> CITATION Wel143 \l 2057 </w:instrText>
                </w:r>
                <w:r>
                  <w:fldChar w:fldCharType="separate"/>
                </w:r>
                <w:r>
                  <w:rPr>
                    <w:noProof/>
                  </w:rPr>
                  <w:t xml:space="preserve"> </w:t>
                </w:r>
                <w:r w:rsidRPr="00357879">
                  <w:rPr>
                    <w:noProof/>
                  </w:rPr>
                  <w:t>(Welsh Government, 2014)</w:t>
                </w:r>
                <w:r>
                  <w:fldChar w:fldCharType="end"/>
                </w:r>
              </w:sdtContent>
            </w:sdt>
            <w:r w:rsidRPr="00367498">
              <w:t>.</w:t>
            </w:r>
          </w:p>
          <w:p w14:paraId="257CCE1A" w14:textId="77777777" w:rsidR="000621EA" w:rsidRPr="00367498" w:rsidRDefault="000621EA" w:rsidP="000621EA">
            <w:pPr>
              <w:pStyle w:val="NoSpacing"/>
            </w:pPr>
          </w:p>
          <w:p w14:paraId="3FFB906A" w14:textId="77777777" w:rsidR="000621EA" w:rsidRPr="00367498" w:rsidRDefault="000621EA" w:rsidP="000621EA">
            <w:pPr>
              <w:pStyle w:val="NoSpacing"/>
            </w:pPr>
          </w:p>
          <w:p w14:paraId="30E00B99" w14:textId="77777777" w:rsidR="000621EA" w:rsidRPr="00E1117C" w:rsidRDefault="000621EA" w:rsidP="000621EA">
            <w:pPr>
              <w:pStyle w:val="NoSpacing"/>
              <w:rPr>
                <w:i/>
                <w:iCs/>
              </w:rPr>
            </w:pPr>
            <w:r w:rsidRPr="00E1117C">
              <w:rPr>
                <w:i/>
                <w:iCs/>
              </w:rPr>
              <w:t>Section Word Count: 343</w:t>
            </w:r>
          </w:p>
          <w:p w14:paraId="1E29C54D" w14:textId="77777777" w:rsidR="000621EA" w:rsidRDefault="000621EA" w:rsidP="000621EA">
            <w:pPr>
              <w:pStyle w:val="NoSpacing"/>
            </w:pPr>
          </w:p>
          <w:p w14:paraId="4382D0D9" w14:textId="77777777" w:rsidR="000621EA" w:rsidRDefault="000621EA" w:rsidP="000621EA">
            <w:pPr>
              <w:pStyle w:val="NoSpacing"/>
            </w:pPr>
          </w:p>
          <w:p w14:paraId="0C92DF50" w14:textId="77777777" w:rsidR="000621EA" w:rsidRPr="00367498" w:rsidRDefault="000621EA" w:rsidP="000621EA">
            <w:pPr>
              <w:pStyle w:val="NoSpacing"/>
            </w:pPr>
          </w:p>
          <w:p w14:paraId="798DC8AA" w14:textId="77777777" w:rsidR="000621EA" w:rsidRPr="00367498" w:rsidRDefault="000621EA" w:rsidP="000621EA">
            <w:pPr>
              <w:pStyle w:val="NoSpacing"/>
            </w:pPr>
            <w:r w:rsidRPr="00367498">
              <w:rPr>
                <w:b/>
                <w:bCs/>
              </w:rPr>
              <w:t>Legislative Framework Applied to the Case (Wales-First Approach)</w:t>
            </w:r>
          </w:p>
          <w:p w14:paraId="4F582256" w14:textId="77777777" w:rsidR="000621EA" w:rsidRPr="00367498" w:rsidRDefault="000621EA" w:rsidP="000621EA">
            <w:pPr>
              <w:pStyle w:val="NoSpacing"/>
            </w:pPr>
          </w:p>
          <w:p w14:paraId="032A0B65" w14:textId="77777777" w:rsidR="000621EA" w:rsidRPr="00367498" w:rsidRDefault="000621EA" w:rsidP="000621EA">
            <w:pPr>
              <w:pStyle w:val="NoSpacing"/>
            </w:pPr>
          </w:p>
          <w:p w14:paraId="7F03E679" w14:textId="77777777" w:rsidR="000621EA" w:rsidRPr="00367498" w:rsidRDefault="000621EA" w:rsidP="000621EA">
            <w:pPr>
              <w:pStyle w:val="NoSpacing"/>
            </w:pPr>
            <w:r w:rsidRPr="00367498">
              <w:t>Safeguarding practice in this case is grounded primarily in the Social Services and Well-being (Wales) Act 201</w:t>
            </w:r>
            <w:r>
              <w:t>4</w:t>
            </w:r>
            <w:r w:rsidRPr="00367498">
              <w:t>, which integrates adult and child safeguarding within a unified statute</w:t>
            </w:r>
            <w:sdt>
              <w:sdtPr>
                <w:id w:val="1097590214"/>
                <w:citation/>
              </w:sdtPr>
              <w:sdtContent>
                <w:r>
                  <w:fldChar w:fldCharType="begin"/>
                </w:r>
                <w:r>
                  <w:instrText xml:space="preserve"> CITATION Wel143 \l 2057 </w:instrText>
                </w:r>
                <w:r>
                  <w:fldChar w:fldCharType="separate"/>
                </w:r>
                <w:r>
                  <w:rPr>
                    <w:noProof/>
                  </w:rPr>
                  <w:t xml:space="preserve"> </w:t>
                </w:r>
                <w:r w:rsidRPr="00357879">
                  <w:rPr>
                    <w:noProof/>
                  </w:rPr>
                  <w:t>(Welsh Government, 2014)</w:t>
                </w:r>
                <w:r>
                  <w:fldChar w:fldCharType="end"/>
                </w:r>
              </w:sdtContent>
            </w:sdt>
            <w:r w:rsidRPr="00367498">
              <w:t xml:space="preserve">. Part 7 </w:t>
            </w:r>
            <w:r>
              <w:t xml:space="preserve">of the act </w:t>
            </w:r>
            <w:r w:rsidRPr="00367498">
              <w:t xml:space="preserve">defines an </w:t>
            </w:r>
            <w:r>
              <w:t>‘</w:t>
            </w:r>
            <w:r w:rsidRPr="00367498">
              <w:t>adult at risk</w:t>
            </w:r>
            <w:r>
              <w:t>’</w:t>
            </w:r>
            <w:r w:rsidRPr="00367498">
              <w:t xml:space="preserve"> as an individual who is experiencing or is at risk of abuse or neglect and, because of care and support needs, is unable to protect themselves</w:t>
            </w:r>
            <w:sdt>
              <w:sdtPr>
                <w:id w:val="-1869290473"/>
                <w:citation/>
              </w:sdtPr>
              <w:sdtContent>
                <w:r>
                  <w:fldChar w:fldCharType="begin"/>
                </w:r>
                <w:r>
                  <w:instrText xml:space="preserve"> CITATION Wel142 \l 2057 </w:instrText>
                </w:r>
                <w:r>
                  <w:fldChar w:fldCharType="separate"/>
                </w:r>
                <w:r>
                  <w:rPr>
                    <w:noProof/>
                  </w:rPr>
                  <w:t xml:space="preserve"> </w:t>
                </w:r>
                <w:r w:rsidRPr="00357879">
                  <w:rPr>
                    <w:noProof/>
                  </w:rPr>
                  <w:t>(Welsh Government, 2014)</w:t>
                </w:r>
                <w:r>
                  <w:fldChar w:fldCharType="end"/>
                </w:r>
              </w:sdtContent>
            </w:sdt>
            <w:r w:rsidRPr="00367498">
              <w:t>. In this case, Individual 1’s moderate learning disability and assessed lack of financial capacity satisfied this definition.</w:t>
            </w:r>
          </w:p>
          <w:p w14:paraId="53ADA66C" w14:textId="77777777" w:rsidR="000621EA" w:rsidRPr="00367498" w:rsidRDefault="000621EA" w:rsidP="000621EA">
            <w:pPr>
              <w:pStyle w:val="NoSpacing"/>
            </w:pPr>
          </w:p>
          <w:p w14:paraId="47D64E62" w14:textId="77777777" w:rsidR="000621EA" w:rsidRPr="00367498" w:rsidRDefault="000621EA" w:rsidP="000621EA">
            <w:pPr>
              <w:pStyle w:val="NoSpacing"/>
            </w:pPr>
            <w:r w:rsidRPr="00367498">
              <w:t>The Wales Safeguarding Procedures provide the operational framework for implementing Part 7</w:t>
            </w:r>
            <w:r>
              <w:t xml:space="preserve"> of SSWBA</w:t>
            </w:r>
            <w:sdt>
              <w:sdtPr>
                <w:id w:val="949587839"/>
                <w:citation/>
              </w:sdtPr>
              <w:sdtContent>
                <w:r>
                  <w:fldChar w:fldCharType="begin"/>
                </w:r>
                <w:r>
                  <w:instrText xml:space="preserve"> CITATION Soc19 \l 2057 </w:instrText>
                </w:r>
                <w:r>
                  <w:fldChar w:fldCharType="separate"/>
                </w:r>
                <w:r>
                  <w:rPr>
                    <w:noProof/>
                  </w:rPr>
                  <w:t xml:space="preserve"> </w:t>
                </w:r>
                <w:r w:rsidRPr="00357879">
                  <w:rPr>
                    <w:noProof/>
                  </w:rPr>
                  <w:t>(Social Care Wales, 2019)</w:t>
                </w:r>
                <w:r>
                  <w:fldChar w:fldCharType="end"/>
                </w:r>
              </w:sdtContent>
            </w:sdt>
            <w:r w:rsidRPr="00367498">
              <w:t xml:space="preserve">. These procedures outline thresholds for reporting, enquiry processes, multi-agency </w:t>
            </w:r>
            <w:r w:rsidRPr="00367498">
              <w:lastRenderedPageBreak/>
              <w:t>coordination and decision-making responsibilities. Following the police referral, information was screened in line with local authority safeguarding protocols consistent with the national procedures.</w:t>
            </w:r>
          </w:p>
          <w:p w14:paraId="0389D494" w14:textId="77777777" w:rsidR="000621EA" w:rsidRPr="00367498" w:rsidRDefault="000621EA" w:rsidP="000621EA">
            <w:pPr>
              <w:pStyle w:val="NoSpacing"/>
            </w:pPr>
          </w:p>
          <w:p w14:paraId="59ACF679" w14:textId="77777777" w:rsidR="000621EA" w:rsidRPr="00367498" w:rsidRDefault="000621EA" w:rsidP="000621EA">
            <w:pPr>
              <w:pStyle w:val="NoSpacing"/>
            </w:pPr>
            <w:r w:rsidRPr="00367498">
              <w:t>A significant professional judgement concerned proportionality. Although financial exploitation had occurred, there was no evidence of ongoing coercion, and the alleged perpetrator was no longer in active contact. The police decision to take no further action raised a safeguarding dilemma: whether to escalate to a full multi-agency safeguarding enquiry or respond through preventative measures and capacity-based intervention.</w:t>
            </w:r>
          </w:p>
          <w:p w14:paraId="5B786F73" w14:textId="77777777" w:rsidR="000621EA" w:rsidRPr="00367498" w:rsidRDefault="000621EA" w:rsidP="000621EA">
            <w:pPr>
              <w:pStyle w:val="NoSpacing"/>
            </w:pPr>
          </w:p>
          <w:p w14:paraId="36587368" w14:textId="77777777" w:rsidR="000621EA" w:rsidRPr="00367498" w:rsidRDefault="000621EA" w:rsidP="000621EA">
            <w:pPr>
              <w:pStyle w:val="NoSpacing"/>
            </w:pPr>
            <w:r w:rsidRPr="00367498">
              <w:t>Part 2 of the SSWBA emphasises prevention and early intervention</w:t>
            </w:r>
            <w:sdt>
              <w:sdtPr>
                <w:id w:val="-2048823963"/>
                <w:citation/>
              </w:sdtPr>
              <w:sdtContent>
                <w:r>
                  <w:fldChar w:fldCharType="begin"/>
                </w:r>
                <w:r>
                  <w:instrText xml:space="preserve"> CITATION Wel143 \l 2057 </w:instrText>
                </w:r>
                <w:r>
                  <w:fldChar w:fldCharType="separate"/>
                </w:r>
                <w:r>
                  <w:rPr>
                    <w:noProof/>
                  </w:rPr>
                  <w:t xml:space="preserve"> </w:t>
                </w:r>
                <w:r w:rsidRPr="00357879">
                  <w:rPr>
                    <w:noProof/>
                  </w:rPr>
                  <w:t>(Welsh Government, 2014)</w:t>
                </w:r>
                <w:r>
                  <w:fldChar w:fldCharType="end"/>
                </w:r>
              </w:sdtContent>
            </w:sdt>
            <w:r w:rsidRPr="00367498">
              <w:t>. In this case, the decision was made to undertake a Mental Capacity Assessment (MCA) and strengthen financial safeguards rather than initiate formal safeguarding proceedings</w:t>
            </w:r>
            <w:sdt>
              <w:sdtPr>
                <w:id w:val="-1871902302"/>
                <w:citation/>
              </w:sdtPr>
              <w:sdtContent>
                <w:r>
                  <w:fldChar w:fldCharType="begin"/>
                </w:r>
                <w:r>
                  <w:instrText xml:space="preserve"> CITATION UKG052 \l 2057 </w:instrText>
                </w:r>
                <w:r>
                  <w:fldChar w:fldCharType="separate"/>
                </w:r>
                <w:r>
                  <w:rPr>
                    <w:noProof/>
                  </w:rPr>
                  <w:t xml:space="preserve"> </w:t>
                </w:r>
                <w:r w:rsidRPr="0035259F">
                  <w:rPr>
                    <w:noProof/>
                  </w:rPr>
                  <w:t>(UK Government, 2005)</w:t>
                </w:r>
                <w:r>
                  <w:fldChar w:fldCharType="end"/>
                </w:r>
              </w:sdtContent>
            </w:sdt>
            <w:r w:rsidRPr="00367498">
              <w:t>. This decision reflected the principle of proportionality, ensuring that intervention was responsive to risk without being unnecessarily intrusive.</w:t>
            </w:r>
          </w:p>
          <w:p w14:paraId="7A503472" w14:textId="77777777" w:rsidR="000621EA" w:rsidRPr="00367498" w:rsidRDefault="000621EA" w:rsidP="000621EA">
            <w:pPr>
              <w:pStyle w:val="NoSpacing"/>
            </w:pPr>
          </w:p>
          <w:p w14:paraId="71F8E72E" w14:textId="77777777" w:rsidR="000621EA" w:rsidRPr="00367498" w:rsidRDefault="000621EA" w:rsidP="000621EA">
            <w:pPr>
              <w:pStyle w:val="NoSpacing"/>
            </w:pPr>
            <w:r w:rsidRPr="00367498">
              <w:t>It is important to clarify that while the Care Act 2014 governs adult safeguarding in England, it does not apply in Wales</w:t>
            </w:r>
            <w:sdt>
              <w:sdtPr>
                <w:id w:val="266672235"/>
                <w:citation/>
              </w:sdtPr>
              <w:sdtContent>
                <w:r>
                  <w:fldChar w:fldCharType="begin"/>
                </w:r>
                <w:r>
                  <w:instrText xml:space="preserve"> CITATION UKG14 \l 2057 </w:instrText>
                </w:r>
                <w:r>
                  <w:fldChar w:fldCharType="separate"/>
                </w:r>
                <w:r>
                  <w:rPr>
                    <w:noProof/>
                  </w:rPr>
                  <w:t xml:space="preserve"> </w:t>
                </w:r>
                <w:r w:rsidRPr="0035259F">
                  <w:rPr>
                    <w:noProof/>
                  </w:rPr>
                  <w:t>(UK Government, 2014)</w:t>
                </w:r>
                <w:r>
                  <w:fldChar w:fldCharType="end"/>
                </w:r>
              </w:sdtContent>
            </w:sdt>
            <w:r w:rsidRPr="00367498">
              <w:t>. However, the six safeguarding principles outlined within the Care and Support Statutory Guidance</w:t>
            </w:r>
            <w:r>
              <w:t xml:space="preserve">: </w:t>
            </w:r>
            <w:r w:rsidRPr="00367498">
              <w:t>empowerment, prevention, proportionality, protection, partnership and accountability</w:t>
            </w:r>
            <w:r>
              <w:t xml:space="preserve">; they </w:t>
            </w:r>
            <w:r w:rsidRPr="00367498">
              <w:t>align closely with Welsh safeguarding values and inform broader UK safeguarding discourse</w:t>
            </w:r>
            <w:sdt>
              <w:sdtPr>
                <w:id w:val="1759796957"/>
                <w:citation/>
              </w:sdtPr>
              <w:sdtContent>
                <w:r>
                  <w:fldChar w:fldCharType="begin"/>
                </w:r>
                <w:r>
                  <w:instrText xml:space="preserve"> CITATION UKG14 \l 2057 </w:instrText>
                </w:r>
                <w:r>
                  <w:fldChar w:fldCharType="separate"/>
                </w:r>
                <w:r>
                  <w:rPr>
                    <w:noProof/>
                  </w:rPr>
                  <w:t xml:space="preserve"> </w:t>
                </w:r>
                <w:r w:rsidRPr="0035259F">
                  <w:rPr>
                    <w:noProof/>
                  </w:rPr>
                  <w:t>(UK Government, 2014)</w:t>
                </w:r>
                <w:r>
                  <w:fldChar w:fldCharType="end"/>
                </w:r>
              </w:sdtContent>
            </w:sdt>
            <w:r w:rsidRPr="00367498">
              <w:t>. In Wales, these principles are embedded within the SSWBA and Wales Safeguarding Procedures rather than applied through the Care Act framework</w:t>
            </w:r>
            <w:sdt>
              <w:sdtPr>
                <w:id w:val="-932981648"/>
                <w:citation/>
              </w:sdtPr>
              <w:sdtContent>
                <w:r>
                  <w:fldChar w:fldCharType="begin"/>
                </w:r>
                <w:r>
                  <w:instrText xml:space="preserve"> CITATION Wel144 \l 2057 </w:instrText>
                </w:r>
                <w:r>
                  <w:fldChar w:fldCharType="separate"/>
                </w:r>
                <w:r>
                  <w:rPr>
                    <w:noProof/>
                  </w:rPr>
                  <w:t xml:space="preserve"> </w:t>
                </w:r>
                <w:r w:rsidRPr="0035259F">
                  <w:rPr>
                    <w:noProof/>
                  </w:rPr>
                  <w:t>(Welsh Government, 2014)</w:t>
                </w:r>
                <w:r>
                  <w:fldChar w:fldCharType="end"/>
                </w:r>
              </w:sdtContent>
            </w:sdt>
            <w:r w:rsidRPr="00367498">
              <w:t>.</w:t>
            </w:r>
          </w:p>
          <w:p w14:paraId="74C9D3F5" w14:textId="77777777" w:rsidR="000621EA" w:rsidRPr="00367498" w:rsidRDefault="000621EA" w:rsidP="000621EA">
            <w:pPr>
              <w:pStyle w:val="NoSpacing"/>
            </w:pPr>
          </w:p>
          <w:p w14:paraId="7DD54EC4" w14:textId="77777777" w:rsidR="000621EA" w:rsidRPr="00367498" w:rsidRDefault="000621EA" w:rsidP="000621EA">
            <w:pPr>
              <w:pStyle w:val="NoSpacing"/>
            </w:pPr>
            <w:r w:rsidRPr="00367498">
              <w:t>In addition, safeguarding practice operates within the broader human rights context of the European Convention on Human Rights (ECHR), incorporated into UK law through the Human Rights Act 1998</w:t>
            </w:r>
            <w:sdt>
              <w:sdtPr>
                <w:id w:val="-595247291"/>
                <w:citation/>
              </w:sdtPr>
              <w:sdtContent>
                <w:r>
                  <w:fldChar w:fldCharType="begin"/>
                </w:r>
                <w:r>
                  <w:instrText xml:space="preserve"> CITATION Cou50 \l 2057 </w:instrText>
                </w:r>
                <w:r>
                  <w:fldChar w:fldCharType="separate"/>
                </w:r>
                <w:r>
                  <w:rPr>
                    <w:noProof/>
                  </w:rPr>
                  <w:t xml:space="preserve"> </w:t>
                </w:r>
                <w:r w:rsidRPr="0035259F">
                  <w:rPr>
                    <w:noProof/>
                  </w:rPr>
                  <w:t>(Council of Europe, 1950)</w:t>
                </w:r>
                <w:r>
                  <w:fldChar w:fldCharType="end"/>
                </w:r>
              </w:sdtContent>
            </w:sdt>
            <w:r w:rsidRPr="00367498">
              <w:t>. Articles 2</w:t>
            </w:r>
            <w:r>
              <w:t xml:space="preserve">: </w:t>
            </w:r>
            <w:r w:rsidRPr="00367498">
              <w:t>right to life, 3</w:t>
            </w:r>
            <w:r>
              <w:t xml:space="preserve">: </w:t>
            </w:r>
            <w:r w:rsidRPr="00367498">
              <w:t>freedom from inhuman or degrading treatment, 5</w:t>
            </w:r>
            <w:r>
              <w:t xml:space="preserve">: </w:t>
            </w:r>
            <w:r w:rsidRPr="00367498">
              <w:t>right to liberty and 8</w:t>
            </w:r>
            <w:r>
              <w:t>: r</w:t>
            </w:r>
            <w:r w:rsidRPr="00367498">
              <w:t>ight to private and family life were relevant in balancing Individual 1’s protection with respect for autonomy</w:t>
            </w:r>
            <w:sdt>
              <w:sdtPr>
                <w:id w:val="1113712036"/>
                <w:citation/>
              </w:sdtPr>
              <w:sdtContent>
                <w:r>
                  <w:fldChar w:fldCharType="begin"/>
                </w:r>
                <w:r>
                  <w:instrText xml:space="preserve"> CITATION UKG98 \l 2057 </w:instrText>
                </w:r>
                <w:r>
                  <w:fldChar w:fldCharType="separate"/>
                </w:r>
                <w:r>
                  <w:rPr>
                    <w:noProof/>
                  </w:rPr>
                  <w:t xml:space="preserve"> </w:t>
                </w:r>
                <w:r w:rsidRPr="0035259F">
                  <w:rPr>
                    <w:noProof/>
                  </w:rPr>
                  <w:t>(UK Government, 1998)</w:t>
                </w:r>
                <w:r>
                  <w:fldChar w:fldCharType="end"/>
                </w:r>
              </w:sdtContent>
            </w:sdt>
            <w:r w:rsidRPr="00367498">
              <w:t xml:space="preserve">. Any intervention, including financial </w:t>
            </w:r>
            <w:proofErr w:type="spellStart"/>
            <w:r w:rsidRPr="00367498">
              <w:t>appointeeship</w:t>
            </w:r>
            <w:proofErr w:type="spellEnd"/>
            <w:r w:rsidRPr="00367498">
              <w:t>, required lawful, proportionate justification to avoid unnecessary restriction of liberty or private life</w:t>
            </w:r>
            <w:sdt>
              <w:sdtPr>
                <w:id w:val="-481387506"/>
                <w:citation/>
              </w:sdtPr>
              <w:sdtContent>
                <w:r>
                  <w:fldChar w:fldCharType="begin"/>
                </w:r>
                <w:r>
                  <w:instrText xml:space="preserve"> CITATION XXX23 \l 2057 </w:instrText>
                </w:r>
                <w:r>
                  <w:fldChar w:fldCharType="separate"/>
                </w:r>
                <w:r>
                  <w:rPr>
                    <w:noProof/>
                  </w:rPr>
                  <w:t xml:space="preserve"> </w:t>
                </w:r>
                <w:r w:rsidRPr="0035259F">
                  <w:rPr>
                    <w:noProof/>
                  </w:rPr>
                  <w:t>(XXX County Council, 2023)</w:t>
                </w:r>
                <w:r>
                  <w:fldChar w:fldCharType="end"/>
                </w:r>
              </w:sdtContent>
            </w:sdt>
            <w:r w:rsidRPr="00367498">
              <w:t>.</w:t>
            </w:r>
          </w:p>
          <w:p w14:paraId="7B3BC3A3" w14:textId="77777777" w:rsidR="000621EA" w:rsidRPr="00367498" w:rsidRDefault="000621EA" w:rsidP="000621EA">
            <w:pPr>
              <w:pStyle w:val="NoSpacing"/>
            </w:pPr>
          </w:p>
          <w:p w14:paraId="3ECD4FF5" w14:textId="77777777" w:rsidR="000621EA" w:rsidRDefault="000621EA" w:rsidP="000621EA">
            <w:pPr>
              <w:pStyle w:val="NoSpacing"/>
            </w:pPr>
            <w:r w:rsidRPr="00367498">
              <w:t>The Equality Act 2010 further underpins safeguarding in Wales by protecting individuals from discrimination based on disability</w:t>
            </w:r>
            <w:sdt>
              <w:sdtPr>
                <w:id w:val="312528391"/>
                <w:citation/>
              </w:sdtPr>
              <w:sdtContent>
                <w:r>
                  <w:fldChar w:fldCharType="begin"/>
                </w:r>
                <w:r>
                  <w:instrText xml:space="preserve"> CITATION UKG10 \l 2057 </w:instrText>
                </w:r>
                <w:r>
                  <w:fldChar w:fldCharType="separate"/>
                </w:r>
                <w:r>
                  <w:rPr>
                    <w:noProof/>
                  </w:rPr>
                  <w:t xml:space="preserve"> </w:t>
                </w:r>
                <w:r w:rsidRPr="0035259F">
                  <w:rPr>
                    <w:noProof/>
                  </w:rPr>
                  <w:t>(UK Government, 2010)</w:t>
                </w:r>
                <w:r>
                  <w:fldChar w:fldCharType="end"/>
                </w:r>
              </w:sdtContent>
            </w:sdt>
            <w:r w:rsidRPr="00367498">
              <w:t>. In this case, recognising the impact of learning disability was essential to ensuring equitable access to support and preventing indirect discrimination through assumptions about competence.</w:t>
            </w:r>
          </w:p>
          <w:p w14:paraId="65813AB3" w14:textId="77777777" w:rsidR="000621EA" w:rsidRDefault="000621EA" w:rsidP="000621EA">
            <w:pPr>
              <w:pStyle w:val="NoSpacing"/>
            </w:pPr>
          </w:p>
          <w:p w14:paraId="29B5D6EC" w14:textId="77777777" w:rsidR="000621EA" w:rsidRPr="00367498" w:rsidRDefault="000621EA" w:rsidP="000621EA">
            <w:pPr>
              <w:pStyle w:val="NoSpacing"/>
            </w:pPr>
            <w:r w:rsidRPr="00367498">
              <w:t xml:space="preserve">In practice, implementation of Part 7 of the Social Services and Well-being (Wales) Act 2014 is operationalised locally through </w:t>
            </w:r>
            <w:r>
              <w:t>XXX</w:t>
            </w:r>
            <w:r w:rsidRPr="00367498">
              <w:t xml:space="preserve"> County Council’s Safeguarding Adults Policy (2023), which aligns with the Wales Safeguarding Procedures (2019) and national statutory guidance</w:t>
            </w:r>
            <w:sdt>
              <w:sdtPr>
                <w:id w:val="526686186"/>
                <w:citation/>
              </w:sdtPr>
              <w:sdtContent>
                <w:r>
                  <w:fldChar w:fldCharType="begin"/>
                </w:r>
                <w:r>
                  <w:instrText xml:space="preserve"> CITATION XXX23 \l 2057 </w:instrText>
                </w:r>
                <w:r>
                  <w:fldChar w:fldCharType="separate"/>
                </w:r>
                <w:r>
                  <w:rPr>
                    <w:noProof/>
                  </w:rPr>
                  <w:t xml:space="preserve"> </w:t>
                </w:r>
                <w:r w:rsidRPr="0035259F">
                  <w:rPr>
                    <w:noProof/>
                  </w:rPr>
                  <w:t>(XXX County Council, 2023)</w:t>
                </w:r>
                <w:r>
                  <w:fldChar w:fldCharType="end"/>
                </w:r>
              </w:sdtContent>
            </w:sdt>
            <w:r w:rsidRPr="00367498">
              <w:t xml:space="preserve">. Following receipt of the police referral, the concern was screened in accordance with </w:t>
            </w:r>
            <w:r>
              <w:t>XXX</w:t>
            </w:r>
            <w:r w:rsidRPr="00367498">
              <w:t>’s safeguarding threshold guidance, ensuring that local decision-making remained consistent with national legislative duties. This demonstrates how safeguarding in Wales operates through a structured interface between statutory law, national procedures and local authority policy.</w:t>
            </w:r>
          </w:p>
          <w:p w14:paraId="4002D2CF" w14:textId="77777777" w:rsidR="000621EA" w:rsidRDefault="000621EA" w:rsidP="000621EA">
            <w:pPr>
              <w:pStyle w:val="NoSpacing"/>
            </w:pPr>
          </w:p>
          <w:p w14:paraId="475E1615" w14:textId="77777777" w:rsidR="000621EA" w:rsidRPr="00367498" w:rsidRDefault="000621EA" w:rsidP="000621EA">
            <w:pPr>
              <w:pStyle w:val="NoSpacing"/>
            </w:pPr>
          </w:p>
          <w:p w14:paraId="7F81F705" w14:textId="77777777" w:rsidR="000621EA" w:rsidRPr="00E1117C" w:rsidRDefault="000621EA" w:rsidP="000621EA">
            <w:pPr>
              <w:pStyle w:val="NoSpacing"/>
              <w:rPr>
                <w:i/>
                <w:iCs/>
              </w:rPr>
            </w:pPr>
            <w:r>
              <w:rPr>
                <w:i/>
                <w:iCs/>
              </w:rPr>
              <w:t xml:space="preserve">Section Word Count: </w:t>
            </w:r>
            <w:r w:rsidRPr="00E1117C">
              <w:rPr>
                <w:i/>
                <w:iCs/>
              </w:rPr>
              <w:t>563</w:t>
            </w:r>
          </w:p>
          <w:p w14:paraId="37EE8163" w14:textId="77777777" w:rsidR="000621EA" w:rsidRDefault="000621EA" w:rsidP="000621EA">
            <w:pPr>
              <w:pStyle w:val="NoSpacing"/>
            </w:pPr>
          </w:p>
          <w:p w14:paraId="53E6957F" w14:textId="77777777" w:rsidR="000621EA" w:rsidRDefault="000621EA" w:rsidP="000621EA">
            <w:pPr>
              <w:pStyle w:val="NoSpacing"/>
            </w:pPr>
          </w:p>
          <w:p w14:paraId="5001FD81" w14:textId="77777777" w:rsidR="000621EA" w:rsidRDefault="000621EA" w:rsidP="000621EA">
            <w:pPr>
              <w:pStyle w:val="NoSpacing"/>
            </w:pPr>
          </w:p>
          <w:p w14:paraId="77672BEE" w14:textId="77777777" w:rsidR="000621EA" w:rsidRPr="009D7155" w:rsidRDefault="000621EA" w:rsidP="000621EA">
            <w:pPr>
              <w:pStyle w:val="NoSpacing"/>
            </w:pPr>
            <w:r w:rsidRPr="009D7155">
              <w:rPr>
                <w:b/>
                <w:bCs/>
              </w:rPr>
              <w:t>Mental Capacity, Professional Judgement and Proportionate Safeguarding</w:t>
            </w:r>
          </w:p>
          <w:p w14:paraId="4C0D4325" w14:textId="77777777" w:rsidR="000621EA" w:rsidRPr="009D7155" w:rsidRDefault="000621EA" w:rsidP="000621EA">
            <w:pPr>
              <w:pStyle w:val="NoSpacing"/>
            </w:pPr>
          </w:p>
          <w:p w14:paraId="33D5BBAF" w14:textId="77777777" w:rsidR="000621EA" w:rsidRPr="009D7155" w:rsidRDefault="000621EA" w:rsidP="000621EA">
            <w:pPr>
              <w:pStyle w:val="NoSpacing"/>
            </w:pPr>
          </w:p>
          <w:p w14:paraId="298DE8DD" w14:textId="77777777" w:rsidR="000621EA" w:rsidRPr="009D7155" w:rsidRDefault="000621EA" w:rsidP="000621EA">
            <w:pPr>
              <w:pStyle w:val="NoSpacing"/>
            </w:pPr>
            <w:r w:rsidRPr="009D7155">
              <w:t xml:space="preserve">Following the initial screening of the safeguarding concern, it became clear that assessment of Individual 1’s capacity in relation to financial decision-making was central to determining proportionate intervention. The Mental Capacity Act 2005 (MCA) provides the legal framework for decision-making in England and Wales for individuals aged sixteen and over who may lack capacity to make specific decisions </w:t>
            </w:r>
            <w:sdt>
              <w:sdtPr>
                <w:id w:val="-1902967457"/>
                <w:citation/>
              </w:sdtPr>
              <w:sdtContent>
                <w:r>
                  <w:fldChar w:fldCharType="begin"/>
                </w:r>
                <w:r>
                  <w:instrText xml:space="preserve"> CITATION UKG052 \l 2057 </w:instrText>
                </w:r>
                <w:r>
                  <w:fldChar w:fldCharType="separate"/>
                </w:r>
                <w:r w:rsidRPr="0035259F">
                  <w:rPr>
                    <w:noProof/>
                  </w:rPr>
                  <w:t>(UK Government, 2005)</w:t>
                </w:r>
                <w:r>
                  <w:fldChar w:fldCharType="end"/>
                </w:r>
              </w:sdtContent>
            </w:sdt>
            <w:r w:rsidRPr="009D7155">
              <w:t>. Capacity is both decision-specific and time-specific, requiring assessment in relation to the matter at hand.</w:t>
            </w:r>
          </w:p>
          <w:p w14:paraId="442B3A48" w14:textId="77777777" w:rsidR="000621EA" w:rsidRPr="009D7155" w:rsidRDefault="000621EA" w:rsidP="000621EA">
            <w:pPr>
              <w:pStyle w:val="NoSpacing"/>
            </w:pPr>
          </w:p>
          <w:p w14:paraId="4967A762" w14:textId="77777777" w:rsidR="000621EA" w:rsidRPr="009D7155" w:rsidRDefault="000621EA" w:rsidP="000621EA">
            <w:pPr>
              <w:pStyle w:val="NoSpacing"/>
            </w:pPr>
            <w:r w:rsidRPr="009D7155">
              <w:t>In this case, the issue was not whether Individual 1 could manage all aspects of daily living, but whether he could understand, retain, weigh and communicate information relating specifically to financial risk and management</w:t>
            </w:r>
            <w:sdt>
              <w:sdtPr>
                <w:id w:val="-1015532951"/>
                <w:citation/>
              </w:sdtPr>
              <w:sdtContent>
                <w:r>
                  <w:fldChar w:fldCharType="begin"/>
                </w:r>
                <w:r>
                  <w:instrText xml:space="preserve"> CITATION UKG052 \l 2057 </w:instrText>
                </w:r>
                <w:r>
                  <w:fldChar w:fldCharType="separate"/>
                </w:r>
                <w:r>
                  <w:rPr>
                    <w:noProof/>
                  </w:rPr>
                  <w:t xml:space="preserve"> </w:t>
                </w:r>
                <w:r w:rsidRPr="0035259F">
                  <w:rPr>
                    <w:noProof/>
                  </w:rPr>
                  <w:t>(UK Government, 2005)</w:t>
                </w:r>
                <w:r>
                  <w:fldChar w:fldCharType="end"/>
                </w:r>
              </w:sdtContent>
            </w:sdt>
            <w:r w:rsidRPr="009D7155">
              <w:t>. The police referral and his earlier disclosure of bank details during telephone contact suggested limited understanding of financial vulnerability. However, the MCA requires a presumption of capacity, meaning that assumptions based solely on diagnosis would have been discriminatory and unlawful</w:t>
            </w:r>
            <w:sdt>
              <w:sdtPr>
                <w:id w:val="-1169170744"/>
                <w:citation/>
              </w:sdtPr>
              <w:sdtContent>
                <w:r>
                  <w:fldChar w:fldCharType="begin"/>
                </w:r>
                <w:r>
                  <w:instrText xml:space="preserve"> CITATION UKG052 \l 2057 </w:instrText>
                </w:r>
                <w:r>
                  <w:fldChar w:fldCharType="separate"/>
                </w:r>
                <w:r>
                  <w:rPr>
                    <w:noProof/>
                  </w:rPr>
                  <w:t xml:space="preserve"> </w:t>
                </w:r>
                <w:r w:rsidRPr="0035259F">
                  <w:rPr>
                    <w:noProof/>
                  </w:rPr>
                  <w:t>(UK Government, 2005)</w:t>
                </w:r>
                <w:r>
                  <w:fldChar w:fldCharType="end"/>
                </w:r>
              </w:sdtContent>
            </w:sdt>
            <w:r w:rsidRPr="009D7155">
              <w:t>.</w:t>
            </w:r>
          </w:p>
          <w:p w14:paraId="288D4287" w14:textId="77777777" w:rsidR="000621EA" w:rsidRPr="009D7155" w:rsidRDefault="000621EA" w:rsidP="000621EA">
            <w:pPr>
              <w:pStyle w:val="NoSpacing"/>
            </w:pPr>
          </w:p>
          <w:p w14:paraId="4E3E0C69" w14:textId="77777777" w:rsidR="000621EA" w:rsidRPr="009D7155" w:rsidRDefault="000621EA" w:rsidP="000621EA">
            <w:pPr>
              <w:pStyle w:val="NoSpacing"/>
            </w:pPr>
            <w:r w:rsidRPr="009D7155">
              <w:t>Prior to conducting the assessment, I ensured that the environment was calm and familiar, meeting in the local library where he had previously engaged in Talking Point discussions. I explained the purpose of the assessment using accessible language and concrete examples. This approach reflects Rogers’ Person-Centred Theory (1951), emphasising empathy, unconditional positive regard and reduction of professional power imbalance</w:t>
            </w:r>
            <w:sdt>
              <w:sdtPr>
                <w:id w:val="-1170788426"/>
                <w:citation/>
              </w:sdtPr>
              <w:sdtContent>
                <w:r>
                  <w:fldChar w:fldCharType="begin"/>
                </w:r>
                <w:r>
                  <w:instrText xml:space="preserve"> CITATION Rog51 \l 2057 </w:instrText>
                </w:r>
                <w:r>
                  <w:fldChar w:fldCharType="separate"/>
                </w:r>
                <w:r>
                  <w:rPr>
                    <w:noProof/>
                  </w:rPr>
                  <w:t xml:space="preserve"> </w:t>
                </w:r>
                <w:r w:rsidRPr="0035259F">
                  <w:rPr>
                    <w:noProof/>
                  </w:rPr>
                  <w:t>(Rogers, 1951)</w:t>
                </w:r>
                <w:r>
                  <w:fldChar w:fldCharType="end"/>
                </w:r>
              </w:sdtContent>
            </w:sdt>
            <w:r w:rsidRPr="009D7155">
              <w:t>. Building rapport was not merely relational; it was essential to enable supported decision-making in line with the second principle of the MCA, which requires practitioners to take all practicable steps to support an individual to make their own decision</w:t>
            </w:r>
            <w:sdt>
              <w:sdtPr>
                <w:id w:val="-1612430589"/>
                <w:citation/>
              </w:sdtPr>
              <w:sdtContent>
                <w:r>
                  <w:fldChar w:fldCharType="begin"/>
                </w:r>
                <w:r>
                  <w:instrText xml:space="preserve"> CITATION UKG052 \l 2057 </w:instrText>
                </w:r>
                <w:r>
                  <w:fldChar w:fldCharType="separate"/>
                </w:r>
                <w:r>
                  <w:rPr>
                    <w:noProof/>
                  </w:rPr>
                  <w:t xml:space="preserve"> </w:t>
                </w:r>
                <w:r w:rsidRPr="0035259F">
                  <w:rPr>
                    <w:noProof/>
                  </w:rPr>
                  <w:t>(UK Government, 2005)</w:t>
                </w:r>
                <w:r>
                  <w:fldChar w:fldCharType="end"/>
                </w:r>
              </w:sdtContent>
            </w:sdt>
            <w:r w:rsidRPr="009D7155">
              <w:t>.</w:t>
            </w:r>
          </w:p>
          <w:p w14:paraId="3D6EEA0B" w14:textId="77777777" w:rsidR="000621EA" w:rsidRPr="009D7155" w:rsidRDefault="000621EA" w:rsidP="000621EA">
            <w:pPr>
              <w:pStyle w:val="NoSpacing"/>
            </w:pPr>
          </w:p>
          <w:p w14:paraId="63156FED" w14:textId="77777777" w:rsidR="000621EA" w:rsidRPr="009D7155" w:rsidRDefault="000621EA" w:rsidP="000621EA">
            <w:pPr>
              <w:pStyle w:val="NoSpacing"/>
            </w:pPr>
            <w:r w:rsidRPr="009D7155">
              <w:t xml:space="preserve">During the assessment, I explored his understanding of budgeting, bank security, fraud and recognising financial manipulation. While he demonstrated basic understanding of everyday spending, he struggled to weigh up future financial consequences or identify risks associated with sharing bank details. He was able to repeat information immediately after explanation but struggled to apply it hypothetically, indicating difficulty with the </w:t>
            </w:r>
            <w:r>
              <w:t>‘</w:t>
            </w:r>
            <w:r w:rsidRPr="009D7155">
              <w:t>weighing</w:t>
            </w:r>
            <w:r>
              <w:t>’</w:t>
            </w:r>
            <w:r w:rsidRPr="009D7155">
              <w:t xml:space="preserve"> component of the functional test under the MCA</w:t>
            </w:r>
            <w:sdt>
              <w:sdtPr>
                <w:id w:val="-1203624146"/>
                <w:citation/>
              </w:sdtPr>
              <w:sdtContent>
                <w:r>
                  <w:fldChar w:fldCharType="begin"/>
                </w:r>
                <w:r>
                  <w:instrText xml:space="preserve"> CITATION UKG052 \l 2057 </w:instrText>
                </w:r>
                <w:r>
                  <w:fldChar w:fldCharType="separate"/>
                </w:r>
                <w:r>
                  <w:rPr>
                    <w:noProof/>
                  </w:rPr>
                  <w:t xml:space="preserve"> </w:t>
                </w:r>
                <w:r w:rsidRPr="0035259F">
                  <w:rPr>
                    <w:noProof/>
                  </w:rPr>
                  <w:t>(UK Government, 2005)</w:t>
                </w:r>
                <w:r>
                  <w:fldChar w:fldCharType="end"/>
                </w:r>
              </w:sdtContent>
            </w:sdt>
            <w:r w:rsidRPr="009D7155">
              <w:t>.</w:t>
            </w:r>
          </w:p>
          <w:p w14:paraId="4873BF53" w14:textId="77777777" w:rsidR="000621EA" w:rsidRPr="009D7155" w:rsidRDefault="000621EA" w:rsidP="000621EA">
            <w:pPr>
              <w:pStyle w:val="NoSpacing"/>
            </w:pPr>
          </w:p>
          <w:p w14:paraId="1B7FA008" w14:textId="77777777" w:rsidR="000621EA" w:rsidRPr="009D7155" w:rsidRDefault="000621EA" w:rsidP="000621EA">
            <w:pPr>
              <w:pStyle w:val="NoSpacing"/>
            </w:pPr>
            <w:r w:rsidRPr="009D7155">
              <w:t>This presented a professional dilemma. Individual 1 expressed a strong desire to remain independent and manage his own money. Empowerment Theory emphasises participation, self-determination and control</w:t>
            </w:r>
            <w:sdt>
              <w:sdtPr>
                <w:id w:val="1456375365"/>
                <w:citation/>
              </w:sdtPr>
              <w:sdtContent>
                <w:r>
                  <w:fldChar w:fldCharType="begin"/>
                </w:r>
                <w:r>
                  <w:instrText xml:space="preserve"> CITATION Ada08 \l 2057 </w:instrText>
                </w:r>
                <w:r>
                  <w:fldChar w:fldCharType="separate"/>
                </w:r>
                <w:r>
                  <w:rPr>
                    <w:noProof/>
                  </w:rPr>
                  <w:t xml:space="preserve"> </w:t>
                </w:r>
                <w:r w:rsidRPr="0035259F">
                  <w:rPr>
                    <w:noProof/>
                  </w:rPr>
                  <w:t>(Adams, 2008)</w:t>
                </w:r>
                <w:r>
                  <w:fldChar w:fldCharType="end"/>
                </w:r>
              </w:sdtContent>
            </w:sdt>
            <w:r w:rsidRPr="009D7155">
              <w:t>. Removing financial autonomy risked reinforcing dependency and diminishing confidence. However, the evidence indicated that he lacked capacity to manage finances safely without significant risk of further exploitation.</w:t>
            </w:r>
          </w:p>
          <w:p w14:paraId="0A2B1452" w14:textId="77777777" w:rsidR="000621EA" w:rsidRPr="009D7155" w:rsidRDefault="000621EA" w:rsidP="000621EA">
            <w:pPr>
              <w:pStyle w:val="NoSpacing"/>
            </w:pPr>
          </w:p>
          <w:p w14:paraId="31B75738" w14:textId="77777777" w:rsidR="000621EA" w:rsidRPr="009D7155" w:rsidRDefault="000621EA" w:rsidP="000621EA">
            <w:pPr>
              <w:pStyle w:val="NoSpacing"/>
            </w:pPr>
            <w:r w:rsidRPr="009D7155">
              <w:t>The MCA requires that any intervention be in the person’s best interests and represent the least restrictive option</w:t>
            </w:r>
            <w:sdt>
              <w:sdtPr>
                <w:id w:val="428321975"/>
                <w:citation/>
              </w:sdtPr>
              <w:sdtContent>
                <w:r>
                  <w:fldChar w:fldCharType="begin"/>
                </w:r>
                <w:r>
                  <w:instrText xml:space="preserve"> CITATION UKG07 \l 2057 </w:instrText>
                </w:r>
                <w:r>
                  <w:fldChar w:fldCharType="separate"/>
                </w:r>
                <w:r>
                  <w:rPr>
                    <w:noProof/>
                  </w:rPr>
                  <w:t xml:space="preserve"> </w:t>
                </w:r>
                <w:r w:rsidRPr="0035259F">
                  <w:rPr>
                    <w:noProof/>
                  </w:rPr>
                  <w:t>(UK Government, 2007)</w:t>
                </w:r>
                <w:r>
                  <w:fldChar w:fldCharType="end"/>
                </w:r>
              </w:sdtContent>
            </w:sdt>
            <w:r w:rsidRPr="009D7155">
              <w:t xml:space="preserve">. A key consideration was whether alternatives to formal </w:t>
            </w:r>
            <w:proofErr w:type="spellStart"/>
            <w:r w:rsidRPr="009D7155">
              <w:t>appointeeship</w:t>
            </w:r>
            <w:proofErr w:type="spellEnd"/>
            <w:r w:rsidRPr="009D7155">
              <w:t xml:space="preserve"> could sufficiently mitigate risk. Options considered included increased budgeting support, informal oversight by the charity shop manager, or short-term financial education. However, reliance on informal networks risked boundary confusion and lacked formal legal safeguards</w:t>
            </w:r>
            <w:sdt>
              <w:sdtPr>
                <w:id w:val="-327204566"/>
                <w:citation/>
              </w:sdtPr>
              <w:sdtContent>
                <w:r>
                  <w:fldChar w:fldCharType="begin"/>
                </w:r>
                <w:r>
                  <w:instrText xml:space="preserve"> CITATION UKG07 \l 2057 </w:instrText>
                </w:r>
                <w:r>
                  <w:fldChar w:fldCharType="separate"/>
                </w:r>
                <w:r>
                  <w:rPr>
                    <w:noProof/>
                  </w:rPr>
                  <w:t xml:space="preserve"> </w:t>
                </w:r>
                <w:r w:rsidRPr="0035259F">
                  <w:rPr>
                    <w:noProof/>
                  </w:rPr>
                  <w:t>(UK Government, 2007)</w:t>
                </w:r>
                <w:r>
                  <w:fldChar w:fldCharType="end"/>
                </w:r>
              </w:sdtContent>
            </w:sdt>
            <w:r w:rsidRPr="009D7155">
              <w:t>. Given his demonstrated vulnerability and the prior exploitation, these measures were judged insufficiently protective.</w:t>
            </w:r>
          </w:p>
          <w:p w14:paraId="6199D97B" w14:textId="77777777" w:rsidR="000621EA" w:rsidRPr="009D7155" w:rsidRDefault="000621EA" w:rsidP="000621EA">
            <w:pPr>
              <w:pStyle w:val="NoSpacing"/>
            </w:pPr>
          </w:p>
          <w:p w14:paraId="6639313A" w14:textId="77777777" w:rsidR="000621EA" w:rsidRPr="009D7155" w:rsidRDefault="000621EA" w:rsidP="000621EA">
            <w:pPr>
              <w:pStyle w:val="NoSpacing"/>
            </w:pPr>
            <w:r w:rsidRPr="009D7155">
              <w:t xml:space="preserve">Following the outcome of the Mental Capacity Assessment, a referral was made to </w:t>
            </w:r>
            <w:r>
              <w:t>the corporate</w:t>
            </w:r>
            <w:r w:rsidRPr="009D7155">
              <w:t xml:space="preserve"> </w:t>
            </w:r>
            <w:r>
              <w:t>financial office</w:t>
            </w:r>
            <w:r w:rsidRPr="009D7155">
              <w:t xml:space="preserve"> to request corporate </w:t>
            </w:r>
            <w:proofErr w:type="spellStart"/>
            <w:r w:rsidRPr="009D7155">
              <w:t>appointeeship</w:t>
            </w:r>
            <w:proofErr w:type="spellEnd"/>
            <w:r w:rsidRPr="009D7155">
              <w:t xml:space="preserve"> under Department for Work and Pensions regulations. Within </w:t>
            </w:r>
            <w:r>
              <w:t>XXX</w:t>
            </w:r>
            <w:r w:rsidRPr="009D7155">
              <w:t xml:space="preserve">, the local authority may act as a corporate appointee where an individual lacks capacity to manage their benefits safely. This ensures income is administered transparently, essential living costs are prioritised, and financial records are maintained in accordance with statutory requirements </w:t>
            </w:r>
            <w:sdt>
              <w:sdtPr>
                <w:id w:val="-551775057"/>
                <w:citation/>
              </w:sdtPr>
              <w:sdtContent>
                <w:r>
                  <w:fldChar w:fldCharType="begin"/>
                </w:r>
                <w:r>
                  <w:instrText xml:space="preserve"> CITATION XXX231 \l 2057 </w:instrText>
                </w:r>
                <w:r>
                  <w:fldChar w:fldCharType="separate"/>
                </w:r>
                <w:r w:rsidRPr="0035259F">
                  <w:rPr>
                    <w:noProof/>
                  </w:rPr>
                  <w:t>(XXX County Council, 2023)</w:t>
                </w:r>
                <w:r>
                  <w:fldChar w:fldCharType="end"/>
                </w:r>
              </w:sdtContent>
            </w:sdt>
            <w:r w:rsidRPr="009D7155">
              <w:t xml:space="preserve">. Establishing </w:t>
            </w:r>
            <w:proofErr w:type="spellStart"/>
            <w:r w:rsidRPr="009D7155">
              <w:t>appointeeship</w:t>
            </w:r>
            <w:proofErr w:type="spellEnd"/>
            <w:r w:rsidRPr="009D7155">
              <w:t xml:space="preserve"> provided a legally recognised safeguard while allowing Individual 1 to retain </w:t>
            </w:r>
            <w:r w:rsidRPr="009D7155">
              <w:lastRenderedPageBreak/>
              <w:t>autonomy in other areas of daily life. The decision was therefore considered proportionate and consistent with the least restrictive principle of the MCA.</w:t>
            </w:r>
          </w:p>
          <w:p w14:paraId="3B226D57" w14:textId="77777777" w:rsidR="000621EA" w:rsidRPr="009D7155" w:rsidRDefault="000621EA" w:rsidP="000621EA">
            <w:pPr>
              <w:pStyle w:val="NoSpacing"/>
            </w:pPr>
          </w:p>
          <w:p w14:paraId="32C97255" w14:textId="77777777" w:rsidR="000621EA" w:rsidRPr="009D7155" w:rsidRDefault="000621EA" w:rsidP="000621EA">
            <w:pPr>
              <w:pStyle w:val="NoSpacing"/>
            </w:pPr>
            <w:r w:rsidRPr="009D7155">
              <w:t>Importantly, although financial abuse had occurred, a full safeguarding enquiry under Part 7 of the Social Services and Well-being (Wales) Act 2014 was not initiated</w:t>
            </w:r>
            <w:sdt>
              <w:sdtPr>
                <w:id w:val="-813093561"/>
                <w:citation/>
              </w:sdtPr>
              <w:sdtContent>
                <w:r>
                  <w:fldChar w:fldCharType="begin"/>
                </w:r>
                <w:r>
                  <w:instrText xml:space="preserve"> CITATION Wel144 \l 2057 </w:instrText>
                </w:r>
                <w:r>
                  <w:fldChar w:fldCharType="separate"/>
                </w:r>
                <w:r>
                  <w:rPr>
                    <w:noProof/>
                  </w:rPr>
                  <w:t xml:space="preserve"> </w:t>
                </w:r>
                <w:r w:rsidRPr="00A87700">
                  <w:rPr>
                    <w:noProof/>
                  </w:rPr>
                  <w:t>(Welsh Government, 2014)</w:t>
                </w:r>
                <w:r>
                  <w:fldChar w:fldCharType="end"/>
                </w:r>
              </w:sdtContent>
            </w:sdt>
            <w:r w:rsidRPr="009D7155">
              <w:t>. This required careful professional judgement. The alleged perpetrator was no longer in contact, the financial loss had ceased, and no immediate ongoing risk was identified. Escalating to a multi-agency safeguarding enquiry risked unnecessary intrusion and potential distress without clear evidence of continued harm. Instead, the intervention aligned with Part 2 of the Act, emphasising prevention and early intervention</w:t>
            </w:r>
            <w:sdt>
              <w:sdtPr>
                <w:id w:val="1880516605"/>
                <w:citation/>
              </w:sdtPr>
              <w:sdtContent>
                <w:r>
                  <w:fldChar w:fldCharType="begin"/>
                </w:r>
                <w:r>
                  <w:instrText xml:space="preserve"> CITATION Wel143 \l 2057 </w:instrText>
                </w:r>
                <w:r>
                  <w:fldChar w:fldCharType="separate"/>
                </w:r>
                <w:r>
                  <w:rPr>
                    <w:noProof/>
                  </w:rPr>
                  <w:t xml:space="preserve"> </w:t>
                </w:r>
                <w:r w:rsidRPr="00A87700">
                  <w:rPr>
                    <w:noProof/>
                  </w:rPr>
                  <w:t>(Welsh Government, 2014)</w:t>
                </w:r>
                <w:r>
                  <w:fldChar w:fldCharType="end"/>
                </w:r>
              </w:sdtContent>
            </w:sdt>
            <w:r w:rsidRPr="009D7155">
              <w:t>.</w:t>
            </w:r>
          </w:p>
          <w:p w14:paraId="7533E48B" w14:textId="77777777" w:rsidR="000621EA" w:rsidRPr="009D7155" w:rsidRDefault="000621EA" w:rsidP="000621EA">
            <w:pPr>
              <w:pStyle w:val="NoSpacing"/>
            </w:pPr>
          </w:p>
          <w:p w14:paraId="62D39524" w14:textId="77777777" w:rsidR="000621EA" w:rsidRPr="009D7155" w:rsidRDefault="000621EA" w:rsidP="000621EA">
            <w:pPr>
              <w:pStyle w:val="NoSpacing"/>
            </w:pPr>
            <w:r w:rsidRPr="009D7155">
              <w:t>This decision illustrates the complexity of safeguarding thresholds. Safeguarding is not solely reactive to harm but requires proportionality, contextual analysis and careful balancing of autonomy and protection. Over-intervention can be as disempowering as under-intervention. By applying analytical judgement rather than procedural reflex, I sought to ensure that intervention strengthened protection while preserving dignity and independence.</w:t>
            </w:r>
          </w:p>
          <w:p w14:paraId="6A0D6E9A" w14:textId="77777777" w:rsidR="000621EA" w:rsidRPr="00367498" w:rsidRDefault="000621EA" w:rsidP="000621EA">
            <w:pPr>
              <w:pStyle w:val="NoSpacing"/>
            </w:pPr>
          </w:p>
          <w:p w14:paraId="2058F2B3" w14:textId="77777777" w:rsidR="000621EA" w:rsidRPr="00367498" w:rsidRDefault="000621EA" w:rsidP="000621EA">
            <w:pPr>
              <w:pStyle w:val="NoSpacing"/>
            </w:pPr>
          </w:p>
          <w:p w14:paraId="0F636DF5" w14:textId="77777777" w:rsidR="000621EA" w:rsidRPr="00E1117C" w:rsidRDefault="000621EA" w:rsidP="000621EA">
            <w:pPr>
              <w:pStyle w:val="NoSpacing"/>
              <w:rPr>
                <w:i/>
                <w:iCs/>
              </w:rPr>
            </w:pPr>
            <w:r>
              <w:rPr>
                <w:i/>
                <w:iCs/>
              </w:rPr>
              <w:t xml:space="preserve">Section Word Count: </w:t>
            </w:r>
            <w:r w:rsidRPr="00E1117C">
              <w:rPr>
                <w:i/>
                <w:iCs/>
              </w:rPr>
              <w:t>720</w:t>
            </w:r>
          </w:p>
          <w:p w14:paraId="747E1AEE" w14:textId="77777777" w:rsidR="000621EA" w:rsidRDefault="000621EA" w:rsidP="000621EA">
            <w:pPr>
              <w:pStyle w:val="NoSpacing"/>
            </w:pPr>
          </w:p>
          <w:p w14:paraId="24DC0EE1" w14:textId="77777777" w:rsidR="000621EA" w:rsidRDefault="000621EA" w:rsidP="000621EA">
            <w:pPr>
              <w:pStyle w:val="NoSpacing"/>
            </w:pPr>
          </w:p>
          <w:p w14:paraId="29338F4D" w14:textId="77777777" w:rsidR="000621EA" w:rsidRPr="00367498" w:rsidRDefault="000621EA" w:rsidP="000621EA">
            <w:pPr>
              <w:pStyle w:val="NoSpacing"/>
            </w:pPr>
          </w:p>
          <w:p w14:paraId="3A0D5457" w14:textId="77777777" w:rsidR="000621EA" w:rsidRPr="009D7155" w:rsidRDefault="000621EA" w:rsidP="000621EA">
            <w:pPr>
              <w:pStyle w:val="NoSpacing"/>
            </w:pPr>
            <w:r w:rsidRPr="009D7155">
              <w:rPr>
                <w:b/>
                <w:bCs/>
              </w:rPr>
              <w:t>Multi-Agency Working, Systems and Collaborative Practice</w:t>
            </w:r>
          </w:p>
          <w:p w14:paraId="2C695F81" w14:textId="77777777" w:rsidR="000621EA" w:rsidRPr="009D7155" w:rsidRDefault="000621EA" w:rsidP="000621EA">
            <w:pPr>
              <w:pStyle w:val="NoSpacing"/>
            </w:pPr>
          </w:p>
          <w:p w14:paraId="61819FCB" w14:textId="77777777" w:rsidR="000621EA" w:rsidRPr="009D7155" w:rsidRDefault="000621EA" w:rsidP="000621EA">
            <w:pPr>
              <w:pStyle w:val="NoSpacing"/>
            </w:pPr>
          </w:p>
          <w:p w14:paraId="44DC16F9" w14:textId="77777777" w:rsidR="000621EA" w:rsidRPr="009D7155" w:rsidRDefault="000621EA" w:rsidP="000621EA">
            <w:pPr>
              <w:pStyle w:val="NoSpacing"/>
            </w:pPr>
            <w:r w:rsidRPr="009D7155">
              <w:t>Safeguarding practice rarely occurs in isolation. Bronfenbrenner’s Systems Theory provides a useful framework for understanding how Individual 1’s vulnerability was shaped by interacting systems: personal, relational, community and structural</w:t>
            </w:r>
            <w:sdt>
              <w:sdtPr>
                <w:id w:val="-35745307"/>
                <w:citation/>
              </w:sdtPr>
              <w:sdtContent>
                <w:r>
                  <w:fldChar w:fldCharType="begin"/>
                </w:r>
                <w:r>
                  <w:instrText xml:space="preserve"> CITATION Bro79 \l 2057 </w:instrText>
                </w:r>
                <w:r>
                  <w:fldChar w:fldCharType="separate"/>
                </w:r>
                <w:r>
                  <w:rPr>
                    <w:noProof/>
                  </w:rPr>
                  <w:t xml:space="preserve"> </w:t>
                </w:r>
                <w:r w:rsidRPr="00A87700">
                  <w:rPr>
                    <w:noProof/>
                  </w:rPr>
                  <w:t>(Bronfenbrenner, 1979)</w:t>
                </w:r>
                <w:r>
                  <w:fldChar w:fldCharType="end"/>
                </w:r>
              </w:sdtContent>
            </w:sdt>
            <w:r w:rsidRPr="009D7155">
              <w:t>. Viewing the case through this ecological lens highlights that financial exploitation was not solely an individual issue but the product of intersecting vulnerabilities.</w:t>
            </w:r>
          </w:p>
          <w:p w14:paraId="4A6A1B55" w14:textId="77777777" w:rsidR="000621EA" w:rsidRPr="009D7155" w:rsidRDefault="000621EA" w:rsidP="000621EA">
            <w:pPr>
              <w:pStyle w:val="NoSpacing"/>
            </w:pPr>
          </w:p>
          <w:p w14:paraId="63A773A7" w14:textId="77777777" w:rsidR="000621EA" w:rsidRPr="009D7155" w:rsidRDefault="000621EA" w:rsidP="000621EA">
            <w:pPr>
              <w:pStyle w:val="NoSpacing"/>
            </w:pPr>
            <w:r w:rsidRPr="009D7155">
              <w:t>At the micro level, his learning disability affected financial comprehension and risk recognition</w:t>
            </w:r>
            <w:sdt>
              <w:sdtPr>
                <w:id w:val="-2136706696"/>
                <w:citation/>
              </w:sdtPr>
              <w:sdtContent>
                <w:r>
                  <w:fldChar w:fldCharType="begin"/>
                </w:r>
                <w:r>
                  <w:instrText xml:space="preserve"> CITATION Bro79 \l 2057 </w:instrText>
                </w:r>
                <w:r>
                  <w:fldChar w:fldCharType="separate"/>
                </w:r>
                <w:r>
                  <w:rPr>
                    <w:noProof/>
                  </w:rPr>
                  <w:t xml:space="preserve"> </w:t>
                </w:r>
                <w:r w:rsidRPr="00A87700">
                  <w:rPr>
                    <w:noProof/>
                  </w:rPr>
                  <w:t>(Bronfenbrenner, 1979)</w:t>
                </w:r>
                <w:r>
                  <w:fldChar w:fldCharType="end"/>
                </w:r>
              </w:sdtContent>
            </w:sdt>
            <w:r w:rsidRPr="009D7155">
              <w:t xml:space="preserve">. At the </w:t>
            </w:r>
            <w:proofErr w:type="spellStart"/>
            <w:r w:rsidRPr="009D7155">
              <w:t>meso</w:t>
            </w:r>
            <w:proofErr w:type="spellEnd"/>
            <w:r w:rsidRPr="009D7155">
              <w:t xml:space="preserve"> level, separation from his ex-wife reduced informal support and increased social isolation</w:t>
            </w:r>
            <w:sdt>
              <w:sdtPr>
                <w:id w:val="1694030416"/>
                <w:citation/>
              </w:sdtPr>
              <w:sdtContent>
                <w:r>
                  <w:fldChar w:fldCharType="begin"/>
                </w:r>
                <w:r>
                  <w:instrText xml:space="preserve"> CITATION Bro79 \l 2057 </w:instrText>
                </w:r>
                <w:r>
                  <w:fldChar w:fldCharType="separate"/>
                </w:r>
                <w:r>
                  <w:rPr>
                    <w:noProof/>
                  </w:rPr>
                  <w:t xml:space="preserve"> </w:t>
                </w:r>
                <w:r w:rsidRPr="00A87700">
                  <w:rPr>
                    <w:noProof/>
                  </w:rPr>
                  <w:t>(Bronfenbrenner, 1979)</w:t>
                </w:r>
                <w:r>
                  <w:fldChar w:fldCharType="end"/>
                </w:r>
              </w:sdtContent>
            </w:sdt>
            <w:r w:rsidRPr="009D7155">
              <w:t xml:space="preserve">. At the </w:t>
            </w:r>
            <w:proofErr w:type="spellStart"/>
            <w:r w:rsidRPr="009D7155">
              <w:t>exo</w:t>
            </w:r>
            <w:proofErr w:type="spellEnd"/>
            <w:r w:rsidRPr="009D7155">
              <w:t xml:space="preserve"> level, socio-economic deprivation within his locality limited access to protective community resources</w:t>
            </w:r>
            <w:sdt>
              <w:sdtPr>
                <w:id w:val="77714066"/>
                <w:citation/>
              </w:sdtPr>
              <w:sdtContent>
                <w:r>
                  <w:fldChar w:fldCharType="begin"/>
                </w:r>
                <w:r>
                  <w:instrText xml:space="preserve"> CITATION Bro79 \l 2057 </w:instrText>
                </w:r>
                <w:r>
                  <w:fldChar w:fldCharType="separate"/>
                </w:r>
                <w:r>
                  <w:rPr>
                    <w:noProof/>
                  </w:rPr>
                  <w:t xml:space="preserve"> </w:t>
                </w:r>
                <w:r w:rsidRPr="00A87700">
                  <w:rPr>
                    <w:noProof/>
                  </w:rPr>
                  <w:t>(Bronfenbrenner, 1979)</w:t>
                </w:r>
                <w:r>
                  <w:fldChar w:fldCharType="end"/>
                </w:r>
              </w:sdtContent>
            </w:sdt>
            <w:r w:rsidRPr="009D7155">
              <w:t>. At the macro level, legislative and policy frameworks governed professional intervention, shaping threshold decisions and safeguarding responses</w:t>
            </w:r>
            <w:sdt>
              <w:sdtPr>
                <w:id w:val="436338915"/>
                <w:citation/>
              </w:sdtPr>
              <w:sdtContent>
                <w:r>
                  <w:fldChar w:fldCharType="begin"/>
                </w:r>
                <w:r>
                  <w:instrText xml:space="preserve"> CITATION Bro79 \l 2057 </w:instrText>
                </w:r>
                <w:r>
                  <w:fldChar w:fldCharType="separate"/>
                </w:r>
                <w:r>
                  <w:rPr>
                    <w:noProof/>
                  </w:rPr>
                  <w:t xml:space="preserve"> </w:t>
                </w:r>
                <w:r w:rsidRPr="00A87700">
                  <w:rPr>
                    <w:noProof/>
                  </w:rPr>
                  <w:t>(Bronfenbrenner, 1979)</w:t>
                </w:r>
                <w:r>
                  <w:fldChar w:fldCharType="end"/>
                </w:r>
              </w:sdtContent>
            </w:sdt>
            <w:r w:rsidRPr="009D7155">
              <w:t>.</w:t>
            </w:r>
          </w:p>
          <w:p w14:paraId="2A0CBD76" w14:textId="77777777" w:rsidR="000621EA" w:rsidRPr="009D7155" w:rsidRDefault="000621EA" w:rsidP="000621EA">
            <w:pPr>
              <w:pStyle w:val="NoSpacing"/>
            </w:pPr>
          </w:p>
          <w:p w14:paraId="45CD3202" w14:textId="77777777" w:rsidR="000621EA" w:rsidRPr="009D7155" w:rsidRDefault="000621EA" w:rsidP="000621EA">
            <w:pPr>
              <w:pStyle w:val="NoSpacing"/>
            </w:pPr>
            <w:r w:rsidRPr="009D7155">
              <w:t xml:space="preserve">Following the police referral, the safeguarding concern was considered in line with the Wales Safeguarding Procedures and </w:t>
            </w:r>
            <w:r>
              <w:t>XXX</w:t>
            </w:r>
            <w:r w:rsidRPr="009D7155">
              <w:t xml:space="preserve"> County Council’s Safeguarding Adults Policy </w:t>
            </w:r>
            <w:sdt>
              <w:sdtPr>
                <w:id w:val="1358706040"/>
                <w:citation/>
              </w:sdtPr>
              <w:sdtContent>
                <w:r>
                  <w:fldChar w:fldCharType="begin"/>
                </w:r>
                <w:r>
                  <w:instrText xml:space="preserve"> CITATION Soc19 \l 2057 </w:instrText>
                </w:r>
                <w:r>
                  <w:fldChar w:fldCharType="separate"/>
                </w:r>
                <w:r w:rsidRPr="00A87700">
                  <w:rPr>
                    <w:noProof/>
                  </w:rPr>
                  <w:t>(Social Care Wales, 2019)</w:t>
                </w:r>
                <w:r>
                  <w:fldChar w:fldCharType="end"/>
                </w:r>
              </w:sdtContent>
            </w:sdt>
            <w:r>
              <w:t xml:space="preserve">, </w:t>
            </w:r>
            <w:sdt>
              <w:sdtPr>
                <w:id w:val="-1224208234"/>
                <w:citation/>
              </w:sdtPr>
              <w:sdtContent>
                <w:r>
                  <w:fldChar w:fldCharType="begin"/>
                </w:r>
                <w:r>
                  <w:instrText xml:space="preserve"> CITATION XXX23 \l 2057 </w:instrText>
                </w:r>
                <w:r>
                  <w:fldChar w:fldCharType="separate"/>
                </w:r>
                <w:r w:rsidRPr="00A87700">
                  <w:rPr>
                    <w:noProof/>
                  </w:rPr>
                  <w:t>(XXX County Council, 2023)</w:t>
                </w:r>
                <w:r>
                  <w:fldChar w:fldCharType="end"/>
                </w:r>
              </w:sdtContent>
            </w:sdt>
            <w:r w:rsidRPr="009D7155">
              <w:t xml:space="preserve">. Within </w:t>
            </w:r>
            <w:r>
              <w:t>the county</w:t>
            </w:r>
            <w:r w:rsidRPr="009D7155">
              <w:t xml:space="preserve">, safeguarding referrals are screened by the safeguarding team to determine whether the threshold for a Section 126 enquiry under Part 7 of the </w:t>
            </w:r>
            <w:r>
              <w:t>SSWBA is met</w:t>
            </w:r>
            <w:sdt>
              <w:sdtPr>
                <w:id w:val="1198981696"/>
                <w:citation/>
              </w:sdtPr>
              <w:sdtContent>
                <w:r>
                  <w:fldChar w:fldCharType="begin"/>
                </w:r>
                <w:r>
                  <w:instrText xml:space="preserve"> CITATION Wel143 \l 2057 </w:instrText>
                </w:r>
                <w:r>
                  <w:fldChar w:fldCharType="separate"/>
                </w:r>
                <w:r>
                  <w:rPr>
                    <w:noProof/>
                  </w:rPr>
                  <w:t xml:space="preserve"> </w:t>
                </w:r>
                <w:r w:rsidRPr="00A87700">
                  <w:rPr>
                    <w:noProof/>
                  </w:rPr>
                  <w:t>(Welsh Government, 2014)</w:t>
                </w:r>
                <w:r>
                  <w:fldChar w:fldCharType="end"/>
                </w:r>
              </w:sdtContent>
            </w:sdt>
            <w:r w:rsidRPr="009D7155">
              <w:t>. Although financial abuse had occurred, the absence of ongoing contact with the alleged perpetrator and the police decision to take no further action informed the professional judgement that preventative intervention under Part 2 of the Act was proportionate</w:t>
            </w:r>
            <w:sdt>
              <w:sdtPr>
                <w:id w:val="355938120"/>
                <w:citation/>
              </w:sdtPr>
              <w:sdtContent>
                <w:r>
                  <w:fldChar w:fldCharType="begin"/>
                </w:r>
                <w:r>
                  <w:instrText xml:space="preserve"> CITATION Wel143 \l 2057 </w:instrText>
                </w:r>
                <w:r>
                  <w:fldChar w:fldCharType="separate"/>
                </w:r>
                <w:r>
                  <w:rPr>
                    <w:noProof/>
                  </w:rPr>
                  <w:t xml:space="preserve"> </w:t>
                </w:r>
                <w:r w:rsidRPr="00A87700">
                  <w:rPr>
                    <w:noProof/>
                  </w:rPr>
                  <w:t>(Welsh Government, 2014)</w:t>
                </w:r>
                <w:r>
                  <w:fldChar w:fldCharType="end"/>
                </w:r>
              </w:sdtContent>
            </w:sdt>
            <w:r w:rsidRPr="009D7155">
              <w:t xml:space="preserve">. This reflects the structured decision-making process embedded within </w:t>
            </w:r>
            <w:r>
              <w:t>XXX</w:t>
            </w:r>
            <w:r w:rsidRPr="009D7155">
              <w:t>’s safeguarding framework, ensuring consistency, accountability and proportionality rather than automatic escalation</w:t>
            </w:r>
            <w:sdt>
              <w:sdtPr>
                <w:id w:val="-1746104645"/>
                <w:citation/>
              </w:sdtPr>
              <w:sdtContent>
                <w:r>
                  <w:fldChar w:fldCharType="begin"/>
                </w:r>
                <w:r>
                  <w:instrText xml:space="preserve"> CITATION XXX23 \l 2057 </w:instrText>
                </w:r>
                <w:r>
                  <w:fldChar w:fldCharType="separate"/>
                </w:r>
                <w:r>
                  <w:rPr>
                    <w:noProof/>
                  </w:rPr>
                  <w:t xml:space="preserve"> </w:t>
                </w:r>
                <w:r w:rsidRPr="00A87700">
                  <w:rPr>
                    <w:noProof/>
                  </w:rPr>
                  <w:t>(XXX County Council, 2023)</w:t>
                </w:r>
                <w:r>
                  <w:fldChar w:fldCharType="end"/>
                </w:r>
              </w:sdtContent>
            </w:sdt>
            <w:r w:rsidRPr="009D7155">
              <w:t>.</w:t>
            </w:r>
          </w:p>
          <w:p w14:paraId="6C043DE8" w14:textId="77777777" w:rsidR="000621EA" w:rsidRPr="009D7155" w:rsidRDefault="000621EA" w:rsidP="000621EA">
            <w:pPr>
              <w:pStyle w:val="NoSpacing"/>
            </w:pPr>
          </w:p>
          <w:p w14:paraId="79C7DC8C" w14:textId="77777777" w:rsidR="000621EA" w:rsidRPr="009D7155" w:rsidRDefault="000621EA" w:rsidP="000621EA">
            <w:pPr>
              <w:pStyle w:val="NoSpacing"/>
            </w:pPr>
            <w:r w:rsidRPr="009D7155">
              <w:lastRenderedPageBreak/>
              <w:t xml:space="preserve">Collaboration with the police, Talking Point services, </w:t>
            </w:r>
            <w:r>
              <w:t>XXX</w:t>
            </w:r>
            <w:r w:rsidRPr="009D7155">
              <w:t xml:space="preserve">’s Financial </w:t>
            </w:r>
            <w:r>
              <w:t>Office</w:t>
            </w:r>
            <w:r w:rsidRPr="009D7155">
              <w:t xml:space="preserve">, and the charity shop manager formed part of a coordinated response. Information sharing throughout the case followed Welsh Government Information Sharing Guidance and </w:t>
            </w:r>
            <w:r>
              <w:t>XXX</w:t>
            </w:r>
            <w:r w:rsidRPr="009D7155">
              <w:t xml:space="preserve"> County Council’s internal safeguarding and data protection policies</w:t>
            </w:r>
            <w:sdt>
              <w:sdtPr>
                <w:id w:val="-1156758324"/>
                <w:citation/>
              </w:sdtPr>
              <w:sdtContent>
                <w:r>
                  <w:fldChar w:fldCharType="begin"/>
                </w:r>
                <w:r>
                  <w:instrText xml:space="preserve"> CITATION Wel21 \l 2057 </w:instrText>
                </w:r>
                <w:r>
                  <w:fldChar w:fldCharType="separate"/>
                </w:r>
                <w:r>
                  <w:rPr>
                    <w:noProof/>
                  </w:rPr>
                  <w:t xml:space="preserve"> </w:t>
                </w:r>
                <w:r w:rsidRPr="00A87700">
                  <w:rPr>
                    <w:noProof/>
                  </w:rPr>
                  <w:t>(Welsh Government, 2021)</w:t>
                </w:r>
                <w:r>
                  <w:fldChar w:fldCharType="end"/>
                </w:r>
              </w:sdtContent>
            </w:sdt>
            <w:r w:rsidRPr="009D7155">
              <w:t>. Decisions to share information were clearly recorded and justified as lawful, necessary and proportionate under the Data Protection Act</w:t>
            </w:r>
            <w:sdt>
              <w:sdtPr>
                <w:id w:val="-1108338442"/>
                <w:citation/>
              </w:sdtPr>
              <w:sdtContent>
                <w:r>
                  <w:fldChar w:fldCharType="begin"/>
                </w:r>
                <w:r>
                  <w:instrText xml:space="preserve"> CITATION UKG18 \l 2057 </w:instrText>
                </w:r>
                <w:r>
                  <w:fldChar w:fldCharType="separate"/>
                </w:r>
                <w:r>
                  <w:rPr>
                    <w:noProof/>
                  </w:rPr>
                  <w:t xml:space="preserve"> </w:t>
                </w:r>
                <w:r w:rsidRPr="00A87700">
                  <w:rPr>
                    <w:noProof/>
                  </w:rPr>
                  <w:t>(UK Government, 2018)</w:t>
                </w:r>
                <w:r>
                  <w:fldChar w:fldCharType="end"/>
                </w:r>
              </w:sdtContent>
            </w:sdt>
            <w:r w:rsidRPr="009D7155">
              <w:t>. Careful consideration was given to balancing safeguarding duties with Individual 1’s right to privacy under Article 8 of the European Convention on Human Rights, ensuring that only relevant information was disclosed for safeguarding purposes</w:t>
            </w:r>
            <w:sdt>
              <w:sdtPr>
                <w:id w:val="725721331"/>
                <w:citation/>
              </w:sdtPr>
              <w:sdtContent>
                <w:r>
                  <w:fldChar w:fldCharType="begin"/>
                </w:r>
                <w:r>
                  <w:instrText xml:space="preserve"> CITATION Cou50 \l 2057 </w:instrText>
                </w:r>
                <w:r>
                  <w:fldChar w:fldCharType="separate"/>
                </w:r>
                <w:r>
                  <w:rPr>
                    <w:noProof/>
                  </w:rPr>
                  <w:t xml:space="preserve"> </w:t>
                </w:r>
                <w:r w:rsidRPr="00A87700">
                  <w:rPr>
                    <w:noProof/>
                  </w:rPr>
                  <w:t>(Council of Europe, 1950)</w:t>
                </w:r>
                <w:r>
                  <w:fldChar w:fldCharType="end"/>
                </w:r>
              </w:sdtContent>
            </w:sdt>
            <w:r w:rsidRPr="009D7155">
              <w:t>. This approach ensured that collaborative working remained accountable while respecting confidentiality and professional ethics.</w:t>
            </w:r>
          </w:p>
          <w:p w14:paraId="0364DD06" w14:textId="77777777" w:rsidR="000621EA" w:rsidRPr="009D7155" w:rsidRDefault="000621EA" w:rsidP="000621EA">
            <w:pPr>
              <w:pStyle w:val="NoSpacing"/>
            </w:pPr>
          </w:p>
          <w:p w14:paraId="4F7FF3E3" w14:textId="77777777" w:rsidR="000621EA" w:rsidRPr="009D7155" w:rsidRDefault="000621EA" w:rsidP="000621EA">
            <w:pPr>
              <w:pStyle w:val="NoSpacing"/>
            </w:pPr>
            <w:r w:rsidRPr="009D7155">
              <w:t>A further complexity concerned the role of the charity shop manager. While she provided valuable emotional support and informal oversight, professional boundaries required clarity to prevent inappropriate financial involvement. Clear communication about safeguarding responsibilities was necessary to avoid unintentionally shifting protective responsibility onto informal carers. This illustrates how safeguarding requires careful management of relational dynamics within the individual’s support network.</w:t>
            </w:r>
          </w:p>
          <w:p w14:paraId="7ABC3AF4" w14:textId="77777777" w:rsidR="000621EA" w:rsidRPr="009D7155" w:rsidRDefault="000621EA" w:rsidP="000621EA">
            <w:pPr>
              <w:pStyle w:val="NoSpacing"/>
            </w:pPr>
          </w:p>
          <w:p w14:paraId="222EADA2" w14:textId="77777777" w:rsidR="000621EA" w:rsidRPr="009D7155" w:rsidRDefault="000621EA" w:rsidP="000621EA">
            <w:pPr>
              <w:pStyle w:val="NoSpacing"/>
            </w:pPr>
            <w:r w:rsidRPr="009D7155">
              <w:t xml:space="preserve">The Wales Safeguarding App supported decision-making by providing immediate access to Part 7 </w:t>
            </w:r>
            <w:r>
              <w:t xml:space="preserve">of SSWBA </w:t>
            </w:r>
            <w:r w:rsidRPr="009D7155">
              <w:t>procedures, referral pathways and threshold guidance</w:t>
            </w:r>
            <w:sdt>
              <w:sdtPr>
                <w:id w:val="-832447941"/>
                <w:citation/>
              </w:sdtPr>
              <w:sdtContent>
                <w:r>
                  <w:fldChar w:fldCharType="begin"/>
                </w:r>
                <w:r>
                  <w:instrText xml:space="preserve"> CITATION All23 \l 2057 </w:instrText>
                </w:r>
                <w:r>
                  <w:fldChar w:fldCharType="separate"/>
                </w:r>
                <w:r>
                  <w:rPr>
                    <w:noProof/>
                  </w:rPr>
                  <w:t xml:space="preserve"> </w:t>
                </w:r>
                <w:r w:rsidRPr="00A87700">
                  <w:rPr>
                    <w:noProof/>
                  </w:rPr>
                  <w:t>(All Wales Safeguarding Procedures, 2023)</w:t>
                </w:r>
                <w:r>
                  <w:fldChar w:fldCharType="end"/>
                </w:r>
              </w:sdtContent>
            </w:sdt>
            <w:r w:rsidRPr="009D7155">
              <w:t>. This digital resource enhances consistency and accessibility across Welsh local authorities, reducing regional variation and strengthening accountability. By linking national legislation with local operational practice, the app reinforces the integrated safeguarding model unique to Wales.</w:t>
            </w:r>
          </w:p>
          <w:p w14:paraId="73C7F797" w14:textId="77777777" w:rsidR="000621EA" w:rsidRPr="009D7155" w:rsidRDefault="000621EA" w:rsidP="000621EA">
            <w:pPr>
              <w:pStyle w:val="NoSpacing"/>
            </w:pPr>
          </w:p>
          <w:p w14:paraId="59725098" w14:textId="77777777" w:rsidR="000621EA" w:rsidRPr="009D7155" w:rsidRDefault="000621EA" w:rsidP="000621EA">
            <w:pPr>
              <w:pStyle w:val="NoSpacing"/>
            </w:pPr>
            <w:r w:rsidRPr="009D7155">
              <w:t>Comparatively, safeguarding in England is governed by the Care Act 2014, while Scotland operates under the Adult Support and Protection (Scotland) Act 2007. Although safeguarding principles are broadly similar, Wales benefits from integration of adult and child safeguarding within a single statute under the Social Services and Well-being (Wales) Act 2014. This unified framework promotes coherence between prevention and protection duties. However, practitioners must remain aware of cross-border implications, particularly where individuals move between UK nations, as legal thresholds and investigatory powers may differ.</w:t>
            </w:r>
          </w:p>
          <w:p w14:paraId="118AB110" w14:textId="77777777" w:rsidR="000621EA" w:rsidRDefault="000621EA" w:rsidP="000621EA">
            <w:pPr>
              <w:pStyle w:val="NoSpacing"/>
            </w:pPr>
          </w:p>
          <w:p w14:paraId="10B75E20" w14:textId="77777777" w:rsidR="000621EA" w:rsidRDefault="000621EA" w:rsidP="000621EA">
            <w:pPr>
              <w:pStyle w:val="NoSpacing"/>
            </w:pPr>
          </w:p>
          <w:p w14:paraId="65A2A4A6" w14:textId="77777777" w:rsidR="000621EA" w:rsidRPr="00E1117C" w:rsidRDefault="000621EA" w:rsidP="000621EA">
            <w:pPr>
              <w:pStyle w:val="NoSpacing"/>
              <w:rPr>
                <w:i/>
                <w:iCs/>
              </w:rPr>
            </w:pPr>
            <w:r>
              <w:rPr>
                <w:i/>
                <w:iCs/>
              </w:rPr>
              <w:t xml:space="preserve">Section Word Count: </w:t>
            </w:r>
            <w:r w:rsidRPr="00E1117C">
              <w:rPr>
                <w:i/>
                <w:iCs/>
              </w:rPr>
              <w:t>574</w:t>
            </w:r>
          </w:p>
          <w:p w14:paraId="2B9368E5" w14:textId="77777777" w:rsidR="000621EA" w:rsidRDefault="000621EA" w:rsidP="000621EA">
            <w:pPr>
              <w:pStyle w:val="NoSpacing"/>
            </w:pPr>
          </w:p>
          <w:p w14:paraId="512BE4F1" w14:textId="77777777" w:rsidR="000621EA" w:rsidRDefault="000621EA" w:rsidP="000621EA">
            <w:pPr>
              <w:pStyle w:val="NoSpacing"/>
            </w:pPr>
          </w:p>
          <w:p w14:paraId="1BFAE3E5" w14:textId="77777777" w:rsidR="000621EA" w:rsidRDefault="000621EA" w:rsidP="000621EA">
            <w:pPr>
              <w:pStyle w:val="NoSpacing"/>
            </w:pPr>
          </w:p>
          <w:p w14:paraId="030582B7" w14:textId="77777777" w:rsidR="000621EA" w:rsidRPr="00367498" w:rsidRDefault="000621EA" w:rsidP="000621EA">
            <w:pPr>
              <w:pStyle w:val="NoSpacing"/>
            </w:pPr>
            <w:r w:rsidRPr="00367498">
              <w:rPr>
                <w:b/>
                <w:bCs/>
              </w:rPr>
              <w:t>Safeguarding Beyond Wales: UK, European and International Context</w:t>
            </w:r>
          </w:p>
          <w:p w14:paraId="057454A4" w14:textId="77777777" w:rsidR="000621EA" w:rsidRPr="00367498" w:rsidRDefault="000621EA" w:rsidP="000621EA">
            <w:pPr>
              <w:pStyle w:val="NoSpacing"/>
            </w:pPr>
          </w:p>
          <w:p w14:paraId="5ADFC6DC" w14:textId="77777777" w:rsidR="000621EA" w:rsidRPr="00367498" w:rsidRDefault="000621EA" w:rsidP="000621EA">
            <w:pPr>
              <w:pStyle w:val="NoSpacing"/>
            </w:pPr>
            <w:r w:rsidRPr="00367498">
              <w:t>While safeguarding practice in this case is grounded in Welsh legislation, professional competence requires awareness of the wider UK and international safeguarding landscape. This is particularly relevant where cross-border movement, differing legal thresholds, or human rights considerations may influence decision-making.</w:t>
            </w:r>
          </w:p>
          <w:p w14:paraId="55DCC7FE" w14:textId="77777777" w:rsidR="000621EA" w:rsidRPr="00367498" w:rsidRDefault="000621EA" w:rsidP="000621EA">
            <w:pPr>
              <w:pStyle w:val="NoSpacing"/>
            </w:pPr>
          </w:p>
          <w:p w14:paraId="11F14347" w14:textId="77777777" w:rsidR="000621EA" w:rsidRPr="00367498" w:rsidRDefault="000621EA" w:rsidP="000621EA">
            <w:pPr>
              <w:pStyle w:val="NoSpacing"/>
            </w:pPr>
            <w:r w:rsidRPr="00367498">
              <w:t>In England, adult safeguarding is governed by the Care Act 2014. Although this legislation does not apply in Wales, its six safeguarding principles</w:t>
            </w:r>
            <w:r>
              <w:t xml:space="preserve">: </w:t>
            </w:r>
            <w:r w:rsidRPr="00367498">
              <w:t xml:space="preserve">empowerment, prevention, proportionality, protection, partnership and accountability </w:t>
            </w:r>
            <w:r>
              <w:t xml:space="preserve">that </w:t>
            </w:r>
            <w:r w:rsidRPr="00367498">
              <w:t xml:space="preserve">closely align with Welsh safeguarding values. In Wales, these principles are embedded within the Social Services and Well-being (Wales) Act 2014 and operationalised through the Wales Safeguarding Procedures </w:t>
            </w:r>
            <w:sdt>
              <w:sdtPr>
                <w:id w:val="-1489163547"/>
                <w:citation/>
              </w:sdtPr>
              <w:sdtContent>
                <w:r>
                  <w:fldChar w:fldCharType="begin"/>
                </w:r>
                <w:r>
                  <w:instrText xml:space="preserve"> CITATION Soc19 \l 2057 </w:instrText>
                </w:r>
                <w:r>
                  <w:fldChar w:fldCharType="separate"/>
                </w:r>
                <w:r w:rsidRPr="00A87700">
                  <w:rPr>
                    <w:noProof/>
                  </w:rPr>
                  <w:t>(Social Care Wales, 2019)</w:t>
                </w:r>
                <w:r>
                  <w:fldChar w:fldCharType="end"/>
                </w:r>
              </w:sdtContent>
            </w:sdt>
            <w:r w:rsidRPr="00367498">
              <w:t>. The key distinction is structural: Wales integrates adult and child safeguarding within a single statute, whereas England separates adult (Care Act 2014) and child (Children Act 1989) frameworks. The Welsh model promotes coherence and reduces fragmentation between services.</w:t>
            </w:r>
          </w:p>
          <w:p w14:paraId="6FAEB2C3" w14:textId="77777777" w:rsidR="000621EA" w:rsidRPr="00367498" w:rsidRDefault="000621EA" w:rsidP="000621EA">
            <w:pPr>
              <w:pStyle w:val="NoSpacing"/>
            </w:pPr>
          </w:p>
          <w:p w14:paraId="1C0CD6FB" w14:textId="77777777" w:rsidR="000621EA" w:rsidRPr="00367498" w:rsidRDefault="000621EA" w:rsidP="000621EA">
            <w:pPr>
              <w:pStyle w:val="NoSpacing"/>
            </w:pPr>
            <w:r w:rsidRPr="00367498">
              <w:t>Scotland operates under the Adult Support and Protection (Scotland) Act 2007, which provides professionals with stronger investigatory powers, including entry and removal orders</w:t>
            </w:r>
            <w:sdt>
              <w:sdtPr>
                <w:id w:val="1628352944"/>
                <w:citation/>
              </w:sdtPr>
              <w:sdtContent>
                <w:r>
                  <w:fldChar w:fldCharType="begin"/>
                </w:r>
                <w:r>
                  <w:instrText xml:space="preserve"> CITATION Sco07 \l 2057 </w:instrText>
                </w:r>
                <w:r>
                  <w:fldChar w:fldCharType="separate"/>
                </w:r>
                <w:r>
                  <w:rPr>
                    <w:noProof/>
                  </w:rPr>
                  <w:t xml:space="preserve"> </w:t>
                </w:r>
                <w:r w:rsidRPr="00A87700">
                  <w:rPr>
                    <w:noProof/>
                  </w:rPr>
                  <w:t>(Scottish Government, 2007)</w:t>
                </w:r>
                <w:r>
                  <w:fldChar w:fldCharType="end"/>
                </w:r>
              </w:sdtContent>
            </w:sdt>
            <w:r w:rsidRPr="00367498">
              <w:t xml:space="preserve">. This more interventionist model contrasts with </w:t>
            </w:r>
            <w:proofErr w:type="spellStart"/>
            <w:r w:rsidRPr="00367498">
              <w:t>Wales’</w:t>
            </w:r>
            <w:proofErr w:type="spellEnd"/>
            <w:r w:rsidRPr="00367498">
              <w:t xml:space="preserve"> emphasis on proportionality and prevention. In complex cases, understanding these distinctions is essential, particularly if individuals relocate or if cross-border safeguarding coordination is required.</w:t>
            </w:r>
          </w:p>
          <w:p w14:paraId="33A023A4" w14:textId="77777777" w:rsidR="000621EA" w:rsidRPr="00367498" w:rsidRDefault="000621EA" w:rsidP="000621EA">
            <w:pPr>
              <w:pStyle w:val="NoSpacing"/>
            </w:pPr>
          </w:p>
          <w:p w14:paraId="218416DB" w14:textId="77777777" w:rsidR="000621EA" w:rsidRPr="00367498" w:rsidRDefault="000621EA" w:rsidP="000621EA">
            <w:pPr>
              <w:pStyle w:val="NoSpacing"/>
            </w:pPr>
            <w:r w:rsidRPr="00367498">
              <w:t>At a European level, the European Convention on Human Rights (ECHR) underpins safeguarding practice across the UK</w:t>
            </w:r>
            <w:sdt>
              <w:sdtPr>
                <w:id w:val="1376125531"/>
                <w:citation/>
              </w:sdtPr>
              <w:sdtContent>
                <w:r>
                  <w:fldChar w:fldCharType="begin"/>
                </w:r>
                <w:r>
                  <w:instrText xml:space="preserve"> CITATION Cou50 \l 2057 </w:instrText>
                </w:r>
                <w:r>
                  <w:fldChar w:fldCharType="separate"/>
                </w:r>
                <w:r>
                  <w:rPr>
                    <w:noProof/>
                  </w:rPr>
                  <w:t xml:space="preserve"> </w:t>
                </w:r>
                <w:r w:rsidRPr="005C346C">
                  <w:rPr>
                    <w:noProof/>
                  </w:rPr>
                  <w:t>(Council of Europe, 1950)</w:t>
                </w:r>
                <w:r>
                  <w:fldChar w:fldCharType="end"/>
                </w:r>
              </w:sdtContent>
            </w:sdt>
            <w:r w:rsidRPr="00367498">
              <w:t>. Article 8</w:t>
            </w:r>
            <w:r>
              <w:t xml:space="preserve">: </w:t>
            </w:r>
            <w:r w:rsidRPr="00367498">
              <w:t>right to respect for private and family life</w:t>
            </w:r>
            <w:r>
              <w:t xml:space="preserve">; </w:t>
            </w:r>
            <w:r w:rsidRPr="00367498">
              <w:t xml:space="preserve">was particularly relevant in this case. Any restriction of Individual 1’s financial autonomy through </w:t>
            </w:r>
            <w:proofErr w:type="spellStart"/>
            <w:r w:rsidRPr="00367498">
              <w:t>appointeeship</w:t>
            </w:r>
            <w:proofErr w:type="spellEnd"/>
            <w:r w:rsidRPr="00367498">
              <w:t xml:space="preserve"> required lawful, necessary and proportionate justification. Article 5</w:t>
            </w:r>
            <w:r>
              <w:t xml:space="preserve">: </w:t>
            </w:r>
            <w:r w:rsidRPr="00367498">
              <w:t>right to liberty</w:t>
            </w:r>
            <w:r>
              <w:t xml:space="preserve">; </w:t>
            </w:r>
            <w:r w:rsidRPr="00367498">
              <w:t>also provides safeguards against unlawful deprivation of liberty, reinforcing the importance of least restrictive intervention under the Mental Capacity Act 2005</w:t>
            </w:r>
            <w:sdt>
              <w:sdtPr>
                <w:id w:val="905341738"/>
                <w:citation/>
              </w:sdtPr>
              <w:sdtContent>
                <w:r>
                  <w:fldChar w:fldCharType="begin"/>
                </w:r>
                <w:r>
                  <w:instrText xml:space="preserve"> CITATION UKG052 \l 2057 </w:instrText>
                </w:r>
                <w:r>
                  <w:fldChar w:fldCharType="separate"/>
                </w:r>
                <w:r>
                  <w:rPr>
                    <w:noProof/>
                  </w:rPr>
                  <w:t xml:space="preserve"> </w:t>
                </w:r>
                <w:r w:rsidRPr="005C346C">
                  <w:rPr>
                    <w:noProof/>
                  </w:rPr>
                  <w:t>(UK Government, 2005)</w:t>
                </w:r>
                <w:r>
                  <w:fldChar w:fldCharType="end"/>
                </w:r>
              </w:sdtContent>
            </w:sdt>
            <w:r w:rsidRPr="00367498">
              <w:t>.</w:t>
            </w:r>
          </w:p>
          <w:p w14:paraId="636DA5F3" w14:textId="77777777" w:rsidR="000621EA" w:rsidRPr="00367498" w:rsidRDefault="000621EA" w:rsidP="000621EA">
            <w:pPr>
              <w:pStyle w:val="NoSpacing"/>
            </w:pPr>
          </w:p>
          <w:p w14:paraId="008445AE" w14:textId="77777777" w:rsidR="000621EA" w:rsidRPr="00367498" w:rsidRDefault="000621EA" w:rsidP="000621EA">
            <w:pPr>
              <w:pStyle w:val="NoSpacing"/>
            </w:pPr>
            <w:r w:rsidRPr="00367498">
              <w:t>Although the United Kingdom has exited the European Union, EU human rights standards and the ECHR continue to influence safeguarding through domestic incorporation under the Human Rights Act 1998</w:t>
            </w:r>
            <w:sdt>
              <w:sdtPr>
                <w:id w:val="-250897295"/>
                <w:citation/>
              </w:sdtPr>
              <w:sdtContent>
                <w:r>
                  <w:fldChar w:fldCharType="begin"/>
                </w:r>
                <w:r>
                  <w:instrText xml:space="preserve"> CITATION Cou50 \l 2057 </w:instrText>
                </w:r>
                <w:r>
                  <w:fldChar w:fldCharType="separate"/>
                </w:r>
                <w:r>
                  <w:rPr>
                    <w:noProof/>
                  </w:rPr>
                  <w:t xml:space="preserve"> </w:t>
                </w:r>
                <w:r w:rsidRPr="005C346C">
                  <w:rPr>
                    <w:noProof/>
                  </w:rPr>
                  <w:t>(Council of Europe, 1950)</w:t>
                </w:r>
                <w:r>
                  <w:fldChar w:fldCharType="end"/>
                </w:r>
              </w:sdtContent>
            </w:sdt>
            <w:r w:rsidRPr="00367498">
              <w:t xml:space="preserve">. Internationally, countries such as Canada and Australia operate decentralised safeguarding systems where legislative consistency varies across provinces or states. In contrast, </w:t>
            </w:r>
            <w:proofErr w:type="spellStart"/>
            <w:proofErr w:type="gramStart"/>
            <w:r w:rsidRPr="00367498">
              <w:t>Wales’</w:t>
            </w:r>
            <w:proofErr w:type="spellEnd"/>
            <w:proofErr w:type="gramEnd"/>
            <w:r w:rsidRPr="00367498">
              <w:t xml:space="preserve"> unified national framework promotes consistency and accessibility. The Wales Safeguarding Procedures and Safeguarding App enhance standardisation and accountability across all local authorities, strengthening equitable protection</w:t>
            </w:r>
            <w:sdt>
              <w:sdtPr>
                <w:id w:val="1440108509"/>
                <w:citation/>
              </w:sdtPr>
              <w:sdtContent>
                <w:r>
                  <w:fldChar w:fldCharType="begin"/>
                </w:r>
                <w:r>
                  <w:instrText xml:space="preserve"> CITATION All23 \l 2057 </w:instrText>
                </w:r>
                <w:r>
                  <w:fldChar w:fldCharType="separate"/>
                </w:r>
                <w:r>
                  <w:rPr>
                    <w:noProof/>
                  </w:rPr>
                  <w:t xml:space="preserve"> </w:t>
                </w:r>
                <w:r w:rsidRPr="005C346C">
                  <w:rPr>
                    <w:noProof/>
                  </w:rPr>
                  <w:t>(All Wales Safeguarding Procedures, 2023)</w:t>
                </w:r>
                <w:r>
                  <w:fldChar w:fldCharType="end"/>
                </w:r>
              </w:sdtContent>
            </w:sdt>
            <w:r w:rsidRPr="00367498">
              <w:t>.</w:t>
            </w:r>
          </w:p>
          <w:p w14:paraId="6D71D4FD" w14:textId="77777777" w:rsidR="000621EA" w:rsidRPr="00367498" w:rsidRDefault="000621EA" w:rsidP="000621EA">
            <w:pPr>
              <w:pStyle w:val="NoSpacing"/>
            </w:pPr>
          </w:p>
          <w:p w14:paraId="4304D144" w14:textId="77777777" w:rsidR="000621EA" w:rsidRPr="00367498" w:rsidRDefault="000621EA" w:rsidP="000621EA">
            <w:pPr>
              <w:pStyle w:val="NoSpacing"/>
            </w:pPr>
            <w:r w:rsidRPr="00367498">
              <w:t>Understanding these international interfaces is not simply academic; it reinforces the principle that safeguarding must remain rights-based, proportionate and legally grounded, particularly where restrictive interventions are considered.</w:t>
            </w:r>
          </w:p>
          <w:p w14:paraId="2ADCFD8A" w14:textId="77777777" w:rsidR="000621EA" w:rsidRDefault="000621EA" w:rsidP="000621EA">
            <w:pPr>
              <w:pStyle w:val="NoSpacing"/>
            </w:pPr>
          </w:p>
          <w:p w14:paraId="7AF756D2" w14:textId="77777777" w:rsidR="000621EA" w:rsidRPr="00367498" w:rsidRDefault="000621EA" w:rsidP="000621EA">
            <w:pPr>
              <w:pStyle w:val="NoSpacing"/>
            </w:pPr>
          </w:p>
          <w:p w14:paraId="7DCA9F43" w14:textId="77777777" w:rsidR="000621EA" w:rsidRPr="00E1117C" w:rsidRDefault="000621EA" w:rsidP="000621EA">
            <w:pPr>
              <w:pStyle w:val="NoSpacing"/>
              <w:rPr>
                <w:i/>
                <w:iCs/>
              </w:rPr>
            </w:pPr>
            <w:r>
              <w:rPr>
                <w:i/>
                <w:iCs/>
              </w:rPr>
              <w:t xml:space="preserve">Section Word Count: </w:t>
            </w:r>
            <w:r w:rsidRPr="00E1117C">
              <w:rPr>
                <w:i/>
                <w:iCs/>
              </w:rPr>
              <w:t>391</w:t>
            </w:r>
          </w:p>
          <w:p w14:paraId="614CB99C" w14:textId="77777777" w:rsidR="000621EA" w:rsidRDefault="000621EA" w:rsidP="000621EA">
            <w:pPr>
              <w:pStyle w:val="NoSpacing"/>
            </w:pPr>
          </w:p>
          <w:p w14:paraId="577981A4" w14:textId="77777777" w:rsidR="000621EA" w:rsidRDefault="000621EA" w:rsidP="000621EA">
            <w:pPr>
              <w:pStyle w:val="NoSpacing"/>
            </w:pPr>
          </w:p>
          <w:p w14:paraId="6B6F66F6" w14:textId="77777777" w:rsidR="000621EA" w:rsidRPr="00367498" w:rsidRDefault="000621EA" w:rsidP="000621EA">
            <w:pPr>
              <w:pStyle w:val="NoSpacing"/>
            </w:pPr>
          </w:p>
          <w:p w14:paraId="2BCDEB45" w14:textId="77777777" w:rsidR="000621EA" w:rsidRPr="00367498" w:rsidRDefault="000621EA" w:rsidP="000621EA">
            <w:pPr>
              <w:pStyle w:val="NoSpacing"/>
            </w:pPr>
            <w:r w:rsidRPr="00367498">
              <w:rPr>
                <w:b/>
                <w:bCs/>
              </w:rPr>
              <w:t>Ethical Tensions, Equality and Professional Accountability</w:t>
            </w:r>
          </w:p>
          <w:p w14:paraId="15C7924E" w14:textId="77777777" w:rsidR="000621EA" w:rsidRPr="00367498" w:rsidRDefault="000621EA" w:rsidP="000621EA">
            <w:pPr>
              <w:pStyle w:val="NoSpacing"/>
            </w:pPr>
          </w:p>
          <w:p w14:paraId="244484D1" w14:textId="77777777" w:rsidR="000621EA" w:rsidRPr="00367498" w:rsidRDefault="000621EA" w:rsidP="000621EA">
            <w:pPr>
              <w:pStyle w:val="NoSpacing"/>
            </w:pPr>
            <w:r w:rsidRPr="00367498">
              <w:t>This case also required critical reflection on ethical tensions inherent within safeguarding practice. The Equality Act 2010 protects individuals from discrimination on the basis of disability</w:t>
            </w:r>
            <w:sdt>
              <w:sdtPr>
                <w:id w:val="1307520791"/>
                <w:citation/>
              </w:sdtPr>
              <w:sdtContent>
                <w:r>
                  <w:fldChar w:fldCharType="begin"/>
                </w:r>
                <w:r>
                  <w:instrText xml:space="preserve"> CITATION UKG10 \l 2057 </w:instrText>
                </w:r>
                <w:r>
                  <w:fldChar w:fldCharType="separate"/>
                </w:r>
                <w:r>
                  <w:rPr>
                    <w:noProof/>
                  </w:rPr>
                  <w:t xml:space="preserve"> </w:t>
                </w:r>
                <w:r w:rsidRPr="005C346C">
                  <w:rPr>
                    <w:noProof/>
                  </w:rPr>
                  <w:t>(UK Government, 2010)</w:t>
                </w:r>
                <w:r>
                  <w:fldChar w:fldCharType="end"/>
                </w:r>
              </w:sdtContent>
            </w:sdt>
            <w:r w:rsidRPr="00367498">
              <w:t>. It was essential that Individual 1’s learning disability was neither minimised nor used as automatic justification for restrictive intervention. The presumption of capacity under the Mental Capacity Act 2005 ensures that diagnosis alone cannot determine incapacity</w:t>
            </w:r>
            <w:sdt>
              <w:sdtPr>
                <w:id w:val="1846676026"/>
                <w:citation/>
              </w:sdtPr>
              <w:sdtContent>
                <w:r>
                  <w:fldChar w:fldCharType="begin"/>
                </w:r>
                <w:r>
                  <w:instrText xml:space="preserve"> CITATION UKG052 \l 2057 </w:instrText>
                </w:r>
                <w:r>
                  <w:fldChar w:fldCharType="separate"/>
                </w:r>
                <w:r>
                  <w:rPr>
                    <w:noProof/>
                  </w:rPr>
                  <w:t xml:space="preserve"> </w:t>
                </w:r>
                <w:r w:rsidRPr="005C346C">
                  <w:rPr>
                    <w:noProof/>
                  </w:rPr>
                  <w:t>(UK Government, 2005)</w:t>
                </w:r>
                <w:r>
                  <w:fldChar w:fldCharType="end"/>
                </w:r>
              </w:sdtContent>
            </w:sdt>
            <w:r w:rsidRPr="00367498">
              <w:t>.</w:t>
            </w:r>
          </w:p>
          <w:p w14:paraId="73A80E87" w14:textId="77777777" w:rsidR="000621EA" w:rsidRPr="00367498" w:rsidRDefault="000621EA" w:rsidP="000621EA">
            <w:pPr>
              <w:pStyle w:val="NoSpacing"/>
            </w:pPr>
          </w:p>
          <w:p w14:paraId="114251A0" w14:textId="77777777" w:rsidR="000621EA" w:rsidRPr="00367498" w:rsidRDefault="000621EA" w:rsidP="000621EA">
            <w:pPr>
              <w:pStyle w:val="NoSpacing"/>
            </w:pPr>
            <w:r w:rsidRPr="00367498">
              <w:t>The primary ethical tension concerned autonomy versus protection. Individual 1 valued independence and took pride in managing aspects of his daily life. Imposing financial safeguards risked being perceived as paternalistic. However, failing to intervene could expose him to repeated exploitation. Thompson’s humanistic perspective emphasises respect for individual freedom while recognising structural vulnerability</w:t>
            </w:r>
            <w:sdt>
              <w:sdtPr>
                <w:id w:val="1459289141"/>
                <w:citation/>
              </w:sdtPr>
              <w:sdtContent>
                <w:r>
                  <w:fldChar w:fldCharType="begin"/>
                </w:r>
                <w:r>
                  <w:instrText xml:space="preserve"> CITATION Tho16 \l 2057 </w:instrText>
                </w:r>
                <w:r>
                  <w:fldChar w:fldCharType="separate"/>
                </w:r>
                <w:r>
                  <w:rPr>
                    <w:noProof/>
                  </w:rPr>
                  <w:t xml:space="preserve"> </w:t>
                </w:r>
                <w:r w:rsidRPr="005C346C">
                  <w:rPr>
                    <w:noProof/>
                  </w:rPr>
                  <w:t>(Thompson, 2016)</w:t>
                </w:r>
                <w:r>
                  <w:fldChar w:fldCharType="end"/>
                </w:r>
              </w:sdtContent>
            </w:sdt>
            <w:r w:rsidRPr="00367498">
              <w:t>. This framework supported balanced decision-making, ensuring that protection did not override dignity.</w:t>
            </w:r>
          </w:p>
          <w:p w14:paraId="38420EEA" w14:textId="77777777" w:rsidR="000621EA" w:rsidRPr="00367498" w:rsidRDefault="000621EA" w:rsidP="000621EA">
            <w:pPr>
              <w:pStyle w:val="NoSpacing"/>
            </w:pPr>
          </w:p>
          <w:p w14:paraId="5942EBCA" w14:textId="77777777" w:rsidR="000621EA" w:rsidRPr="00367498" w:rsidRDefault="000621EA" w:rsidP="000621EA">
            <w:pPr>
              <w:pStyle w:val="NoSpacing"/>
            </w:pPr>
            <w:r w:rsidRPr="00367498">
              <w:t xml:space="preserve">Another tension related to proportionality. A full safeguarding enquiry under Part 7 </w:t>
            </w:r>
            <w:r>
              <w:t xml:space="preserve">of SSWBA </w:t>
            </w:r>
            <w:r w:rsidRPr="00367498">
              <w:t>could have signalled seriousness but may also have caused distress and escalated intervention unnecessarily</w:t>
            </w:r>
            <w:sdt>
              <w:sdtPr>
                <w:id w:val="1773363916"/>
                <w:citation/>
              </w:sdtPr>
              <w:sdtContent>
                <w:r>
                  <w:fldChar w:fldCharType="begin"/>
                </w:r>
                <w:r>
                  <w:instrText xml:space="preserve"> CITATION Wel142 \l 2057 </w:instrText>
                </w:r>
                <w:r>
                  <w:fldChar w:fldCharType="separate"/>
                </w:r>
                <w:r>
                  <w:rPr>
                    <w:noProof/>
                  </w:rPr>
                  <w:t xml:space="preserve"> </w:t>
                </w:r>
                <w:r w:rsidRPr="005C346C">
                  <w:rPr>
                    <w:noProof/>
                  </w:rPr>
                  <w:t>(Welsh Government, 2014)</w:t>
                </w:r>
                <w:r>
                  <w:fldChar w:fldCharType="end"/>
                </w:r>
              </w:sdtContent>
            </w:sdt>
            <w:r w:rsidRPr="00367498">
              <w:t xml:space="preserve">. By choosing targeted financial safeguards and ongoing relational support, I sought to act </w:t>
            </w:r>
            <w:r w:rsidRPr="00367498">
              <w:lastRenderedPageBreak/>
              <w:t>in a preventative manner aligned with Part 2 of the SSWBA</w:t>
            </w:r>
            <w:sdt>
              <w:sdtPr>
                <w:id w:val="102077220"/>
                <w:citation/>
              </w:sdtPr>
              <w:sdtContent>
                <w:r>
                  <w:fldChar w:fldCharType="begin"/>
                </w:r>
                <w:r>
                  <w:instrText xml:space="preserve"> CITATION Wel142 \l 2057 </w:instrText>
                </w:r>
                <w:r>
                  <w:fldChar w:fldCharType="separate"/>
                </w:r>
                <w:r>
                  <w:rPr>
                    <w:noProof/>
                  </w:rPr>
                  <w:t xml:space="preserve"> </w:t>
                </w:r>
                <w:r w:rsidRPr="005C346C">
                  <w:rPr>
                    <w:noProof/>
                  </w:rPr>
                  <w:t>(Welsh Government, 2014)</w:t>
                </w:r>
                <w:r>
                  <w:fldChar w:fldCharType="end"/>
                </w:r>
              </w:sdtContent>
            </w:sdt>
            <w:r w:rsidRPr="00367498">
              <w:t>. This reflects the principle that safeguarding is not solely reactive but preventative.</w:t>
            </w:r>
          </w:p>
          <w:p w14:paraId="775C9AD7" w14:textId="77777777" w:rsidR="000621EA" w:rsidRPr="00367498" w:rsidRDefault="000621EA" w:rsidP="000621EA">
            <w:pPr>
              <w:pStyle w:val="NoSpacing"/>
            </w:pPr>
          </w:p>
          <w:p w14:paraId="36AD30FA" w14:textId="77777777" w:rsidR="000621EA" w:rsidRPr="00367498" w:rsidRDefault="000621EA" w:rsidP="000621EA">
            <w:pPr>
              <w:pStyle w:val="NoSpacing"/>
            </w:pPr>
            <w:r w:rsidRPr="00367498">
              <w:t xml:space="preserve">Professional accountability was maintained through adherence to the Code of Professional Practice for Social Care </w:t>
            </w:r>
            <w:sdt>
              <w:sdtPr>
                <w:id w:val="-1017619403"/>
                <w:citation/>
              </w:sdtPr>
              <w:sdtContent>
                <w:r>
                  <w:fldChar w:fldCharType="begin"/>
                </w:r>
                <w:r>
                  <w:instrText xml:space="preserve"> CITATION Soc20 \l 2057 </w:instrText>
                </w:r>
                <w:r>
                  <w:fldChar w:fldCharType="separate"/>
                </w:r>
                <w:r w:rsidRPr="005C346C">
                  <w:rPr>
                    <w:noProof/>
                  </w:rPr>
                  <w:t>(Social Care Wales, 2020)</w:t>
                </w:r>
                <w:r>
                  <w:fldChar w:fldCharType="end"/>
                </w:r>
              </w:sdtContent>
            </w:sdt>
            <w:r w:rsidRPr="00367498">
              <w:t xml:space="preserve">. Decisions were documented clearly, rationale recorded, and information shared lawfully under Data Protection legislation and Welsh Government Information Sharing Guidance </w:t>
            </w:r>
            <w:sdt>
              <w:sdtPr>
                <w:id w:val="-487630378"/>
                <w:citation/>
              </w:sdtPr>
              <w:sdtContent>
                <w:r>
                  <w:fldChar w:fldCharType="begin"/>
                </w:r>
                <w:r>
                  <w:instrText xml:space="preserve"> CITATION Wel21 \l 2057 </w:instrText>
                </w:r>
                <w:r>
                  <w:fldChar w:fldCharType="separate"/>
                </w:r>
                <w:r w:rsidRPr="005C346C">
                  <w:rPr>
                    <w:noProof/>
                  </w:rPr>
                  <w:t>(Welsh Government, 2021)</w:t>
                </w:r>
                <w:r>
                  <w:fldChar w:fldCharType="end"/>
                </w:r>
              </w:sdtContent>
            </w:sdt>
            <w:r w:rsidRPr="00367498">
              <w:t>. Transparency is essential not only for legal compliance but for maintaining public trust in safeguarding systems.</w:t>
            </w:r>
          </w:p>
          <w:p w14:paraId="2D3CBEDD" w14:textId="77777777" w:rsidR="000621EA" w:rsidRPr="00367498" w:rsidRDefault="000621EA" w:rsidP="000621EA">
            <w:pPr>
              <w:pStyle w:val="NoSpacing"/>
            </w:pPr>
          </w:p>
          <w:p w14:paraId="0E72E82C" w14:textId="77777777" w:rsidR="000621EA" w:rsidRPr="00367498" w:rsidRDefault="000621EA" w:rsidP="000621EA">
            <w:pPr>
              <w:pStyle w:val="NoSpacing"/>
            </w:pPr>
          </w:p>
          <w:p w14:paraId="6941A930" w14:textId="77777777" w:rsidR="000621EA" w:rsidRPr="00E1117C" w:rsidRDefault="000621EA" w:rsidP="000621EA">
            <w:pPr>
              <w:pStyle w:val="NoSpacing"/>
              <w:rPr>
                <w:i/>
                <w:iCs/>
              </w:rPr>
            </w:pPr>
            <w:r>
              <w:rPr>
                <w:i/>
                <w:iCs/>
              </w:rPr>
              <w:t xml:space="preserve">Section Word Count: </w:t>
            </w:r>
            <w:r w:rsidRPr="00E1117C">
              <w:rPr>
                <w:i/>
                <w:iCs/>
              </w:rPr>
              <w:t>262</w:t>
            </w:r>
          </w:p>
          <w:p w14:paraId="1704820A" w14:textId="77777777" w:rsidR="000621EA" w:rsidRDefault="000621EA" w:rsidP="000621EA">
            <w:pPr>
              <w:pStyle w:val="NoSpacing"/>
            </w:pPr>
          </w:p>
          <w:p w14:paraId="22FD66D1" w14:textId="77777777" w:rsidR="000621EA" w:rsidRPr="00367498" w:rsidRDefault="000621EA" w:rsidP="000621EA">
            <w:pPr>
              <w:pStyle w:val="NoSpacing"/>
            </w:pPr>
          </w:p>
          <w:p w14:paraId="6E5E27B4" w14:textId="77777777" w:rsidR="000621EA" w:rsidRPr="00367498" w:rsidRDefault="000621EA" w:rsidP="000621EA">
            <w:pPr>
              <w:pStyle w:val="NoSpacing"/>
            </w:pPr>
            <w:r w:rsidRPr="00367498">
              <w:rPr>
                <w:b/>
                <w:bCs/>
              </w:rPr>
              <w:t>Critical Reflection on Professional Judgement</w:t>
            </w:r>
          </w:p>
          <w:p w14:paraId="2D26250B" w14:textId="77777777" w:rsidR="000621EA" w:rsidRDefault="000621EA" w:rsidP="000621EA">
            <w:pPr>
              <w:pStyle w:val="NoSpacing"/>
            </w:pPr>
          </w:p>
          <w:p w14:paraId="2B67EC31" w14:textId="77777777" w:rsidR="000621EA" w:rsidRPr="00367498" w:rsidRDefault="000621EA" w:rsidP="000621EA">
            <w:pPr>
              <w:pStyle w:val="NoSpacing"/>
            </w:pPr>
          </w:p>
          <w:p w14:paraId="4CDCDB6F" w14:textId="77777777" w:rsidR="000621EA" w:rsidRPr="00367498" w:rsidRDefault="000621EA" w:rsidP="000621EA">
            <w:pPr>
              <w:pStyle w:val="NoSpacing"/>
            </w:pPr>
            <w:r w:rsidRPr="00367498">
              <w:t>Reflecting on this case, several learning points emerge.</w:t>
            </w:r>
          </w:p>
          <w:p w14:paraId="4FDAFDAD" w14:textId="77777777" w:rsidR="000621EA" w:rsidRPr="00367498" w:rsidRDefault="000621EA" w:rsidP="000621EA">
            <w:pPr>
              <w:pStyle w:val="NoSpacing"/>
            </w:pPr>
          </w:p>
          <w:p w14:paraId="1F42B336" w14:textId="77777777" w:rsidR="000621EA" w:rsidRPr="00367498" w:rsidRDefault="000621EA" w:rsidP="000621EA">
            <w:pPr>
              <w:pStyle w:val="NoSpacing"/>
            </w:pPr>
            <w:r w:rsidRPr="00367498">
              <w:t>First, safeguarding thresholds are rarely binary. Although financial abuse had occurred, absence of ongoing perpetrator contacts and limited evidential basis meant that escalation required careful justification. This case reinforced that safeguarding decisions must be evidence-based rather than fear-driven.</w:t>
            </w:r>
          </w:p>
          <w:p w14:paraId="5CE1DE88" w14:textId="77777777" w:rsidR="000621EA" w:rsidRPr="00367498" w:rsidRDefault="000621EA" w:rsidP="000621EA">
            <w:pPr>
              <w:pStyle w:val="NoSpacing"/>
            </w:pPr>
          </w:p>
          <w:p w14:paraId="6022DEEC" w14:textId="77777777" w:rsidR="000621EA" w:rsidRPr="00367498" w:rsidRDefault="000621EA" w:rsidP="000621EA">
            <w:pPr>
              <w:pStyle w:val="NoSpacing"/>
            </w:pPr>
            <w:r w:rsidRPr="00367498">
              <w:t>Second, the importance of relational practice became evident. Building trust enabled open discussion of financial risk. Without rapport, capacity assessment may have been experienced as intrusive rather than supportive. Rogers’ emphasis on empathy and unconditional positive regard proved central to effective engagement</w:t>
            </w:r>
            <w:sdt>
              <w:sdtPr>
                <w:id w:val="-2004817148"/>
                <w:citation/>
              </w:sdtPr>
              <w:sdtContent>
                <w:r>
                  <w:fldChar w:fldCharType="begin"/>
                </w:r>
                <w:r>
                  <w:instrText xml:space="preserve"> CITATION Rog51 \l 2057 </w:instrText>
                </w:r>
                <w:r>
                  <w:fldChar w:fldCharType="separate"/>
                </w:r>
                <w:r>
                  <w:rPr>
                    <w:noProof/>
                  </w:rPr>
                  <w:t xml:space="preserve"> </w:t>
                </w:r>
                <w:r w:rsidRPr="005C346C">
                  <w:rPr>
                    <w:noProof/>
                  </w:rPr>
                  <w:t>(Rogers, 1951)</w:t>
                </w:r>
                <w:r>
                  <w:fldChar w:fldCharType="end"/>
                </w:r>
              </w:sdtContent>
            </w:sdt>
            <w:r w:rsidRPr="00367498">
              <w:t>.</w:t>
            </w:r>
          </w:p>
          <w:p w14:paraId="34CEE392" w14:textId="77777777" w:rsidR="000621EA" w:rsidRPr="00367498" w:rsidRDefault="000621EA" w:rsidP="000621EA">
            <w:pPr>
              <w:pStyle w:val="NoSpacing"/>
            </w:pPr>
          </w:p>
          <w:p w14:paraId="7FFD17B9" w14:textId="77777777" w:rsidR="000621EA" w:rsidRPr="00367498" w:rsidRDefault="000621EA" w:rsidP="000621EA">
            <w:pPr>
              <w:pStyle w:val="NoSpacing"/>
            </w:pPr>
            <w:r w:rsidRPr="00367498">
              <w:t>Third, the case highlighted the risk of over-reliance on procedural frameworks. While legislation provides structure, professional judgement remains critical. Applying the MCA rigidly without relational sensitivity could have undermined empowerment</w:t>
            </w:r>
            <w:sdt>
              <w:sdtPr>
                <w:id w:val="-1697070314"/>
                <w:citation/>
              </w:sdtPr>
              <w:sdtContent>
                <w:r>
                  <w:fldChar w:fldCharType="begin"/>
                </w:r>
                <w:r>
                  <w:instrText xml:space="preserve"> CITATION UKG052 \l 2057 </w:instrText>
                </w:r>
                <w:r>
                  <w:fldChar w:fldCharType="separate"/>
                </w:r>
                <w:r>
                  <w:rPr>
                    <w:noProof/>
                  </w:rPr>
                  <w:t xml:space="preserve"> </w:t>
                </w:r>
                <w:r w:rsidRPr="005C346C">
                  <w:rPr>
                    <w:noProof/>
                  </w:rPr>
                  <w:t>(UK Government, 2005)</w:t>
                </w:r>
                <w:r>
                  <w:fldChar w:fldCharType="end"/>
                </w:r>
              </w:sdtContent>
            </w:sdt>
            <w:r w:rsidRPr="00367498">
              <w:t>. Conversely, prioritising autonomy without acknowledging vulnerability could have perpetuated risk.</w:t>
            </w:r>
          </w:p>
          <w:p w14:paraId="2B84238C" w14:textId="77777777" w:rsidR="000621EA" w:rsidRPr="00367498" w:rsidRDefault="000621EA" w:rsidP="000621EA">
            <w:pPr>
              <w:pStyle w:val="NoSpacing"/>
            </w:pPr>
          </w:p>
          <w:p w14:paraId="075477C5" w14:textId="77777777" w:rsidR="000621EA" w:rsidRPr="00367498" w:rsidRDefault="000621EA" w:rsidP="000621EA">
            <w:pPr>
              <w:pStyle w:val="NoSpacing"/>
            </w:pPr>
            <w:r w:rsidRPr="00367498">
              <w:t>Finally, this experience strengthened my understanding of prevention under the SSWBA</w:t>
            </w:r>
            <w:sdt>
              <w:sdtPr>
                <w:id w:val="207161977"/>
                <w:citation/>
              </w:sdtPr>
              <w:sdtContent>
                <w:r>
                  <w:fldChar w:fldCharType="begin"/>
                </w:r>
                <w:r>
                  <w:instrText xml:space="preserve"> CITATION Wel142 \l 2057 </w:instrText>
                </w:r>
                <w:r>
                  <w:fldChar w:fldCharType="separate"/>
                </w:r>
                <w:r>
                  <w:rPr>
                    <w:noProof/>
                  </w:rPr>
                  <w:t xml:space="preserve"> </w:t>
                </w:r>
                <w:r w:rsidRPr="005C346C">
                  <w:rPr>
                    <w:noProof/>
                  </w:rPr>
                  <w:t>(Welsh Government, 2014)</w:t>
                </w:r>
                <w:r>
                  <w:fldChar w:fldCharType="end"/>
                </w:r>
              </w:sdtContent>
            </w:sdt>
            <w:r w:rsidRPr="00367498">
              <w:t>. Early, proportionate intervention avoided escalation while addressing vulnerability. Safeguarding is most effective when it strengthens resilience rather than simply responding to crisis.</w:t>
            </w:r>
          </w:p>
          <w:p w14:paraId="4E838619" w14:textId="77777777" w:rsidR="000621EA" w:rsidRDefault="000621EA" w:rsidP="000621EA">
            <w:pPr>
              <w:pStyle w:val="NoSpacing"/>
            </w:pPr>
          </w:p>
          <w:p w14:paraId="26BC5C81" w14:textId="77777777" w:rsidR="000621EA" w:rsidRDefault="000621EA" w:rsidP="000621EA">
            <w:pPr>
              <w:pStyle w:val="NoSpacing"/>
            </w:pPr>
          </w:p>
          <w:p w14:paraId="2335782A" w14:textId="77777777" w:rsidR="000621EA" w:rsidRPr="00E1117C" w:rsidRDefault="000621EA" w:rsidP="000621EA">
            <w:pPr>
              <w:pStyle w:val="NoSpacing"/>
              <w:rPr>
                <w:i/>
                <w:iCs/>
              </w:rPr>
            </w:pPr>
            <w:r>
              <w:rPr>
                <w:i/>
                <w:iCs/>
              </w:rPr>
              <w:t xml:space="preserve">Section Word Count: </w:t>
            </w:r>
            <w:r w:rsidRPr="00E1117C">
              <w:rPr>
                <w:i/>
                <w:iCs/>
              </w:rPr>
              <w:t xml:space="preserve">169 </w:t>
            </w:r>
          </w:p>
          <w:p w14:paraId="554F98AE" w14:textId="77777777" w:rsidR="000621EA" w:rsidRDefault="000621EA" w:rsidP="000621EA">
            <w:pPr>
              <w:pStyle w:val="NoSpacing"/>
              <w:rPr>
                <w:b/>
                <w:bCs/>
              </w:rPr>
            </w:pPr>
          </w:p>
          <w:p w14:paraId="69A1389B" w14:textId="77777777" w:rsidR="000621EA" w:rsidRDefault="000621EA" w:rsidP="000621EA">
            <w:pPr>
              <w:pStyle w:val="NoSpacing"/>
              <w:rPr>
                <w:b/>
                <w:bCs/>
              </w:rPr>
            </w:pPr>
          </w:p>
          <w:p w14:paraId="690573A3" w14:textId="77777777" w:rsidR="000621EA" w:rsidRDefault="000621EA" w:rsidP="000621EA">
            <w:pPr>
              <w:pStyle w:val="NoSpacing"/>
              <w:rPr>
                <w:b/>
                <w:bCs/>
              </w:rPr>
            </w:pPr>
          </w:p>
          <w:p w14:paraId="1132328C" w14:textId="77777777" w:rsidR="000621EA" w:rsidRPr="00367498" w:rsidRDefault="000621EA" w:rsidP="000621EA">
            <w:pPr>
              <w:pStyle w:val="NoSpacing"/>
            </w:pPr>
            <w:r w:rsidRPr="00367498">
              <w:rPr>
                <w:b/>
                <w:bCs/>
              </w:rPr>
              <w:t>Conclusion</w:t>
            </w:r>
          </w:p>
          <w:p w14:paraId="4DC9E1C7" w14:textId="77777777" w:rsidR="000621EA" w:rsidRPr="00367498" w:rsidRDefault="000621EA" w:rsidP="000621EA">
            <w:pPr>
              <w:pStyle w:val="NoSpacing"/>
            </w:pPr>
          </w:p>
          <w:p w14:paraId="54E75C9E" w14:textId="77777777" w:rsidR="000621EA" w:rsidRPr="00367498" w:rsidRDefault="000621EA" w:rsidP="000621EA">
            <w:pPr>
              <w:pStyle w:val="NoSpacing"/>
            </w:pPr>
          </w:p>
          <w:p w14:paraId="4AD9049F" w14:textId="77777777" w:rsidR="000621EA" w:rsidRPr="00A86CFE" w:rsidRDefault="000621EA" w:rsidP="000621EA">
            <w:pPr>
              <w:pStyle w:val="NoSpacing"/>
            </w:pPr>
            <w:r w:rsidRPr="00A86CFE">
              <w:t xml:space="preserve">This case study has critically examined the safeguarding of an adult with a learning disability within the statutory and procedural framework of Wales. Through application of Part 7 and Part 2 of the Social Services and Well-being (Wales) Act 2014, the Wales Safeguarding Procedures (2019), </w:t>
            </w:r>
            <w:r>
              <w:t>XXX</w:t>
            </w:r>
            <w:r w:rsidRPr="00A86CFE">
              <w:t xml:space="preserve"> County Council’s Safeguarding Adults Policy (2023), and the Mental Capacity Act 2005, the intervention demonstrated how </w:t>
            </w:r>
            <w:r w:rsidRPr="00A86CFE">
              <w:lastRenderedPageBreak/>
              <w:t>prevention, proportionality and rights-based practice operate in complex safeguarding situations. Rather than relying on procedural escalation, the case required careful professional judgement, contextual analysis and ethical balancing.</w:t>
            </w:r>
          </w:p>
          <w:p w14:paraId="02931ED5" w14:textId="77777777" w:rsidR="000621EA" w:rsidRPr="00A86CFE" w:rsidRDefault="000621EA" w:rsidP="000621EA">
            <w:pPr>
              <w:pStyle w:val="NoSpacing"/>
            </w:pPr>
          </w:p>
          <w:p w14:paraId="61128767" w14:textId="77777777" w:rsidR="000621EA" w:rsidRPr="00A86CFE" w:rsidRDefault="000621EA" w:rsidP="000621EA">
            <w:pPr>
              <w:pStyle w:val="NoSpacing"/>
            </w:pPr>
            <w:r w:rsidRPr="00A86CFE">
              <w:t>The circumstances of Individual 1 highlighted the intersection of disability, social isolation and socio-economic vulnerability. Bronfenbrenner’s Systems Theory (1979) provided a framework for understanding how these interacting systems increased risk of financial exploitation</w:t>
            </w:r>
            <w:sdt>
              <w:sdtPr>
                <w:id w:val="-1149353702"/>
                <w:citation/>
              </w:sdtPr>
              <w:sdtContent>
                <w:r>
                  <w:fldChar w:fldCharType="begin"/>
                </w:r>
                <w:r>
                  <w:instrText xml:space="preserve"> CITATION Bro79 \l 2057 </w:instrText>
                </w:r>
                <w:r>
                  <w:fldChar w:fldCharType="separate"/>
                </w:r>
                <w:r>
                  <w:rPr>
                    <w:noProof/>
                  </w:rPr>
                  <w:t xml:space="preserve"> </w:t>
                </w:r>
                <w:r w:rsidRPr="00A86CFE">
                  <w:rPr>
                    <w:noProof/>
                  </w:rPr>
                  <w:t>(Bronfenbrenner, 1979)</w:t>
                </w:r>
                <w:r>
                  <w:fldChar w:fldCharType="end"/>
                </w:r>
              </w:sdtContent>
            </w:sdt>
            <w:r w:rsidRPr="00A86CFE">
              <w:t xml:space="preserve">. His learning disability affected risk recognition at the micro level; relational breakdown reduced informal protective networks at the </w:t>
            </w:r>
            <w:proofErr w:type="spellStart"/>
            <w:r w:rsidRPr="00A86CFE">
              <w:t>meso</w:t>
            </w:r>
            <w:proofErr w:type="spellEnd"/>
            <w:r w:rsidRPr="00A86CFE">
              <w:t xml:space="preserve"> level; deprivation shaped community vulnerability at the </w:t>
            </w:r>
            <w:proofErr w:type="spellStart"/>
            <w:r w:rsidRPr="00A86CFE">
              <w:t>exo</w:t>
            </w:r>
            <w:proofErr w:type="spellEnd"/>
            <w:r w:rsidRPr="00A86CFE">
              <w:t xml:space="preserve"> level; and legislative and policy frameworks influenced professional response at the macro level</w:t>
            </w:r>
            <w:sdt>
              <w:sdtPr>
                <w:id w:val="-942305655"/>
                <w:citation/>
              </w:sdtPr>
              <w:sdtContent>
                <w:r>
                  <w:fldChar w:fldCharType="begin"/>
                </w:r>
                <w:r>
                  <w:instrText xml:space="preserve"> CITATION Bro79 \l 2057 </w:instrText>
                </w:r>
                <w:r>
                  <w:fldChar w:fldCharType="separate"/>
                </w:r>
                <w:r>
                  <w:rPr>
                    <w:noProof/>
                  </w:rPr>
                  <w:t xml:space="preserve"> </w:t>
                </w:r>
                <w:r w:rsidRPr="00A86CFE">
                  <w:rPr>
                    <w:noProof/>
                  </w:rPr>
                  <w:t>(Bronfenbrenner, 1979)</w:t>
                </w:r>
                <w:r>
                  <w:fldChar w:fldCharType="end"/>
                </w:r>
              </w:sdtContent>
            </w:sdt>
            <w:r w:rsidRPr="00A86CFE">
              <w:t>. Recognising this ecological complexity ensured that safeguarding intervention addressed structural as well as individual factors.</w:t>
            </w:r>
          </w:p>
          <w:p w14:paraId="1EE152D7" w14:textId="77777777" w:rsidR="000621EA" w:rsidRPr="00A86CFE" w:rsidRDefault="000621EA" w:rsidP="000621EA">
            <w:pPr>
              <w:pStyle w:val="NoSpacing"/>
            </w:pPr>
          </w:p>
          <w:p w14:paraId="4533B31C" w14:textId="77777777" w:rsidR="000621EA" w:rsidRPr="00A86CFE" w:rsidRDefault="000621EA" w:rsidP="000621EA">
            <w:pPr>
              <w:pStyle w:val="NoSpacing"/>
            </w:pPr>
            <w:r w:rsidRPr="00A86CFE">
              <w:t xml:space="preserve">Although financial abuse had occurred, the absence of ongoing perpetrator </w:t>
            </w:r>
            <w:proofErr w:type="gramStart"/>
            <w:r w:rsidRPr="00A86CFE">
              <w:t>contact</w:t>
            </w:r>
            <w:proofErr w:type="gramEnd"/>
            <w:r w:rsidRPr="00A86CFE">
              <w:t xml:space="preserve"> and the police decision to take no further action required a nuanced threshold decision. The choice not to initiate a full Section 126 safeguarding enquiry reflected proportionality and alignment with Part 2 of the Act, which promotes prevention and early intervention</w:t>
            </w:r>
            <w:sdt>
              <w:sdtPr>
                <w:id w:val="-1518305925"/>
                <w:citation/>
              </w:sdtPr>
              <w:sdtContent>
                <w:r>
                  <w:fldChar w:fldCharType="begin"/>
                </w:r>
                <w:r>
                  <w:instrText xml:space="preserve"> CITATION Wel144 \l 2057 </w:instrText>
                </w:r>
                <w:r>
                  <w:fldChar w:fldCharType="separate"/>
                </w:r>
                <w:r>
                  <w:rPr>
                    <w:noProof/>
                  </w:rPr>
                  <w:t xml:space="preserve"> </w:t>
                </w:r>
                <w:r w:rsidRPr="00A86CFE">
                  <w:rPr>
                    <w:noProof/>
                  </w:rPr>
                  <w:t>(Welsh Government, 2014)</w:t>
                </w:r>
                <w:r>
                  <w:fldChar w:fldCharType="end"/>
                </w:r>
              </w:sdtContent>
            </w:sdt>
            <w:r w:rsidRPr="00A86CFE">
              <w:t xml:space="preserve">. Instead, undertaking a Mental Capacity Assessment and establishing corporate </w:t>
            </w:r>
            <w:proofErr w:type="spellStart"/>
            <w:r w:rsidRPr="00A86CFE">
              <w:t>appointeeship</w:t>
            </w:r>
            <w:proofErr w:type="spellEnd"/>
            <w:r w:rsidRPr="00A86CFE">
              <w:t xml:space="preserve"> through </w:t>
            </w:r>
            <w:r>
              <w:t>XXX</w:t>
            </w:r>
            <w:r w:rsidRPr="00A86CFE">
              <w:t xml:space="preserve"> County Council provided structured financial protection while preserving autonomy in other areas of life</w:t>
            </w:r>
            <w:sdt>
              <w:sdtPr>
                <w:id w:val="1543628111"/>
                <w:citation/>
              </w:sdtPr>
              <w:sdtContent>
                <w:r>
                  <w:fldChar w:fldCharType="begin"/>
                </w:r>
                <w:r>
                  <w:instrText xml:space="preserve"> CITATION UKG052 \l 2057 </w:instrText>
                </w:r>
                <w:r>
                  <w:fldChar w:fldCharType="separate"/>
                </w:r>
                <w:r>
                  <w:rPr>
                    <w:noProof/>
                  </w:rPr>
                  <w:t xml:space="preserve"> </w:t>
                </w:r>
                <w:r w:rsidRPr="00A86CFE">
                  <w:rPr>
                    <w:noProof/>
                  </w:rPr>
                  <w:t>(UK Government, 2005)</w:t>
                </w:r>
                <w:r>
                  <w:fldChar w:fldCharType="end"/>
                </w:r>
              </w:sdtContent>
            </w:sdt>
            <w:r w:rsidRPr="00A86CFE">
              <w:t>. This decision embodied the least restrictive principle of the Mental Capacity Act 2005 and demonstrated integration of safeguarding and capacity legislation</w:t>
            </w:r>
            <w:sdt>
              <w:sdtPr>
                <w:id w:val="-1168936709"/>
                <w:citation/>
              </w:sdtPr>
              <w:sdtContent>
                <w:r>
                  <w:fldChar w:fldCharType="begin"/>
                </w:r>
                <w:r>
                  <w:instrText xml:space="preserve"> CITATION UKG052 \l 2057 </w:instrText>
                </w:r>
                <w:r>
                  <w:fldChar w:fldCharType="separate"/>
                </w:r>
                <w:r>
                  <w:rPr>
                    <w:noProof/>
                  </w:rPr>
                  <w:t xml:space="preserve"> </w:t>
                </w:r>
                <w:r w:rsidRPr="00A86CFE">
                  <w:rPr>
                    <w:noProof/>
                  </w:rPr>
                  <w:t>(UK Government, 2005)</w:t>
                </w:r>
                <w:r>
                  <w:fldChar w:fldCharType="end"/>
                </w:r>
              </w:sdtContent>
            </w:sdt>
            <w:r w:rsidRPr="00A86CFE">
              <w:t>.</w:t>
            </w:r>
          </w:p>
          <w:p w14:paraId="6B6B0B11" w14:textId="77777777" w:rsidR="000621EA" w:rsidRPr="00A86CFE" w:rsidRDefault="000621EA" w:rsidP="000621EA">
            <w:pPr>
              <w:pStyle w:val="NoSpacing"/>
            </w:pPr>
          </w:p>
          <w:p w14:paraId="04947979" w14:textId="77777777" w:rsidR="000621EA" w:rsidRPr="00A86CFE" w:rsidRDefault="000621EA" w:rsidP="000621EA">
            <w:pPr>
              <w:pStyle w:val="NoSpacing"/>
            </w:pPr>
            <w:r w:rsidRPr="00A86CFE">
              <w:t>Theoretical integration strengthened professional reasoning. Rogers’ Person-Centred Theory supported relational engagement and reduction of power imbalance</w:t>
            </w:r>
            <w:sdt>
              <w:sdtPr>
                <w:id w:val="1325019903"/>
                <w:citation/>
              </w:sdtPr>
              <w:sdtContent>
                <w:r>
                  <w:fldChar w:fldCharType="begin"/>
                </w:r>
                <w:r>
                  <w:instrText xml:space="preserve"> CITATION Rog51 \l 2057 </w:instrText>
                </w:r>
                <w:r>
                  <w:fldChar w:fldCharType="separate"/>
                </w:r>
                <w:r>
                  <w:rPr>
                    <w:noProof/>
                  </w:rPr>
                  <w:t xml:space="preserve"> </w:t>
                </w:r>
                <w:r w:rsidRPr="00A86CFE">
                  <w:rPr>
                    <w:noProof/>
                  </w:rPr>
                  <w:t>(Rogers, 1951)</w:t>
                </w:r>
                <w:r>
                  <w:fldChar w:fldCharType="end"/>
                </w:r>
              </w:sdtContent>
            </w:sdt>
            <w:r w:rsidRPr="00A86CFE">
              <w:t>; Empowerment Theory ensured continued participation despite capacity limitations</w:t>
            </w:r>
            <w:sdt>
              <w:sdtPr>
                <w:id w:val="-398597425"/>
                <w:citation/>
              </w:sdtPr>
              <w:sdtContent>
                <w:r>
                  <w:fldChar w:fldCharType="begin"/>
                </w:r>
                <w:r>
                  <w:instrText xml:space="preserve"> CITATION Ada08 \l 2057 </w:instrText>
                </w:r>
                <w:r>
                  <w:fldChar w:fldCharType="separate"/>
                </w:r>
                <w:r>
                  <w:rPr>
                    <w:noProof/>
                  </w:rPr>
                  <w:t xml:space="preserve"> </w:t>
                </w:r>
                <w:r w:rsidRPr="00A86CFE">
                  <w:rPr>
                    <w:noProof/>
                  </w:rPr>
                  <w:t>(Adams, 2008)</w:t>
                </w:r>
                <w:r>
                  <w:fldChar w:fldCharType="end"/>
                </w:r>
              </w:sdtContent>
            </w:sdt>
            <w:r w:rsidRPr="00A86CFE">
              <w:t>; and Systems Theory illuminated the broader contextual dynamics shaping vulnerability</w:t>
            </w:r>
            <w:sdt>
              <w:sdtPr>
                <w:id w:val="-1364043603"/>
                <w:citation/>
              </w:sdtPr>
              <w:sdtContent>
                <w:r>
                  <w:fldChar w:fldCharType="begin"/>
                </w:r>
                <w:r>
                  <w:instrText xml:space="preserve"> CITATION Bro79 \l 2057 </w:instrText>
                </w:r>
                <w:r>
                  <w:fldChar w:fldCharType="separate"/>
                </w:r>
                <w:r>
                  <w:rPr>
                    <w:noProof/>
                  </w:rPr>
                  <w:t xml:space="preserve"> </w:t>
                </w:r>
                <w:r w:rsidRPr="00A86CFE">
                  <w:rPr>
                    <w:noProof/>
                  </w:rPr>
                  <w:t>(Bronfenbrenner, 1979)</w:t>
                </w:r>
                <w:r>
                  <w:fldChar w:fldCharType="end"/>
                </w:r>
              </w:sdtContent>
            </w:sdt>
            <w:r w:rsidRPr="00A86CFE">
              <w:t>. These perspectives prevented the intervention from becoming procedurally driven and reinforced holistic, rights-based practice.</w:t>
            </w:r>
          </w:p>
          <w:p w14:paraId="4F04D8D2" w14:textId="77777777" w:rsidR="000621EA" w:rsidRPr="00A86CFE" w:rsidRDefault="000621EA" w:rsidP="000621EA">
            <w:pPr>
              <w:pStyle w:val="NoSpacing"/>
            </w:pPr>
          </w:p>
          <w:p w14:paraId="07FEBD2B" w14:textId="77777777" w:rsidR="000621EA" w:rsidRPr="00A86CFE" w:rsidRDefault="000621EA" w:rsidP="000621EA">
            <w:pPr>
              <w:pStyle w:val="NoSpacing"/>
            </w:pPr>
            <w:r w:rsidRPr="00A86CFE">
              <w:t xml:space="preserve">Collaborative working with police, </w:t>
            </w:r>
            <w:r>
              <w:t>XXX</w:t>
            </w:r>
            <w:r w:rsidRPr="00A86CFE">
              <w:t xml:space="preserve"> services and informal community supports illustrated the importance of coordinated multi-agency safeguarding. Lawful and proportionate information sharing, guided by Welsh Government Information Sharing Guidance (2021) and data protection legislation, ensured accountability while respecting Individual 1’s right to privacy under Article 8 of the European Convention on Human Rights</w:t>
            </w:r>
            <w:sdt>
              <w:sdtPr>
                <w:id w:val="-1671331124"/>
                <w:citation/>
              </w:sdtPr>
              <w:sdtContent>
                <w:r>
                  <w:fldChar w:fldCharType="begin"/>
                </w:r>
                <w:r>
                  <w:instrText xml:space="preserve"> CITATION Wel21 \l 2057 </w:instrText>
                </w:r>
                <w:r>
                  <w:fldChar w:fldCharType="separate"/>
                </w:r>
                <w:r>
                  <w:rPr>
                    <w:noProof/>
                  </w:rPr>
                  <w:t xml:space="preserve"> </w:t>
                </w:r>
                <w:r w:rsidRPr="00A86CFE">
                  <w:rPr>
                    <w:noProof/>
                  </w:rPr>
                  <w:t>(Welsh Government, 2021)</w:t>
                </w:r>
                <w:r>
                  <w:fldChar w:fldCharType="end"/>
                </w:r>
              </w:sdtContent>
            </w:sdt>
            <w:r>
              <w:t xml:space="preserve">, </w:t>
            </w:r>
            <w:sdt>
              <w:sdtPr>
                <w:id w:val="661667913"/>
                <w:citation/>
              </w:sdtPr>
              <w:sdtContent>
                <w:r>
                  <w:fldChar w:fldCharType="begin"/>
                </w:r>
                <w:r>
                  <w:instrText xml:space="preserve"> CITATION Cou50 \l 2057 </w:instrText>
                </w:r>
                <w:r>
                  <w:fldChar w:fldCharType="separate"/>
                </w:r>
                <w:r w:rsidRPr="00A86CFE">
                  <w:rPr>
                    <w:noProof/>
                  </w:rPr>
                  <w:t>(Council of Europe, 1950)</w:t>
                </w:r>
                <w:r>
                  <w:fldChar w:fldCharType="end"/>
                </w:r>
              </w:sdtContent>
            </w:sdt>
            <w:r w:rsidRPr="00A86CFE">
              <w:t>.</w:t>
            </w:r>
          </w:p>
          <w:p w14:paraId="52ABDC08" w14:textId="77777777" w:rsidR="000621EA" w:rsidRPr="00A86CFE" w:rsidRDefault="000621EA" w:rsidP="000621EA">
            <w:pPr>
              <w:pStyle w:val="NoSpacing"/>
            </w:pPr>
          </w:p>
          <w:p w14:paraId="26250EB3" w14:textId="77777777" w:rsidR="000621EA" w:rsidRPr="00A86CFE" w:rsidRDefault="000621EA" w:rsidP="000621EA">
            <w:pPr>
              <w:pStyle w:val="NoSpacing"/>
            </w:pPr>
            <w:r w:rsidRPr="00A86CFE">
              <w:t>Overall, this case demonstrates that effective safeguarding in Wales requires integration of legislation, theory, ethical reflection and local policy implementation. By balancing autonomy with protection and exercising critical professional judgement within a unified Welsh safeguarding framework, the intervention promoted safety, dignity and well-being in a proportionate and sustainable manner</w:t>
            </w:r>
            <w:r>
              <w:t>.</w:t>
            </w:r>
          </w:p>
          <w:p w14:paraId="76B1C32A" w14:textId="77777777" w:rsidR="000621EA" w:rsidRDefault="000621EA" w:rsidP="000621EA">
            <w:pPr>
              <w:pStyle w:val="NoSpacing"/>
            </w:pPr>
          </w:p>
          <w:p w14:paraId="1C990FCE" w14:textId="77777777" w:rsidR="000621EA" w:rsidRDefault="000621EA" w:rsidP="000621EA">
            <w:pPr>
              <w:pStyle w:val="NoSpacing"/>
            </w:pPr>
          </w:p>
          <w:p w14:paraId="37001AE4" w14:textId="77777777" w:rsidR="000621EA" w:rsidRPr="00E1117C" w:rsidRDefault="000621EA" w:rsidP="000621EA">
            <w:pPr>
              <w:pStyle w:val="NoSpacing"/>
              <w:rPr>
                <w:i/>
                <w:iCs/>
              </w:rPr>
            </w:pPr>
            <w:r>
              <w:rPr>
                <w:i/>
                <w:iCs/>
              </w:rPr>
              <w:t xml:space="preserve">Section Word Count: </w:t>
            </w:r>
            <w:r w:rsidRPr="00E1117C">
              <w:rPr>
                <w:i/>
                <w:iCs/>
              </w:rPr>
              <w:t>452</w:t>
            </w:r>
          </w:p>
          <w:p w14:paraId="1A147A7E" w14:textId="77777777" w:rsidR="000621EA" w:rsidRDefault="000621EA" w:rsidP="000621EA">
            <w:pPr>
              <w:pStyle w:val="NoSpacing"/>
            </w:pPr>
          </w:p>
          <w:p w14:paraId="1EABE933" w14:textId="77777777" w:rsidR="000621EA" w:rsidRDefault="000621EA" w:rsidP="000621EA">
            <w:pPr>
              <w:pStyle w:val="NoSpacing"/>
            </w:pPr>
          </w:p>
          <w:p w14:paraId="441E108F" w14:textId="77777777" w:rsidR="000621EA" w:rsidRPr="00E1117C" w:rsidRDefault="000621EA" w:rsidP="000621EA">
            <w:pPr>
              <w:pStyle w:val="NoSpacing"/>
              <w:rPr>
                <w:b/>
                <w:bCs/>
              </w:rPr>
            </w:pPr>
            <w:r w:rsidRPr="00E1117C">
              <w:rPr>
                <w:b/>
                <w:bCs/>
              </w:rPr>
              <w:t>Total Word Count: 3616</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95C23" w14:textId="77777777" w:rsidR="00F7732A" w:rsidRDefault="00F7732A">
      <w:r>
        <w:separator/>
      </w:r>
    </w:p>
  </w:endnote>
  <w:endnote w:type="continuationSeparator" w:id="0">
    <w:p w14:paraId="2C1A6EAF" w14:textId="77777777" w:rsidR="00F7732A" w:rsidRDefault="00F77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20225" w14:textId="77777777" w:rsidR="00F7732A" w:rsidRDefault="00F7732A">
      <w:r>
        <w:separator/>
      </w:r>
    </w:p>
  </w:footnote>
  <w:footnote w:type="continuationSeparator" w:id="0">
    <w:p w14:paraId="715B5C3D" w14:textId="77777777" w:rsidR="00F7732A" w:rsidRDefault="00F773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1EA"/>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9D7"/>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32A"/>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0621EA"/>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4695</Words>
  <Characters>26762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Alys Gayther</cp:lastModifiedBy>
  <cp:revision>2</cp:revision>
  <cp:lastPrinted>2020-02-11T19:20:00Z</cp:lastPrinted>
  <dcterms:created xsi:type="dcterms:W3CDTF">2026-02-23T15:40:00Z</dcterms:created>
  <dcterms:modified xsi:type="dcterms:W3CDTF">2026-02-23T15:40:00Z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