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2">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3">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4">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5">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6">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7">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8">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9">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A">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B">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C">
      <w:pPr>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DIGITAL SKILLS AND RESEARCH METHODS </w:t>
      </w:r>
    </w:p>
    <w:p w:rsidR="00000000" w:rsidDel="00000000" w:rsidP="00000000" w:rsidRDefault="00000000" w:rsidRPr="00000000" w14:paraId="0000000D">
      <w:pPr>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BMSW4003</w:t>
      </w:r>
    </w:p>
    <w:p w:rsidR="00000000" w:rsidDel="00000000" w:rsidP="00000000" w:rsidRDefault="00000000" w:rsidRPr="00000000" w14:paraId="0000000E">
      <w:pPr>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CARABET IRINA SIMONA-2112860</w:t>
      </w:r>
    </w:p>
    <w:p w:rsidR="00000000" w:rsidDel="00000000" w:rsidP="00000000" w:rsidRDefault="00000000" w:rsidRPr="00000000" w14:paraId="0000000F">
      <w:pPr>
        <w:jc w:val="center"/>
        <w:rPr>
          <w:rFonts w:ascii="Times New Roman" w:cs="Times New Roman" w:eastAsia="Times New Roman" w:hAnsi="Times New Roman"/>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1"/>
          <w:i w:val="0"/>
          <w:smallCaps w:val="0"/>
          <w:strike w:val="0"/>
          <w:color w:val="000000"/>
          <w:sz w:val="28"/>
          <w:szCs w:val="28"/>
          <w:u w:val="singl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singl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Research Title</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Rationale</w:t>
              <w:tab/>
              <w:t xml:space="preserve">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Objectives</w:t>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Literature review</w:t>
              <w:tab/>
              <w:t xml:space="preserve">4</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challenges of using Virtual Learning Experience</w:t>
              <w:tab/>
              <w:t xml:space="preserve">4</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Learning management system via Moodle</w:t>
              <w:tab/>
              <w:t xml:space="preserve">5</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Research Methodology</w:t>
              <w:tab/>
              <w:t xml:space="preserve">5</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Primary Data Analysis</w:t>
              <w:tab/>
              <w:t xml:space="preserve">6</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Secondary Data Analysis</w:t>
              <w:tab/>
              <w:t xml:space="preserve">7</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 and Recommendation</w:t>
              <w:tab/>
              <w:t xml:space="preserve">8</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 List</w:t>
              <w:tab/>
              <w:t xml:space="preserve">10</w:t>
            </w:r>
          </w:hyperlink>
          <w:r w:rsidDel="00000000" w:rsidR="00000000" w:rsidRPr="00000000">
            <w:rPr>
              <w:rtl w:val="0"/>
            </w:rPr>
          </w:r>
        </w:p>
        <w:p w:rsidR="00000000" w:rsidDel="00000000" w:rsidP="00000000" w:rsidRDefault="00000000" w:rsidRPr="00000000" w14:paraId="0000001D">
          <w:pPr>
            <w:spacing w:line="360" w:lineRule="auto"/>
            <w:jc w:val="both"/>
            <w:rPr>
              <w:rFonts w:ascii="Times New Roman" w:cs="Times New Roman" w:eastAsia="Times New Roman" w:hAnsi="Times New Roman"/>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E">
      <w:pPr>
        <w:spacing w:line="360" w:lineRule="auto"/>
        <w:jc w:val="both"/>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F">
      <w:pPr>
        <w:pStyle w:val="Heading1"/>
        <w:rPr/>
      </w:pPr>
      <w:bookmarkStart w:colFirst="0" w:colLast="0" w:name="_heading=h.gjdgxs" w:id="0"/>
      <w:bookmarkEnd w:id="0"/>
      <w:r w:rsidDel="00000000" w:rsidR="00000000" w:rsidRPr="00000000">
        <w:rPr>
          <w:rtl w:val="0"/>
        </w:rPr>
        <w:t xml:space="preserve">Research Title</w:t>
      </w:r>
    </w:p>
    <w:p w:rsidR="00000000" w:rsidDel="00000000" w:rsidP="00000000" w:rsidRDefault="00000000" w:rsidRPr="00000000" w14:paraId="0000002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Impact of Virtual Learning Environment (VLE) and Moodle on students’ learning experience at the University of Wales Trinity Saint David London Campus.</w:t>
      </w:r>
    </w:p>
    <w:p w:rsidR="00000000" w:rsidDel="00000000" w:rsidP="00000000" w:rsidRDefault="00000000" w:rsidRPr="00000000" w14:paraId="00000021">
      <w:pPr>
        <w:pStyle w:val="Heading1"/>
        <w:rPr/>
      </w:pPr>
      <w:bookmarkStart w:colFirst="0" w:colLast="0" w:name="_heading=h.30j0zll" w:id="1"/>
      <w:bookmarkEnd w:id="1"/>
      <w:r w:rsidDel="00000000" w:rsidR="00000000" w:rsidRPr="00000000">
        <w:rPr>
          <w:rtl w:val="0"/>
        </w:rPr>
        <w:t xml:space="preserve">Introduction </w:t>
      </w:r>
    </w:p>
    <w:p w:rsidR="00000000" w:rsidDel="00000000" w:rsidP="00000000" w:rsidRDefault="00000000" w:rsidRPr="00000000" w14:paraId="0000002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aim of the following research is to discuss the impact of Virtual Learning Environment (VLE) and Moodle on students’ learning experience at the University of Wales Trinity Saint David London Campus.</w:t>
      </w:r>
      <w:r w:rsidDel="00000000" w:rsidR="00000000" w:rsidRPr="00000000">
        <w:rPr>
          <w:rtl w:val="0"/>
        </w:rPr>
        <w:t xml:space="preserve"> </w:t>
      </w:r>
      <w:r w:rsidDel="00000000" w:rsidR="00000000" w:rsidRPr="00000000">
        <w:rPr>
          <w:rFonts w:ascii="Times New Roman" w:cs="Times New Roman" w:eastAsia="Times New Roman" w:hAnsi="Times New Roman"/>
          <w:sz w:val="24"/>
          <w:szCs w:val="24"/>
          <w:rtl w:val="0"/>
        </w:rPr>
        <w:t xml:space="preserve">In educational technology, a virtual learning environment (VLE) is a web-based platform that is used to facilitate the digital components of courses of study, which is often offered by educational institutions (</w:t>
      </w:r>
      <w:r w:rsidDel="00000000" w:rsidR="00000000" w:rsidRPr="00000000">
        <w:rPr>
          <w:rFonts w:ascii="Times New Roman" w:cs="Times New Roman" w:eastAsia="Times New Roman" w:hAnsi="Times New Roman"/>
          <w:sz w:val="24"/>
          <w:szCs w:val="24"/>
          <w:highlight w:val="white"/>
          <w:rtl w:val="0"/>
        </w:rPr>
        <w:t xml:space="preserve">Waheed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2020</w:t>
      </w:r>
      <w:r w:rsidDel="00000000" w:rsidR="00000000" w:rsidRPr="00000000">
        <w:rPr>
          <w:rFonts w:ascii="Times New Roman" w:cs="Times New Roman" w:eastAsia="Times New Roman" w:hAnsi="Times New Roman"/>
          <w:sz w:val="24"/>
          <w:szCs w:val="24"/>
          <w:rtl w:val="0"/>
        </w:rPr>
        <w:t xml:space="preserve">). In the context of a course framework, they provide materials, activities, and interactions, as well as the many phases of evaluation. Aside from that, most VLEs provide reports on participation and integrate with other institutional systems to some degree. An attractively designed area for teaching and learning, a virtual learning environment also provides a welcoming setting in which learners, instructors, and students may feel comfortable and confident.</w:t>
      </w:r>
    </w:p>
    <w:p w:rsidR="00000000" w:rsidDel="00000000" w:rsidP="00000000" w:rsidRDefault="00000000" w:rsidRPr="00000000" w14:paraId="00000023">
      <w:pPr>
        <w:pStyle w:val="Heading1"/>
        <w:rPr/>
      </w:pPr>
      <w:bookmarkStart w:colFirst="0" w:colLast="0" w:name="_heading=h.1fob9te" w:id="2"/>
      <w:bookmarkEnd w:id="2"/>
      <w:r w:rsidDel="00000000" w:rsidR="00000000" w:rsidRPr="00000000">
        <w:rPr>
          <w:rtl w:val="0"/>
        </w:rPr>
        <w:t xml:space="preserve">Rationale</w:t>
      </w:r>
    </w:p>
    <w:p w:rsidR="00000000" w:rsidDel="00000000" w:rsidP="00000000" w:rsidRDefault="00000000" w:rsidRPr="00000000" w14:paraId="0000002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Instead of becoming an anti-social environment that takes the place of real life, the correct VLE may actually enrich the social space of a classroom. Discussion threads, polls, and surveys are all made possible as a result of this (</w:t>
      </w:r>
      <w:r w:rsidDel="00000000" w:rsidR="00000000" w:rsidRPr="00000000">
        <w:rPr>
          <w:rFonts w:ascii="Times New Roman" w:cs="Times New Roman" w:eastAsia="Times New Roman" w:hAnsi="Times New Roman"/>
          <w:sz w:val="24"/>
          <w:szCs w:val="24"/>
          <w:highlight w:val="white"/>
          <w:rtl w:val="0"/>
        </w:rPr>
        <w:t xml:space="preserve">Wanderley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2020</w:t>
      </w:r>
      <w:r w:rsidDel="00000000" w:rsidR="00000000" w:rsidRPr="00000000">
        <w:rPr>
          <w:rFonts w:ascii="Times New Roman" w:cs="Times New Roman" w:eastAsia="Times New Roman" w:hAnsi="Times New Roman"/>
          <w:sz w:val="24"/>
          <w:szCs w:val="24"/>
          <w:rtl w:val="0"/>
        </w:rPr>
        <w:t xml:space="preserve">). It enables students to submit work without the need to locate their instructors. It serves as a central location for an endless amount of resources in the form of papers, workbooks, and Power Point presentations. Teachers may use a VLE to connect students to other online resources, embed videos from YouTube, articles from newspapers, and give venues for student-created podcasts, among other things (</w:t>
      </w:r>
      <w:r w:rsidDel="00000000" w:rsidR="00000000" w:rsidRPr="00000000">
        <w:rPr>
          <w:rFonts w:ascii="Times New Roman" w:cs="Times New Roman" w:eastAsia="Times New Roman" w:hAnsi="Times New Roman"/>
          <w:sz w:val="24"/>
          <w:szCs w:val="24"/>
          <w:highlight w:val="white"/>
          <w:rtl w:val="0"/>
        </w:rPr>
        <w:t xml:space="preserve">Jani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2018</w:t>
      </w:r>
      <w:r w:rsidDel="00000000" w:rsidR="00000000" w:rsidRPr="00000000">
        <w:rPr>
          <w:rFonts w:ascii="Times New Roman" w:cs="Times New Roman" w:eastAsia="Times New Roman" w:hAnsi="Times New Roman"/>
          <w:sz w:val="24"/>
          <w:szCs w:val="24"/>
          <w:rtl w:val="0"/>
        </w:rPr>
        <w:t xml:space="preserve">). More than merely a virtual storehouse for learning materials, the most valuable virtual learning environments and virtual learning software serve as portals to unlimited pathways of connection, content, and learning, from which instructors, school administrators, students, and parents all benefit.</w:t>
      </w:r>
    </w:p>
    <w:p w:rsidR="00000000" w:rsidDel="00000000" w:rsidP="00000000" w:rsidRDefault="00000000" w:rsidRPr="00000000" w14:paraId="00000025">
      <w:pPr>
        <w:pStyle w:val="Heading1"/>
        <w:rPr/>
      </w:pPr>
      <w:bookmarkStart w:colFirst="0" w:colLast="0" w:name="_heading=h.3znysh7" w:id="3"/>
      <w:bookmarkEnd w:id="3"/>
      <w:r w:rsidDel="00000000" w:rsidR="00000000" w:rsidRPr="00000000">
        <w:rPr>
          <w:rtl w:val="0"/>
        </w:rPr>
        <w:t xml:space="preserve">Objectives</w:t>
      </w:r>
    </w:p>
    <w:p w:rsidR="00000000" w:rsidDel="00000000" w:rsidP="00000000" w:rsidRDefault="00000000" w:rsidRPr="00000000" w14:paraId="0000002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aim of the following research is to analyse the impact of Virtual Learning Environment (VLE) and Moodle on students’ learning experience at the University of Wales Trinity Saint David London Campus.</w:t>
      </w:r>
    </w:p>
    <w:p w:rsidR="00000000" w:rsidDel="00000000" w:rsidP="00000000" w:rsidRDefault="00000000" w:rsidRPr="00000000" w14:paraId="0000002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objectives of the following research are</w:t>
      </w:r>
    </w:p>
    <w:p w:rsidR="00000000" w:rsidDel="00000000" w:rsidP="00000000" w:rsidRDefault="00000000" w:rsidRPr="00000000" w14:paraId="00000028">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analyse the impact of Virtual Learning Environment (VLE) and Moodle on students’ learning experience.</w:t>
      </w:r>
    </w:p>
    <w:p w:rsidR="00000000" w:rsidDel="00000000" w:rsidP="00000000" w:rsidRDefault="00000000" w:rsidRPr="00000000" w14:paraId="00000029">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identify the challenges of using Virtual Learning Environment (VLE) and Moodle on students’ learning experience.</w:t>
      </w:r>
    </w:p>
    <w:p w:rsidR="00000000" w:rsidDel="00000000" w:rsidP="00000000" w:rsidRDefault="00000000" w:rsidRPr="00000000" w14:paraId="0000002A">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discuss factors of improving learning experience of students using Virtual Learning Environment and Moodle.</w:t>
      </w:r>
    </w:p>
    <w:p w:rsidR="00000000" w:rsidDel="00000000" w:rsidP="00000000" w:rsidRDefault="00000000" w:rsidRPr="00000000" w14:paraId="0000002B">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make recommendations for teacher of University of Wales Trinity Saint David London Campus for further improving their Moodle portal.</w:t>
      </w:r>
    </w:p>
    <w:p w:rsidR="00000000" w:rsidDel="00000000" w:rsidP="00000000" w:rsidRDefault="00000000" w:rsidRPr="00000000" w14:paraId="0000002C">
      <w:pPr>
        <w:pStyle w:val="Heading1"/>
        <w:rPr/>
      </w:pPr>
      <w:bookmarkStart w:colFirst="0" w:colLast="0" w:name="_heading=h.2et92p0" w:id="4"/>
      <w:bookmarkEnd w:id="4"/>
      <w:r w:rsidDel="00000000" w:rsidR="00000000" w:rsidRPr="00000000">
        <w:rPr>
          <w:rtl w:val="0"/>
        </w:rPr>
        <w:t xml:space="preserve">Literature review</w:t>
      </w:r>
    </w:p>
    <w:p w:rsidR="00000000" w:rsidDel="00000000" w:rsidP="00000000" w:rsidRDefault="00000000" w:rsidRPr="00000000" w14:paraId="0000002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a virtual learning environment, students and instructors have access to digital technologies that help them to get most out of their learning experience. In contrast to a virtual classroom, which is intended to replicate and replace the physical classroom environment for distance learners, a virtual learning environment (VLE) uses technology to supplement the in-class experience, including, for example, digital communication, interaction, and quizzes or polls that are administered through the VLE (</w:t>
      </w:r>
      <w:r w:rsidDel="00000000" w:rsidR="00000000" w:rsidRPr="00000000">
        <w:rPr>
          <w:rFonts w:ascii="Times New Roman" w:cs="Times New Roman" w:eastAsia="Times New Roman" w:hAnsi="Times New Roman"/>
          <w:sz w:val="24"/>
          <w:szCs w:val="24"/>
          <w:highlight w:val="white"/>
          <w:rtl w:val="0"/>
        </w:rPr>
        <w:t xml:space="preserve">Farrelly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2018</w:t>
      </w:r>
      <w:r w:rsidDel="00000000" w:rsidR="00000000" w:rsidRPr="00000000">
        <w:rPr>
          <w:rFonts w:ascii="Times New Roman" w:cs="Times New Roman" w:eastAsia="Times New Roman" w:hAnsi="Times New Roman"/>
          <w:sz w:val="24"/>
          <w:szCs w:val="24"/>
          <w:rtl w:val="0"/>
        </w:rPr>
        <w:t xml:space="preserve">). A virtual learning environment (VLE) is a system that provides educators with digitally-based solutions that are intended to help them create dynamic, active learning environments. VLEs may assist professors in the creation, storage, and dissemination of information, the planning of courses and lessons, and the facilitation of contact between students and professors in the form of e-mails and discussions, even in real-time, among other things. Many higher education institutions use virtual learning environments as part of a larger learning management system (</w:t>
      </w:r>
      <w:r w:rsidDel="00000000" w:rsidR="00000000" w:rsidRPr="00000000">
        <w:rPr>
          <w:rFonts w:ascii="Times New Roman" w:cs="Times New Roman" w:eastAsia="Times New Roman" w:hAnsi="Times New Roman"/>
          <w:sz w:val="24"/>
          <w:szCs w:val="24"/>
          <w:highlight w:val="white"/>
          <w:rtl w:val="0"/>
        </w:rPr>
        <w:t xml:space="preserve">Aminian and ZareNezhad, 2020</w:t>
      </w:r>
      <w:r w:rsidDel="00000000" w:rsidR="00000000" w:rsidRPr="00000000">
        <w:rPr>
          <w:rFonts w:ascii="Times New Roman" w:cs="Times New Roman" w:eastAsia="Times New Roman" w:hAnsi="Times New Roman"/>
          <w:sz w:val="24"/>
          <w:szCs w:val="24"/>
          <w:rtl w:val="0"/>
        </w:rPr>
        <w:t xml:space="preserve">). PHP-based Moodle is a free and open-source learning management system (LMS) that is released under the terms of the GNU General Public License (GPL). Moodle, which was developed on pedagogical ideas, is used in schools, colleges, businesses, and other sectors for blended learning, remote education, flipped classroom, and other e-learning initiatives.</w:t>
      </w:r>
    </w:p>
    <w:p w:rsidR="00000000" w:rsidDel="00000000" w:rsidP="00000000" w:rsidRDefault="00000000" w:rsidRPr="00000000" w14:paraId="0000002E">
      <w:pPr>
        <w:pStyle w:val="Heading1"/>
        <w:rPr/>
      </w:pPr>
      <w:bookmarkStart w:colFirst="0" w:colLast="0" w:name="_heading=h.tyjcwt" w:id="5"/>
      <w:bookmarkEnd w:id="5"/>
      <w:r w:rsidDel="00000000" w:rsidR="00000000" w:rsidRPr="00000000">
        <w:rPr>
          <w:rtl w:val="0"/>
        </w:rPr>
        <w:t xml:space="preserve">The challenges of using Virtual Learning Experience</w:t>
      </w:r>
    </w:p>
    <w:p w:rsidR="00000000" w:rsidDel="00000000" w:rsidP="00000000" w:rsidRDefault="00000000" w:rsidRPr="00000000" w14:paraId="0000002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Once facilitators are aware of the requirements ahead of time, they may be better prepared to give adjustments and remove these virtual learning environment issues. An excellent practise is to send out a brief survey soon away when a person register (</w:t>
      </w:r>
      <w:r w:rsidDel="00000000" w:rsidR="00000000" w:rsidRPr="00000000">
        <w:rPr>
          <w:rFonts w:ascii="Times New Roman" w:cs="Times New Roman" w:eastAsia="Times New Roman" w:hAnsi="Times New Roman"/>
          <w:sz w:val="24"/>
          <w:szCs w:val="24"/>
          <w:highlight w:val="white"/>
          <w:rtl w:val="0"/>
        </w:rPr>
        <w:t xml:space="preserve">Raman and Rathakrishnan, 2018</w:t>
      </w:r>
      <w:r w:rsidDel="00000000" w:rsidR="00000000" w:rsidRPr="00000000">
        <w:rPr>
          <w:rFonts w:ascii="Times New Roman" w:cs="Times New Roman" w:eastAsia="Times New Roman" w:hAnsi="Times New Roman"/>
          <w:sz w:val="24"/>
          <w:szCs w:val="24"/>
          <w:rtl w:val="0"/>
        </w:rPr>
        <w:t xml:space="preserve">). Provide a high-level description of what is anticipated to take place in the class, and ask students to identify any obstacles that might prevent them from participating in the event or accessing the information. Assure participants that the objective is to ensure that everyone is able to engage completely in the training session. Many people who have visual difficulties depend on screen readers to assist them in deciphering textual information (</w:t>
      </w:r>
      <w:r w:rsidDel="00000000" w:rsidR="00000000" w:rsidRPr="00000000">
        <w:rPr>
          <w:rFonts w:ascii="Times New Roman" w:cs="Times New Roman" w:eastAsia="Times New Roman" w:hAnsi="Times New Roman"/>
          <w:sz w:val="24"/>
          <w:szCs w:val="24"/>
          <w:highlight w:val="white"/>
          <w:rtl w:val="0"/>
        </w:rPr>
        <w:t xml:space="preserve">Xiao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2020</w:t>
      </w:r>
      <w:r w:rsidDel="00000000" w:rsidR="00000000" w:rsidRPr="00000000">
        <w:rPr>
          <w:rFonts w:ascii="Times New Roman" w:cs="Times New Roman" w:eastAsia="Times New Roman" w:hAnsi="Times New Roman"/>
          <w:sz w:val="24"/>
          <w:szCs w:val="24"/>
          <w:rtl w:val="0"/>
        </w:rPr>
        <w:t xml:space="preserve">). If they're planning a VILT session, it's a good idea to put additional papers and slides into the platform as soon as possible so that people who rely on adaptable devices have enough opportunity to evaluate the supporting material before the session begins. Similarly, trainers who want to offer video clips during a virtual training class should make them accessible in advance to learners with special needs so that they have the option to consume them prior to the class with accessibility features enabled.</w:t>
      </w:r>
    </w:p>
    <w:p w:rsidR="00000000" w:rsidDel="00000000" w:rsidP="00000000" w:rsidRDefault="00000000" w:rsidRPr="00000000" w14:paraId="00000030">
      <w:pPr>
        <w:pStyle w:val="Heading1"/>
        <w:rPr/>
      </w:pPr>
      <w:bookmarkStart w:colFirst="0" w:colLast="0" w:name="_heading=h.3dy6vkm" w:id="6"/>
      <w:bookmarkEnd w:id="6"/>
      <w:r w:rsidDel="00000000" w:rsidR="00000000" w:rsidRPr="00000000">
        <w:rPr>
          <w:rtl w:val="0"/>
        </w:rPr>
        <w:t xml:space="preserve">Learning management system via Moodle</w:t>
      </w:r>
    </w:p>
    <w:p w:rsidR="00000000" w:rsidDel="00000000" w:rsidP="00000000" w:rsidRDefault="00000000" w:rsidRPr="00000000" w14:paraId="0000003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Moodle is a free programme that allows educators to create online courses, course structures, and curriculum while also encouraging interaction with online students. Moodle is a learning management system that is used to create online courses (</w:t>
      </w:r>
      <w:r w:rsidDel="00000000" w:rsidR="00000000" w:rsidRPr="00000000">
        <w:rPr>
          <w:rFonts w:ascii="Times New Roman" w:cs="Times New Roman" w:eastAsia="Times New Roman" w:hAnsi="Times New Roman"/>
          <w:sz w:val="24"/>
          <w:szCs w:val="24"/>
          <w:highlight w:val="white"/>
          <w:rtl w:val="0"/>
        </w:rPr>
        <w:t xml:space="preserve">Al-Azawei and Al-Masoudy, 2020</w:t>
      </w:r>
      <w:r w:rsidDel="00000000" w:rsidR="00000000" w:rsidRPr="00000000">
        <w:rPr>
          <w:rFonts w:ascii="Times New Roman" w:cs="Times New Roman" w:eastAsia="Times New Roman" w:hAnsi="Times New Roman"/>
          <w:sz w:val="24"/>
          <w:szCs w:val="24"/>
          <w:rtl w:val="0"/>
        </w:rPr>
        <w:t xml:space="preserve">). Moodle was created by Martin Dougiamas, and its major goal has been to contribute appropriately to the system of e-learning and to enable online education and the accomplishment of online degrees from its beginnings (</w:t>
      </w:r>
      <w:r w:rsidDel="00000000" w:rsidR="00000000" w:rsidRPr="00000000">
        <w:rPr>
          <w:rFonts w:ascii="Times New Roman" w:cs="Times New Roman" w:eastAsia="Times New Roman" w:hAnsi="Times New Roman"/>
          <w:sz w:val="24"/>
          <w:szCs w:val="24"/>
          <w:highlight w:val="white"/>
          <w:rtl w:val="0"/>
        </w:rPr>
        <w:t xml:space="preserve">Hamill, 2020</w:t>
      </w:r>
      <w:r w:rsidDel="00000000" w:rsidR="00000000" w:rsidRPr="00000000">
        <w:rPr>
          <w:rFonts w:ascii="Times New Roman" w:cs="Times New Roman" w:eastAsia="Times New Roman" w:hAnsi="Times New Roman"/>
          <w:sz w:val="24"/>
          <w:szCs w:val="24"/>
          <w:rtl w:val="0"/>
        </w:rPr>
        <w:t xml:space="preserve">). Moodle is an acronym that stands for Modular Object-Oriented Dynamic Learning Environment, and according to statistics, around 14 million people are enrolled in approximately 1.4 million courses that are distributed through this learning management system (</w:t>
      </w:r>
      <w:r w:rsidDel="00000000" w:rsidR="00000000" w:rsidRPr="00000000">
        <w:rPr>
          <w:rFonts w:ascii="Times New Roman" w:cs="Times New Roman" w:eastAsia="Times New Roman" w:hAnsi="Times New Roman"/>
          <w:sz w:val="24"/>
          <w:szCs w:val="24"/>
          <w:highlight w:val="white"/>
          <w:rtl w:val="0"/>
        </w:rPr>
        <w:t xml:space="preserve">Mendez and Florez, 2018</w:t>
      </w:r>
      <w:r w:rsidDel="00000000" w:rsidR="00000000" w:rsidRPr="00000000">
        <w:rPr>
          <w:rFonts w:ascii="Times New Roman" w:cs="Times New Roman" w:eastAsia="Times New Roman" w:hAnsi="Times New Roman"/>
          <w:sz w:val="24"/>
          <w:szCs w:val="24"/>
          <w:rtl w:val="0"/>
        </w:rPr>
        <w:t xml:space="preserve">). The current infrastructure facilities employed by Moodle allow it to accommodate a myriad of plug-in choices including as graphical themes and content filters, registration and authentication procedures, as well as resource and question patterns. Moodle may be used on any operating system that supports the use of PHP, and some of the operating systems on which Moodle can be used without any modifications are Mac OS X, Windows, Linux, Unix, NetWare, and others.</w:t>
      </w:r>
    </w:p>
    <w:p w:rsidR="00000000" w:rsidDel="00000000" w:rsidP="00000000" w:rsidRDefault="00000000" w:rsidRPr="00000000" w14:paraId="00000032">
      <w:pPr>
        <w:pStyle w:val="Heading1"/>
        <w:rPr/>
      </w:pPr>
      <w:bookmarkStart w:colFirst="0" w:colLast="0" w:name="_heading=h.1t3h5sf" w:id="7"/>
      <w:bookmarkEnd w:id="7"/>
      <w:r w:rsidDel="00000000" w:rsidR="00000000" w:rsidRPr="00000000">
        <w:rPr>
          <w:rtl w:val="0"/>
        </w:rPr>
        <w:t xml:space="preserve">Research Methodology</w:t>
      </w:r>
    </w:p>
    <w:p w:rsidR="00000000" w:rsidDel="00000000" w:rsidP="00000000" w:rsidRDefault="00000000" w:rsidRPr="00000000" w14:paraId="0000003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collection of data is synthesised into a general principle that may be applied to any scenario via the use of inductive reasoning. Between inductive and deductive reasoning, there are significant differences. An inductive argument's conclusion is only likely to be right based on the evidence offered within it, however if the premises are correct, then the conclusion of a deductive argument is absolutely definite (</w:t>
      </w:r>
      <w:r w:rsidDel="00000000" w:rsidR="00000000" w:rsidRPr="00000000">
        <w:rPr>
          <w:rFonts w:ascii="Times New Roman" w:cs="Times New Roman" w:eastAsia="Times New Roman" w:hAnsi="Times New Roman"/>
          <w:sz w:val="24"/>
          <w:szCs w:val="24"/>
          <w:highlight w:val="white"/>
          <w:rtl w:val="0"/>
        </w:rPr>
        <w:t xml:space="preserve">Cypress, 2018</w:t>
      </w:r>
      <w:r w:rsidDel="00000000" w:rsidR="00000000" w:rsidRPr="00000000">
        <w:rPr>
          <w:rFonts w:ascii="Times New Roman" w:cs="Times New Roman" w:eastAsia="Times New Roman" w:hAnsi="Times New Roman"/>
          <w:sz w:val="24"/>
          <w:szCs w:val="24"/>
          <w:rtl w:val="0"/>
        </w:rPr>
        <w:t xml:space="preserve">). The researcher has utilised an inductive research strategy in the following study to guarantee that the findings are statistically correct and that there are no gaps in the results (</w:t>
      </w:r>
      <w:r w:rsidDel="00000000" w:rsidR="00000000" w:rsidRPr="00000000">
        <w:rPr>
          <w:rFonts w:ascii="Times New Roman" w:cs="Times New Roman" w:eastAsia="Times New Roman" w:hAnsi="Times New Roman"/>
          <w:sz w:val="24"/>
          <w:szCs w:val="24"/>
          <w:highlight w:val="white"/>
          <w:rtl w:val="0"/>
        </w:rPr>
        <w:t xml:space="preserve">Argyres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2020</w:t>
      </w:r>
      <w:r w:rsidDel="00000000" w:rsidR="00000000" w:rsidRPr="00000000">
        <w:rPr>
          <w:rFonts w:ascii="Times New Roman" w:cs="Times New Roman" w:eastAsia="Times New Roman" w:hAnsi="Times New Roman"/>
          <w:sz w:val="24"/>
          <w:szCs w:val="24"/>
          <w:rtl w:val="0"/>
        </w:rPr>
        <w:t xml:space="preserve">). In addition, primary quantitative research has been carried out at the University of Wales Trinity Saint David London Campus in order to determine the influence of the virtual learning environment (Moodle) on students' learning experiences. Along with this the researcher has used positivism research philosophy and descriptive research design to conduct the primary research and interpret research findings based on statistical analysis.</w:t>
      </w:r>
    </w:p>
    <w:p w:rsidR="00000000" w:rsidDel="00000000" w:rsidP="00000000" w:rsidRDefault="00000000" w:rsidRPr="00000000" w14:paraId="0000003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Using primary quantitative research will assist the researcher in doing statistical analysis. An online survey was administered to 100 students from the University of Wales Trinity Saint David London Campus, representing a variety of academic levels, for the purposes of this study (</w:t>
      </w:r>
      <w:r w:rsidDel="00000000" w:rsidR="00000000" w:rsidRPr="00000000">
        <w:rPr>
          <w:rFonts w:ascii="Times New Roman" w:cs="Times New Roman" w:eastAsia="Times New Roman" w:hAnsi="Times New Roman"/>
          <w:sz w:val="24"/>
          <w:szCs w:val="24"/>
          <w:highlight w:val="white"/>
          <w:rtl w:val="0"/>
        </w:rPr>
        <w:t xml:space="preserve">Camacho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2020</w:t>
      </w:r>
      <w:r w:rsidDel="00000000" w:rsidR="00000000" w:rsidRPr="00000000">
        <w:rPr>
          <w:rFonts w:ascii="Times New Roman" w:cs="Times New Roman" w:eastAsia="Times New Roman" w:hAnsi="Times New Roman"/>
          <w:sz w:val="24"/>
          <w:szCs w:val="24"/>
          <w:rtl w:val="0"/>
        </w:rPr>
        <w:t xml:space="preserve">). Using a Google form, answers from participants were collected as part of an online survey, which was then analysed for trends. It is ensured by the probable sampling approach that all participants are treated equally by the researcher (</w:t>
      </w:r>
      <w:r w:rsidDel="00000000" w:rsidR="00000000" w:rsidRPr="00000000">
        <w:rPr>
          <w:rFonts w:ascii="Times New Roman" w:cs="Times New Roman" w:eastAsia="Times New Roman" w:hAnsi="Times New Roman"/>
          <w:sz w:val="24"/>
          <w:szCs w:val="24"/>
          <w:highlight w:val="white"/>
          <w:rtl w:val="0"/>
        </w:rPr>
        <w:t xml:space="preserve">Nunkoo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2020</w:t>
      </w:r>
      <w:r w:rsidDel="00000000" w:rsidR="00000000" w:rsidRPr="00000000">
        <w:rPr>
          <w:rFonts w:ascii="Times New Roman" w:cs="Times New Roman" w:eastAsia="Times New Roman" w:hAnsi="Times New Roman"/>
          <w:sz w:val="24"/>
          <w:szCs w:val="24"/>
          <w:rtl w:val="0"/>
        </w:rPr>
        <w:t xml:space="preserve">). The acquired data has been examined using a statistical approach, which increases the accuracy of the conclusions reached as a result. This is in addition to using secondary research methods to analyse and evaluate data using theme analysis, which has been applied by the researcher throughout this project. In order to conduct the secondary research, journal articles on the following research topic has been selected which not older than 10 years.</w:t>
      </w:r>
    </w:p>
    <w:p w:rsidR="00000000" w:rsidDel="00000000" w:rsidP="00000000" w:rsidRDefault="00000000" w:rsidRPr="00000000" w14:paraId="00000035">
      <w:pPr>
        <w:pStyle w:val="Heading1"/>
        <w:rPr/>
      </w:pPr>
      <w:bookmarkStart w:colFirst="0" w:colLast="0" w:name="_heading=h.4d34og8" w:id="8"/>
      <w:bookmarkEnd w:id="8"/>
      <w:r w:rsidDel="00000000" w:rsidR="00000000" w:rsidRPr="00000000">
        <w:rPr>
          <w:rtl w:val="0"/>
        </w:rPr>
        <w:t xml:space="preserve">Primary Data Analysis</w:t>
      </w:r>
    </w:p>
    <w:p w:rsidR="00000000" w:rsidDel="00000000" w:rsidP="00000000" w:rsidRDefault="00000000" w:rsidRPr="00000000" w14:paraId="00000036">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 Are you comfortable in using Moodle?</w:t>
      </w:r>
    </w:p>
    <w:tbl>
      <w:tblPr>
        <w:tblStyle w:val="Table1"/>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03"/>
        <w:gridCol w:w="1803"/>
        <w:gridCol w:w="1803"/>
        <w:gridCol w:w="1803"/>
        <w:gridCol w:w="1804"/>
        <w:tblGridChange w:id="0">
          <w:tblGrid>
            <w:gridCol w:w="1803"/>
            <w:gridCol w:w="1803"/>
            <w:gridCol w:w="1803"/>
            <w:gridCol w:w="1803"/>
            <w:gridCol w:w="1804"/>
          </w:tblGrid>
        </w:tblGridChange>
      </w:tblGrid>
      <w:tr>
        <w:trPr>
          <w:cantSplit w:val="0"/>
          <w:tblHeader w:val="0"/>
        </w:trPr>
        <w:tc>
          <w:tcPr/>
          <w:p w:rsidR="00000000" w:rsidDel="00000000" w:rsidP="00000000" w:rsidRDefault="00000000" w:rsidRPr="00000000" w14:paraId="00000037">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Strongly Agree</w:t>
            </w:r>
          </w:p>
        </w:tc>
        <w:tc>
          <w:tcPr/>
          <w:p w:rsidR="00000000" w:rsidDel="00000000" w:rsidP="00000000" w:rsidRDefault="00000000" w:rsidRPr="00000000" w14:paraId="00000038">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Agree</w:t>
            </w:r>
          </w:p>
        </w:tc>
        <w:tc>
          <w:tcPr/>
          <w:p w:rsidR="00000000" w:rsidDel="00000000" w:rsidP="00000000" w:rsidRDefault="00000000" w:rsidRPr="00000000" w14:paraId="00000039">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Neutral</w:t>
            </w:r>
          </w:p>
        </w:tc>
        <w:tc>
          <w:tcPr/>
          <w:p w:rsidR="00000000" w:rsidDel="00000000" w:rsidP="00000000" w:rsidRDefault="00000000" w:rsidRPr="00000000" w14:paraId="0000003A">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Disagree</w:t>
            </w:r>
          </w:p>
        </w:tc>
        <w:tc>
          <w:tcPr/>
          <w:p w:rsidR="00000000" w:rsidDel="00000000" w:rsidP="00000000" w:rsidRDefault="00000000" w:rsidRPr="00000000" w14:paraId="0000003B">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Strongly Disagree</w:t>
            </w:r>
          </w:p>
        </w:tc>
      </w:tr>
      <w:tr>
        <w:trPr>
          <w:cantSplit w:val="0"/>
          <w:tblHeader w:val="0"/>
        </w:trPr>
        <w:tc>
          <w:tcPr/>
          <w:p w:rsidR="00000000" w:rsidDel="00000000" w:rsidP="00000000" w:rsidRDefault="00000000" w:rsidRPr="00000000" w14:paraId="0000003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30</w:t>
            </w:r>
          </w:p>
        </w:tc>
        <w:tc>
          <w:tcPr/>
          <w:p w:rsidR="00000000" w:rsidDel="00000000" w:rsidP="00000000" w:rsidRDefault="00000000" w:rsidRPr="00000000" w14:paraId="0000003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17</w:t>
            </w:r>
          </w:p>
        </w:tc>
        <w:tc>
          <w:tcPr/>
          <w:p w:rsidR="00000000" w:rsidDel="00000000" w:rsidP="00000000" w:rsidRDefault="00000000" w:rsidRPr="00000000" w14:paraId="0000003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w:t>
            </w:r>
          </w:p>
        </w:tc>
        <w:tc>
          <w:tcPr/>
          <w:p w:rsidR="00000000" w:rsidDel="00000000" w:rsidP="00000000" w:rsidRDefault="00000000" w:rsidRPr="00000000" w14:paraId="0000003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21</w:t>
            </w:r>
          </w:p>
        </w:tc>
        <w:tc>
          <w:tcPr/>
          <w:p w:rsidR="00000000" w:rsidDel="00000000" w:rsidP="00000000" w:rsidRDefault="00000000" w:rsidRPr="00000000" w14:paraId="0000004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w:t>
            </w:r>
          </w:p>
        </w:tc>
      </w:tr>
    </w:tbl>
    <w:p w:rsidR="00000000" w:rsidDel="00000000" w:rsidP="00000000" w:rsidRDefault="00000000" w:rsidRPr="00000000" w14:paraId="00000041">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2">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 Do you think VLE has improved your learning experience?</w:t>
      </w:r>
    </w:p>
    <w:tbl>
      <w:tblPr>
        <w:tblStyle w:val="Table2"/>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03"/>
        <w:gridCol w:w="1803"/>
        <w:gridCol w:w="1803"/>
        <w:gridCol w:w="1803"/>
        <w:gridCol w:w="1804"/>
        <w:tblGridChange w:id="0">
          <w:tblGrid>
            <w:gridCol w:w="1803"/>
            <w:gridCol w:w="1803"/>
            <w:gridCol w:w="1803"/>
            <w:gridCol w:w="1803"/>
            <w:gridCol w:w="1804"/>
          </w:tblGrid>
        </w:tblGridChange>
      </w:tblGrid>
      <w:tr>
        <w:trPr>
          <w:cantSplit w:val="0"/>
          <w:tblHeader w:val="0"/>
        </w:trPr>
        <w:tc>
          <w:tcPr/>
          <w:p w:rsidR="00000000" w:rsidDel="00000000" w:rsidP="00000000" w:rsidRDefault="00000000" w:rsidRPr="00000000" w14:paraId="00000043">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Strongly Agree</w:t>
            </w:r>
          </w:p>
        </w:tc>
        <w:tc>
          <w:tcPr/>
          <w:p w:rsidR="00000000" w:rsidDel="00000000" w:rsidP="00000000" w:rsidRDefault="00000000" w:rsidRPr="00000000" w14:paraId="00000044">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Agree</w:t>
            </w:r>
          </w:p>
        </w:tc>
        <w:tc>
          <w:tcPr/>
          <w:p w:rsidR="00000000" w:rsidDel="00000000" w:rsidP="00000000" w:rsidRDefault="00000000" w:rsidRPr="00000000" w14:paraId="00000045">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Neutral</w:t>
            </w:r>
          </w:p>
        </w:tc>
        <w:tc>
          <w:tcPr/>
          <w:p w:rsidR="00000000" w:rsidDel="00000000" w:rsidP="00000000" w:rsidRDefault="00000000" w:rsidRPr="00000000" w14:paraId="00000046">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Disagree</w:t>
            </w:r>
          </w:p>
        </w:tc>
        <w:tc>
          <w:tcPr/>
          <w:p w:rsidR="00000000" w:rsidDel="00000000" w:rsidP="00000000" w:rsidRDefault="00000000" w:rsidRPr="00000000" w14:paraId="00000047">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Strongly Disagree</w:t>
            </w:r>
          </w:p>
        </w:tc>
      </w:tr>
      <w:tr>
        <w:trPr>
          <w:cantSplit w:val="0"/>
          <w:tblHeader w:val="0"/>
        </w:trPr>
        <w:tc>
          <w:tcPr/>
          <w:p w:rsidR="00000000" w:rsidDel="00000000" w:rsidP="00000000" w:rsidRDefault="00000000" w:rsidRPr="00000000" w14:paraId="0000004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34</w:t>
            </w:r>
          </w:p>
        </w:tc>
        <w:tc>
          <w:tcPr/>
          <w:p w:rsidR="00000000" w:rsidDel="00000000" w:rsidP="00000000" w:rsidRDefault="00000000" w:rsidRPr="00000000" w14:paraId="0000004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29</w:t>
            </w:r>
          </w:p>
        </w:tc>
        <w:tc>
          <w:tcPr/>
          <w:p w:rsidR="00000000" w:rsidDel="00000000" w:rsidP="00000000" w:rsidRDefault="00000000" w:rsidRPr="00000000" w14:paraId="0000004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w:t>
            </w:r>
          </w:p>
        </w:tc>
        <w:tc>
          <w:tcPr/>
          <w:p w:rsidR="00000000" w:rsidDel="00000000" w:rsidP="00000000" w:rsidRDefault="00000000" w:rsidRPr="00000000" w14:paraId="0000004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17</w:t>
            </w:r>
          </w:p>
        </w:tc>
        <w:tc>
          <w:tcPr/>
          <w:p w:rsidR="00000000" w:rsidDel="00000000" w:rsidP="00000000" w:rsidRDefault="00000000" w:rsidRPr="00000000" w14:paraId="0000004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w:t>
            </w:r>
          </w:p>
        </w:tc>
      </w:tr>
    </w:tbl>
    <w:p w:rsidR="00000000" w:rsidDel="00000000" w:rsidP="00000000" w:rsidRDefault="00000000" w:rsidRPr="00000000" w14:paraId="0000004D">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E">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3. Do you think that VLE can improve the future of education?</w:t>
      </w:r>
    </w:p>
    <w:tbl>
      <w:tblPr>
        <w:tblStyle w:val="Table3"/>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03"/>
        <w:gridCol w:w="1803"/>
        <w:gridCol w:w="1803"/>
        <w:gridCol w:w="1803"/>
        <w:gridCol w:w="1804"/>
        <w:tblGridChange w:id="0">
          <w:tblGrid>
            <w:gridCol w:w="1803"/>
            <w:gridCol w:w="1803"/>
            <w:gridCol w:w="1803"/>
            <w:gridCol w:w="1803"/>
            <w:gridCol w:w="1804"/>
          </w:tblGrid>
        </w:tblGridChange>
      </w:tblGrid>
      <w:tr>
        <w:trPr>
          <w:cantSplit w:val="0"/>
          <w:tblHeader w:val="0"/>
        </w:trPr>
        <w:tc>
          <w:tcPr/>
          <w:p w:rsidR="00000000" w:rsidDel="00000000" w:rsidP="00000000" w:rsidRDefault="00000000" w:rsidRPr="00000000" w14:paraId="0000004F">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Strongly Agree</w:t>
            </w:r>
          </w:p>
        </w:tc>
        <w:tc>
          <w:tcPr/>
          <w:p w:rsidR="00000000" w:rsidDel="00000000" w:rsidP="00000000" w:rsidRDefault="00000000" w:rsidRPr="00000000" w14:paraId="00000050">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Agree</w:t>
            </w:r>
          </w:p>
        </w:tc>
        <w:tc>
          <w:tcPr/>
          <w:p w:rsidR="00000000" w:rsidDel="00000000" w:rsidP="00000000" w:rsidRDefault="00000000" w:rsidRPr="00000000" w14:paraId="00000051">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Neutral</w:t>
            </w:r>
          </w:p>
        </w:tc>
        <w:tc>
          <w:tcPr/>
          <w:p w:rsidR="00000000" w:rsidDel="00000000" w:rsidP="00000000" w:rsidRDefault="00000000" w:rsidRPr="00000000" w14:paraId="00000052">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Disagree</w:t>
            </w:r>
          </w:p>
        </w:tc>
        <w:tc>
          <w:tcPr/>
          <w:p w:rsidR="00000000" w:rsidDel="00000000" w:rsidP="00000000" w:rsidRDefault="00000000" w:rsidRPr="00000000" w14:paraId="00000053">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Strongly Disagree</w:t>
            </w:r>
          </w:p>
        </w:tc>
      </w:tr>
      <w:tr>
        <w:trPr>
          <w:cantSplit w:val="0"/>
          <w:tblHeader w:val="0"/>
        </w:trPr>
        <w:tc>
          <w:tcPr/>
          <w:p w:rsidR="00000000" w:rsidDel="00000000" w:rsidP="00000000" w:rsidRDefault="00000000" w:rsidRPr="00000000" w14:paraId="0000005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29</w:t>
            </w:r>
          </w:p>
        </w:tc>
        <w:tc>
          <w:tcPr/>
          <w:p w:rsidR="00000000" w:rsidDel="00000000" w:rsidP="00000000" w:rsidRDefault="00000000" w:rsidRPr="00000000" w14:paraId="0000005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39</w:t>
            </w:r>
          </w:p>
        </w:tc>
        <w:tc>
          <w:tcPr/>
          <w:p w:rsidR="00000000" w:rsidDel="00000000" w:rsidP="00000000" w:rsidRDefault="00000000" w:rsidRPr="00000000" w14:paraId="0000005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w:t>
            </w:r>
          </w:p>
        </w:tc>
        <w:tc>
          <w:tcPr/>
          <w:p w:rsidR="00000000" w:rsidDel="00000000" w:rsidP="00000000" w:rsidRDefault="00000000" w:rsidRPr="00000000" w14:paraId="0000005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w:t>
            </w:r>
          </w:p>
        </w:tc>
        <w:tc>
          <w:tcPr/>
          <w:p w:rsidR="00000000" w:rsidDel="00000000" w:rsidP="00000000" w:rsidRDefault="00000000" w:rsidRPr="00000000" w14:paraId="0000005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13</w:t>
            </w:r>
          </w:p>
        </w:tc>
      </w:tr>
    </w:tbl>
    <w:p w:rsidR="00000000" w:rsidDel="00000000" w:rsidP="00000000" w:rsidRDefault="00000000" w:rsidRPr="00000000" w14:paraId="00000059">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A">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4. Do you think that University of Wales Trinity Saint David London Campus should improve its Moodle portal?</w:t>
      </w:r>
    </w:p>
    <w:tbl>
      <w:tblPr>
        <w:tblStyle w:val="Table4"/>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03"/>
        <w:gridCol w:w="1803"/>
        <w:gridCol w:w="1803"/>
        <w:gridCol w:w="1803"/>
        <w:gridCol w:w="1804"/>
        <w:tblGridChange w:id="0">
          <w:tblGrid>
            <w:gridCol w:w="1803"/>
            <w:gridCol w:w="1803"/>
            <w:gridCol w:w="1803"/>
            <w:gridCol w:w="1803"/>
            <w:gridCol w:w="1804"/>
          </w:tblGrid>
        </w:tblGridChange>
      </w:tblGrid>
      <w:tr>
        <w:trPr>
          <w:cantSplit w:val="0"/>
          <w:tblHeader w:val="0"/>
        </w:trPr>
        <w:tc>
          <w:tcPr/>
          <w:p w:rsidR="00000000" w:rsidDel="00000000" w:rsidP="00000000" w:rsidRDefault="00000000" w:rsidRPr="00000000" w14:paraId="0000005B">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Strongly Agree</w:t>
            </w:r>
          </w:p>
        </w:tc>
        <w:tc>
          <w:tcPr/>
          <w:p w:rsidR="00000000" w:rsidDel="00000000" w:rsidP="00000000" w:rsidRDefault="00000000" w:rsidRPr="00000000" w14:paraId="0000005C">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Agree</w:t>
            </w:r>
          </w:p>
        </w:tc>
        <w:tc>
          <w:tcPr/>
          <w:p w:rsidR="00000000" w:rsidDel="00000000" w:rsidP="00000000" w:rsidRDefault="00000000" w:rsidRPr="00000000" w14:paraId="0000005D">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Neutral</w:t>
            </w:r>
          </w:p>
        </w:tc>
        <w:tc>
          <w:tcPr/>
          <w:p w:rsidR="00000000" w:rsidDel="00000000" w:rsidP="00000000" w:rsidRDefault="00000000" w:rsidRPr="00000000" w14:paraId="0000005E">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Disagree</w:t>
            </w:r>
          </w:p>
        </w:tc>
        <w:tc>
          <w:tcPr/>
          <w:p w:rsidR="00000000" w:rsidDel="00000000" w:rsidP="00000000" w:rsidRDefault="00000000" w:rsidRPr="00000000" w14:paraId="0000005F">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Strongly Disagree</w:t>
            </w:r>
          </w:p>
        </w:tc>
      </w:tr>
      <w:tr>
        <w:trPr>
          <w:cantSplit w:val="0"/>
          <w:tblHeader w:val="0"/>
        </w:trPr>
        <w:tc>
          <w:tcPr/>
          <w:p w:rsidR="00000000" w:rsidDel="00000000" w:rsidP="00000000" w:rsidRDefault="00000000" w:rsidRPr="00000000" w14:paraId="0000006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23</w:t>
            </w:r>
          </w:p>
        </w:tc>
        <w:tc>
          <w:tcPr/>
          <w:p w:rsidR="00000000" w:rsidDel="00000000" w:rsidP="00000000" w:rsidRDefault="00000000" w:rsidRPr="00000000" w14:paraId="0000006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21</w:t>
            </w:r>
          </w:p>
        </w:tc>
        <w:tc>
          <w:tcPr/>
          <w:p w:rsidR="00000000" w:rsidDel="00000000" w:rsidP="00000000" w:rsidRDefault="00000000" w:rsidRPr="00000000" w14:paraId="0000006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19</w:t>
            </w:r>
          </w:p>
        </w:tc>
        <w:tc>
          <w:tcPr/>
          <w:p w:rsidR="00000000" w:rsidDel="00000000" w:rsidP="00000000" w:rsidRDefault="00000000" w:rsidRPr="00000000" w14:paraId="0000006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w:t>
            </w:r>
          </w:p>
        </w:tc>
        <w:tc>
          <w:tcPr/>
          <w:p w:rsidR="00000000" w:rsidDel="00000000" w:rsidP="00000000" w:rsidRDefault="00000000" w:rsidRPr="00000000" w14:paraId="0000006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17</w:t>
            </w:r>
          </w:p>
        </w:tc>
      </w:tr>
    </w:tbl>
    <w:p w:rsidR="00000000" w:rsidDel="00000000" w:rsidP="00000000" w:rsidRDefault="00000000" w:rsidRPr="00000000" w14:paraId="00000065">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66">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5. Do you think professors need additional training to use VLE?</w:t>
      </w:r>
    </w:p>
    <w:tbl>
      <w:tblPr>
        <w:tblStyle w:val="Table5"/>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03"/>
        <w:gridCol w:w="1803"/>
        <w:gridCol w:w="1803"/>
        <w:gridCol w:w="1803"/>
        <w:gridCol w:w="1804"/>
        <w:tblGridChange w:id="0">
          <w:tblGrid>
            <w:gridCol w:w="1803"/>
            <w:gridCol w:w="1803"/>
            <w:gridCol w:w="1803"/>
            <w:gridCol w:w="1803"/>
            <w:gridCol w:w="1804"/>
          </w:tblGrid>
        </w:tblGridChange>
      </w:tblGrid>
      <w:tr>
        <w:trPr>
          <w:cantSplit w:val="0"/>
          <w:tblHeader w:val="0"/>
        </w:trPr>
        <w:tc>
          <w:tcPr/>
          <w:p w:rsidR="00000000" w:rsidDel="00000000" w:rsidP="00000000" w:rsidRDefault="00000000" w:rsidRPr="00000000" w14:paraId="00000067">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Strongly Agree</w:t>
            </w:r>
          </w:p>
        </w:tc>
        <w:tc>
          <w:tcPr/>
          <w:p w:rsidR="00000000" w:rsidDel="00000000" w:rsidP="00000000" w:rsidRDefault="00000000" w:rsidRPr="00000000" w14:paraId="00000068">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Agree</w:t>
            </w:r>
          </w:p>
        </w:tc>
        <w:tc>
          <w:tcPr/>
          <w:p w:rsidR="00000000" w:rsidDel="00000000" w:rsidP="00000000" w:rsidRDefault="00000000" w:rsidRPr="00000000" w14:paraId="00000069">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Neutral</w:t>
            </w:r>
          </w:p>
        </w:tc>
        <w:tc>
          <w:tcPr/>
          <w:p w:rsidR="00000000" w:rsidDel="00000000" w:rsidP="00000000" w:rsidRDefault="00000000" w:rsidRPr="00000000" w14:paraId="0000006A">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Disagree</w:t>
            </w:r>
          </w:p>
        </w:tc>
        <w:tc>
          <w:tcPr/>
          <w:p w:rsidR="00000000" w:rsidDel="00000000" w:rsidP="00000000" w:rsidRDefault="00000000" w:rsidRPr="00000000" w14:paraId="0000006B">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Strongly Disagree</w:t>
            </w:r>
          </w:p>
        </w:tc>
      </w:tr>
      <w:tr>
        <w:trPr>
          <w:cantSplit w:val="0"/>
          <w:tblHeader w:val="0"/>
        </w:trPr>
        <w:tc>
          <w:tcPr/>
          <w:p w:rsidR="00000000" w:rsidDel="00000000" w:rsidP="00000000" w:rsidRDefault="00000000" w:rsidRPr="00000000" w14:paraId="0000006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w:t>
            </w:r>
          </w:p>
        </w:tc>
        <w:tc>
          <w:tcPr/>
          <w:p w:rsidR="00000000" w:rsidDel="00000000" w:rsidP="00000000" w:rsidRDefault="00000000" w:rsidRPr="00000000" w14:paraId="0000006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19</w:t>
            </w:r>
          </w:p>
        </w:tc>
        <w:tc>
          <w:tcPr/>
          <w:p w:rsidR="00000000" w:rsidDel="00000000" w:rsidP="00000000" w:rsidRDefault="00000000" w:rsidRPr="00000000" w14:paraId="0000006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w:t>
            </w:r>
          </w:p>
        </w:tc>
        <w:tc>
          <w:tcPr/>
          <w:p w:rsidR="00000000" w:rsidDel="00000000" w:rsidP="00000000" w:rsidRDefault="00000000" w:rsidRPr="00000000" w14:paraId="0000006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29</w:t>
            </w:r>
          </w:p>
        </w:tc>
        <w:tc>
          <w:tcPr/>
          <w:p w:rsidR="00000000" w:rsidDel="00000000" w:rsidP="00000000" w:rsidRDefault="00000000" w:rsidRPr="00000000" w14:paraId="0000007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w:t>
            </w:r>
          </w:p>
        </w:tc>
      </w:tr>
    </w:tbl>
    <w:p w:rsidR="00000000" w:rsidDel="00000000" w:rsidP="00000000" w:rsidRDefault="00000000" w:rsidRPr="00000000" w14:paraId="00000071">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7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Discussion of findings:</w:t>
      </w:r>
      <w:r w:rsidDel="00000000" w:rsidR="00000000" w:rsidRPr="00000000">
        <w:rPr>
          <w:rFonts w:ascii="Times New Roman" w:cs="Times New Roman" w:eastAsia="Times New Roman" w:hAnsi="Times New Roman"/>
          <w:sz w:val="24"/>
          <w:szCs w:val="24"/>
          <w:rtl w:val="0"/>
        </w:rPr>
        <w:t xml:space="preserve"> From the primary research, it has been found that 30% people strongly agreed and 17% agreed that they are comfortable in using Moodle while 21% people strongly disagreed and 20% disagreed that they are not comfortable in using Moodle. Along with this 63% participants in total agreed or strongly agreed that they think VLE has improved your learning experience. However, overall 27% participants disagreed that they do not think VLE has improved your learning experience. The research also reveals that 29% &amp; 39% participants either agreed or strongly disagreed that they think that VLE can improve the future of education while 12% and 13% participants disagreed and strongly disagreed with the statement respectively. On the other hand, 44% students in total stated that University of Wales Trinity Saint David London Campus should improve its Moodle portal but 37% stated that University of Wales Trinity Saint David London Campus do not need to improve its Moodle portal. Finally, 31% students stated that they think professors need additional training to use VLE while 49% disagreed with that statement.</w:t>
      </w:r>
    </w:p>
    <w:p w:rsidR="00000000" w:rsidDel="00000000" w:rsidP="00000000" w:rsidRDefault="00000000" w:rsidRPr="00000000" w14:paraId="00000073">
      <w:pPr>
        <w:pStyle w:val="Heading1"/>
        <w:rPr/>
      </w:pPr>
      <w:bookmarkStart w:colFirst="0" w:colLast="0" w:name="_heading=h.2s8eyo1" w:id="9"/>
      <w:bookmarkEnd w:id="9"/>
      <w:r w:rsidDel="00000000" w:rsidR="00000000" w:rsidRPr="00000000">
        <w:rPr>
          <w:rtl w:val="0"/>
        </w:rPr>
        <w:t xml:space="preserve">Secondary Data Analysis</w:t>
      </w:r>
    </w:p>
    <w:p w:rsidR="00000000" w:rsidDel="00000000" w:rsidP="00000000" w:rsidRDefault="00000000" w:rsidRPr="00000000" w14:paraId="0000007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Higher education institutions have seen a dramatic growth in online educational data because to rapid improvements in technology-enhanced learning platforms that have resulted in large educational archives (</w:t>
      </w:r>
      <w:r w:rsidDel="00000000" w:rsidR="00000000" w:rsidRPr="00000000">
        <w:rPr>
          <w:rFonts w:ascii="Times New Roman" w:cs="Times New Roman" w:eastAsia="Times New Roman" w:hAnsi="Times New Roman"/>
          <w:sz w:val="24"/>
          <w:szCs w:val="24"/>
          <w:highlight w:val="white"/>
          <w:rtl w:val="0"/>
        </w:rPr>
        <w:t xml:space="preserve">Brito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2019</w:t>
      </w:r>
      <w:r w:rsidDel="00000000" w:rsidR="00000000" w:rsidRPr="00000000">
        <w:rPr>
          <w:rFonts w:ascii="Times New Roman" w:cs="Times New Roman" w:eastAsia="Times New Roman" w:hAnsi="Times New Roman"/>
          <w:sz w:val="24"/>
          <w:szCs w:val="24"/>
          <w:rtl w:val="0"/>
        </w:rPr>
        <w:t xml:space="preserve">). The increasing growth of educational data is also presenting chances to maximise the use of technology platforms to enhance the learning process. The accumulation of educational data has led to the development of numerous research communities, such as learning analytics, which may anticipate student behaviour and provide indications for better policy formulations (</w:t>
      </w:r>
      <w:r w:rsidDel="00000000" w:rsidR="00000000" w:rsidRPr="00000000">
        <w:rPr>
          <w:rFonts w:ascii="Times New Roman" w:cs="Times New Roman" w:eastAsia="Times New Roman" w:hAnsi="Times New Roman"/>
          <w:sz w:val="24"/>
          <w:szCs w:val="24"/>
          <w:highlight w:val="white"/>
          <w:rtl w:val="0"/>
        </w:rPr>
        <w:t xml:space="preserve">Thaila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2021</w:t>
      </w:r>
      <w:r w:rsidDel="00000000" w:rsidR="00000000" w:rsidRPr="00000000">
        <w:rPr>
          <w:rFonts w:ascii="Times New Roman" w:cs="Times New Roman" w:eastAsia="Times New Roman" w:hAnsi="Times New Roman"/>
          <w:sz w:val="24"/>
          <w:szCs w:val="24"/>
          <w:rtl w:val="0"/>
        </w:rPr>
        <w:t xml:space="preserve">). Educational data, a by-product of the interaction between learners and instructors, has been verified by researchers from many research fields as a multidisciplinary area. As a result, words like "academic analytics," "predictive analytics," and "learning analytics" have been coined to describe the study of educational data. 'Educational data science,' a more recently coined phrase, brings together scholars from a variety of fields and backgrounds to work together on projects using educational data.</w:t>
      </w:r>
    </w:p>
    <w:p w:rsidR="00000000" w:rsidDel="00000000" w:rsidP="00000000" w:rsidRDefault="00000000" w:rsidRPr="00000000" w14:paraId="0000007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If you're in higher education, you've probably heard of "learning analytics," which is essentially the same thing as "academic analytics," and it's all about helping institutions become more financially sound while also improving student outcomes by reducing attrition and allocating resources more efficiently (</w:t>
      </w:r>
      <w:r w:rsidDel="00000000" w:rsidR="00000000" w:rsidRPr="00000000">
        <w:rPr>
          <w:rFonts w:ascii="Times New Roman" w:cs="Times New Roman" w:eastAsia="Times New Roman" w:hAnsi="Times New Roman"/>
          <w:sz w:val="24"/>
          <w:szCs w:val="24"/>
          <w:highlight w:val="white"/>
          <w:rtl w:val="0"/>
        </w:rPr>
        <w:t xml:space="preserve">Costello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2019</w:t>
      </w:r>
      <w:r w:rsidDel="00000000" w:rsidR="00000000" w:rsidRPr="00000000">
        <w:rPr>
          <w:rFonts w:ascii="Times New Roman" w:cs="Times New Roman" w:eastAsia="Times New Roman" w:hAnsi="Times New Roman"/>
          <w:sz w:val="24"/>
          <w:szCs w:val="24"/>
          <w:rtl w:val="0"/>
        </w:rPr>
        <w:t xml:space="preserve">). It has become a normal strategic priority for colleges and universities to keep their students, and the phenomenon of learning analytics helps them do just that, resulting in higher graduation rates. "Educational Analytics" is a term that encompasses both academic and learning analytics, both of which have a strong connection to the learner's experience and to the institution as a whole (</w:t>
      </w:r>
      <w:r w:rsidDel="00000000" w:rsidR="00000000" w:rsidRPr="00000000">
        <w:rPr>
          <w:rFonts w:ascii="Times New Roman" w:cs="Times New Roman" w:eastAsia="Times New Roman" w:hAnsi="Times New Roman"/>
          <w:sz w:val="24"/>
          <w:szCs w:val="24"/>
          <w:highlight w:val="white"/>
          <w:rtl w:val="0"/>
        </w:rPr>
        <w:t xml:space="preserve">Hiscock, 2020</w:t>
      </w:r>
      <w:r w:rsidDel="00000000" w:rsidR="00000000" w:rsidRPr="00000000">
        <w:rPr>
          <w:rFonts w:ascii="Times New Roman" w:cs="Times New Roman" w:eastAsia="Times New Roman" w:hAnsi="Times New Roman"/>
          <w:sz w:val="24"/>
          <w:szCs w:val="24"/>
          <w:rtl w:val="0"/>
        </w:rPr>
        <w:t xml:space="preserve">). Deep learning and educational data science are linked by a semantic mapping of their goals, as well as the machine learning tools and methodologies they use. Analytical paradigms in education include words like "Learning Analytics," "Educational Analytics," and "Academic Analytics."</w:t>
      </w:r>
    </w:p>
    <w:p w:rsidR="00000000" w:rsidDel="00000000" w:rsidP="00000000" w:rsidRDefault="00000000" w:rsidRPr="00000000" w14:paraId="00000076">
      <w:pPr>
        <w:pStyle w:val="Heading1"/>
        <w:rPr/>
      </w:pPr>
      <w:bookmarkStart w:colFirst="0" w:colLast="0" w:name="_heading=h.17dp8vu" w:id="10"/>
      <w:bookmarkEnd w:id="10"/>
      <w:r w:rsidDel="00000000" w:rsidR="00000000" w:rsidRPr="00000000">
        <w:rPr>
          <w:rtl w:val="0"/>
        </w:rPr>
        <w:t xml:space="preserve">Conclusion and Recommendation</w:t>
      </w:r>
    </w:p>
    <w:p w:rsidR="00000000" w:rsidDel="00000000" w:rsidP="00000000" w:rsidRDefault="00000000" w:rsidRPr="00000000" w14:paraId="0000007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the following research findings, the researcher believes that it is vital to provide some recommendations for curriculum designers, school administrators and instructors to help children improve their conversational abilities. Therefore, some recommendations are as below:</w:t>
      </w:r>
    </w:p>
    <w:p w:rsidR="00000000" w:rsidDel="00000000" w:rsidP="00000000" w:rsidRDefault="00000000" w:rsidRPr="00000000" w14:paraId="00000078">
      <w:pPr>
        <w:numPr>
          <w:ilvl w:val="0"/>
          <w:numId w:val="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use of technology into the teaching process has grown vital as technology has progressed. For efficient language learning and teaching, modern technology should be used.</w:t>
      </w:r>
    </w:p>
    <w:p w:rsidR="00000000" w:rsidDel="00000000" w:rsidP="00000000" w:rsidRDefault="00000000" w:rsidRPr="00000000" w14:paraId="00000079">
      <w:pPr>
        <w:numPr>
          <w:ilvl w:val="0"/>
          <w:numId w:val="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transition to more "constructive learning" is needed, where students are given the freedom to create their own meaning out of the material they're exposed to during online sessions.</w:t>
      </w:r>
    </w:p>
    <w:p w:rsidR="00000000" w:rsidDel="00000000" w:rsidP="00000000" w:rsidRDefault="00000000" w:rsidRPr="00000000" w14:paraId="0000007A">
      <w:pPr>
        <w:numPr>
          <w:ilvl w:val="0"/>
          <w:numId w:val="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usage of learning objects to encourage the reuse and flexibility of online content to fit the requirements of individual learners should become commonplace.</w:t>
      </w:r>
    </w:p>
    <w:p w:rsidR="00000000" w:rsidDel="00000000" w:rsidP="00000000" w:rsidRDefault="00000000" w:rsidRPr="00000000" w14:paraId="0000007B">
      <w:pPr>
        <w:numPr>
          <w:ilvl w:val="0"/>
          <w:numId w:val="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important to develop online learning resources in tiny, logical sections so that they may be used for a variety of audiences.</w:t>
      </w:r>
    </w:p>
    <w:p w:rsidR="00000000" w:rsidDel="00000000" w:rsidP="00000000" w:rsidRDefault="00000000" w:rsidRPr="00000000" w14:paraId="0000007C">
      <w:pPr>
        <w:numPr>
          <w:ilvl w:val="0"/>
          <w:numId w:val="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Teaching materials should be delivered and managed through VLE, as should access control, administration, time-tabling capabilities, evaluation, and communication at different levels of the organisation.</w:t>
      </w:r>
    </w:p>
    <w:sdt>
      <w:sdtPr>
        <w:tag w:val="goog_rdk_1"/>
      </w:sdtPr>
      <w:sdtContent>
        <w:p w:rsidR="00000000" w:rsidDel="00000000" w:rsidP="00000000" w:rsidRDefault="00000000" w:rsidRPr="00000000" w14:paraId="0000007D">
          <w:pPr>
            <w:spacing w:line="360" w:lineRule="auto"/>
            <w:jc w:val="both"/>
            <w:rPr>
              <w:del w:author="Andreea Carabet" w:id="0" w:date="2022-01-09T13:39:56Z"/>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Therefore, it can be concluded from the  following study that using virtual tools to learn a academics may be worthwhile, according to the results of this research. When it comes to interpersonal communication, virtual technologies may be very useful. More study should be done using technologies that blend the appeal of a game with the educational strategies utilised in the classroom. Educators should consider these games as potential teaching tools for the next generation of students. This issue is not simply about bringing new technology to the university, but more about changing the university's mindset about how students learn. With the integration of educational repositories, higher education may accomplish effective decision-making and finally help an institution maintain a steady performance thanks to several aspects of learning analytics, which include learning excellence and operational service monitoring.</w:t>
          </w:r>
          <w:sdt>
            <w:sdtPr>
              <w:tag w:val="goog_rdk_0"/>
            </w:sdtPr>
            <w:sdtContent>
              <w:del w:author="Andreea Carabet" w:id="0" w:date="2022-01-09T13:39:56Z">
                <w:r w:rsidDel="00000000" w:rsidR="00000000" w:rsidRPr="00000000">
                  <w:rPr>
                    <w:rtl w:val="0"/>
                  </w:rPr>
                </w:r>
              </w:del>
            </w:sdtContent>
          </w:sdt>
        </w:p>
      </w:sdtContent>
    </w:sdt>
    <w:p w:rsidR="00000000" w:rsidDel="00000000" w:rsidP="00000000" w:rsidRDefault="00000000" w:rsidRPr="00000000" w14:paraId="0000007E">
      <w:pPr>
        <w:spacing w:line="360" w:lineRule="auto"/>
        <w:jc w:val="both"/>
        <w:rPr>
          <w:rFonts w:ascii="Times New Roman" w:cs="Times New Roman" w:eastAsia="Times New Roman" w:hAnsi="Times New Roman"/>
          <w:b w:val="1"/>
          <w:sz w:val="24"/>
          <w:szCs w:val="24"/>
          <w:u w:val="single"/>
        </w:rPr>
      </w:pPr>
      <w:sdt>
        <w:sdtPr>
          <w:tag w:val="goog_rdk_2"/>
        </w:sdtPr>
        <w:sdtContent>
          <w:del w:author="Andreea Carabet" w:id="0" w:date="2022-01-09T13:39:56Z">
            <w:r w:rsidDel="00000000" w:rsidR="00000000" w:rsidRPr="00000000">
              <w:rPr>
                <w:rFonts w:ascii="Times New Roman" w:cs="Times New Roman" w:eastAsia="Times New Roman" w:hAnsi="Times New Roman"/>
                <w:b w:val="1"/>
                <w:sz w:val="24"/>
                <w:szCs w:val="24"/>
                <w:u w:val="single"/>
                <w:rtl w:val="0"/>
              </w:rPr>
              <w:delText xml:space="preserve">Ap</w:delText>
            </w:r>
          </w:del>
        </w:sdtContent>
      </w:sdt>
      <w:r w:rsidDel="00000000" w:rsidR="00000000" w:rsidRPr="00000000">
        <w:rPr>
          <w:rFonts w:ascii="Times New Roman" w:cs="Times New Roman" w:eastAsia="Times New Roman" w:hAnsi="Times New Roman"/>
          <w:b w:val="1"/>
          <w:sz w:val="24"/>
          <w:szCs w:val="24"/>
          <w:u w:val="single"/>
          <w:rtl w:val="0"/>
        </w:rPr>
        <w:t xml:space="preserve">pendix</w:t>
      </w:r>
    </w:p>
    <w:p w:rsidR="00000000" w:rsidDel="00000000" w:rsidP="00000000" w:rsidRDefault="00000000" w:rsidRPr="00000000" w14:paraId="0000007F">
      <w:pPr>
        <w:spacing w:line="360" w:lineRule="auto"/>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Pr>
        <w:drawing>
          <wp:inline distB="114300" distT="114300" distL="114300" distR="114300">
            <wp:extent cx="2057400" cy="2651760"/>
            <wp:effectExtent b="0" l="0" r="0" t="0"/>
            <wp:docPr id="1" name="image3.jpg"/>
            <a:graphic>
              <a:graphicData uri="http://schemas.openxmlformats.org/drawingml/2006/picture">
                <pic:pic>
                  <pic:nvPicPr>
                    <pic:cNvPr id="0" name="image3.jpg"/>
                    <pic:cNvPicPr preferRelativeResize="0"/>
                  </pic:nvPicPr>
                  <pic:blipFill>
                    <a:blip r:embed="rId7"/>
                    <a:srcRect b="0" l="0" r="0" t="0"/>
                    <a:stretch>
                      <a:fillRect/>
                    </a:stretch>
                  </pic:blipFill>
                  <pic:spPr>
                    <a:xfrm>
                      <a:off x="0" y="0"/>
                      <a:ext cx="2057400" cy="2651760"/>
                    </a:xfrm>
                    <a:prstGeom prst="rect"/>
                    <a:ln/>
                  </pic:spPr>
                </pic:pic>
              </a:graphicData>
            </a:graphic>
          </wp:inline>
        </w:drawing>
      </w:r>
      <w:r w:rsidDel="00000000" w:rsidR="00000000" w:rsidRPr="00000000">
        <w:rPr>
          <w:rtl w:val="0"/>
        </w:rPr>
      </w:r>
    </w:p>
    <w:p w:rsidR="00000000" w:rsidDel="00000000" w:rsidP="00000000" w:rsidRDefault="00000000" w:rsidRPr="00000000" w14:paraId="00000080">
      <w:pPr>
        <w:spacing w:line="360" w:lineRule="auto"/>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Pr>
        <w:drawing>
          <wp:inline distB="114300" distT="114300" distL="114300" distR="114300">
            <wp:extent cx="2057400" cy="2720340"/>
            <wp:effectExtent b="0" l="0" r="0" t="0"/>
            <wp:docPr id="3" name="image1.jpg"/>
            <a:graphic>
              <a:graphicData uri="http://schemas.openxmlformats.org/drawingml/2006/picture">
                <pic:pic>
                  <pic:nvPicPr>
                    <pic:cNvPr id="0" name="image1.jpg"/>
                    <pic:cNvPicPr preferRelativeResize="0"/>
                  </pic:nvPicPr>
                  <pic:blipFill>
                    <a:blip r:embed="rId8"/>
                    <a:srcRect b="0" l="0" r="0" t="0"/>
                    <a:stretch>
                      <a:fillRect/>
                    </a:stretch>
                  </pic:blipFill>
                  <pic:spPr>
                    <a:xfrm>
                      <a:off x="0" y="0"/>
                      <a:ext cx="2057400" cy="2720340"/>
                    </a:xfrm>
                    <a:prstGeom prst="rect"/>
                    <a:ln/>
                  </pic:spPr>
                </pic:pic>
              </a:graphicData>
            </a:graphic>
          </wp:inline>
        </w:drawing>
      </w:r>
      <w:r w:rsidDel="00000000" w:rsidR="00000000" w:rsidRPr="00000000">
        <w:rPr>
          <w:rtl w:val="0"/>
        </w:rPr>
      </w:r>
    </w:p>
    <w:p w:rsidR="00000000" w:rsidDel="00000000" w:rsidP="00000000" w:rsidRDefault="00000000" w:rsidRPr="00000000" w14:paraId="00000081">
      <w:pPr>
        <w:spacing w:line="360" w:lineRule="auto"/>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Pr>
        <w:drawing>
          <wp:inline distB="114300" distT="114300" distL="114300" distR="114300">
            <wp:extent cx="2057400" cy="2323147"/>
            <wp:effectExtent b="0" l="0" r="0" t="0"/>
            <wp:docPr id="2" name="image2.jpg"/>
            <a:graphic>
              <a:graphicData uri="http://schemas.openxmlformats.org/drawingml/2006/picture">
                <pic:pic>
                  <pic:nvPicPr>
                    <pic:cNvPr id="0" name="image2.jpg"/>
                    <pic:cNvPicPr preferRelativeResize="0"/>
                  </pic:nvPicPr>
                  <pic:blipFill>
                    <a:blip r:embed="rId9"/>
                    <a:srcRect b="0" l="0" r="0" t="0"/>
                    <a:stretch>
                      <a:fillRect/>
                    </a:stretch>
                  </pic:blipFill>
                  <pic:spPr>
                    <a:xfrm>
                      <a:off x="0" y="0"/>
                      <a:ext cx="2057400" cy="2323147"/>
                    </a:xfrm>
                    <a:prstGeom prst="rect"/>
                    <a:ln/>
                  </pic:spPr>
                </pic:pic>
              </a:graphicData>
            </a:graphic>
          </wp:inline>
        </w:drawing>
      </w:r>
      <w:r w:rsidDel="00000000" w:rsidR="00000000" w:rsidRPr="00000000">
        <w:rPr>
          <w:rtl w:val="0"/>
        </w:rPr>
      </w:r>
    </w:p>
    <w:p w:rsidR="00000000" w:rsidDel="00000000" w:rsidP="00000000" w:rsidRDefault="00000000" w:rsidRPr="00000000" w14:paraId="00000082">
      <w:pPr>
        <w:spacing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8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4">
      <w:pPr>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8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6">
      <w:pPr>
        <w:pStyle w:val="Heading1"/>
        <w:rPr/>
      </w:pPr>
      <w:bookmarkStart w:colFirst="0" w:colLast="0" w:name="_heading=h.3rdcrjn" w:id="11"/>
      <w:bookmarkEnd w:id="11"/>
      <w:r w:rsidDel="00000000" w:rsidR="00000000" w:rsidRPr="00000000">
        <w:rPr>
          <w:rtl w:val="0"/>
        </w:rPr>
        <w:t xml:space="preserve">Reference List</w:t>
      </w:r>
    </w:p>
    <w:p w:rsidR="00000000" w:rsidDel="00000000" w:rsidP="00000000" w:rsidRDefault="00000000" w:rsidRPr="00000000" w14:paraId="00000087">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Al-Azawei, A. and Al-Masoudy, M., 2020. Predicting Learners' Performance in Virtual Learning Environment (VLE) based on Demographic, Behavioral and Engagement Antecedents. </w:t>
      </w:r>
      <w:r w:rsidDel="00000000" w:rsidR="00000000" w:rsidRPr="00000000">
        <w:rPr>
          <w:rFonts w:ascii="Times New Roman" w:cs="Times New Roman" w:eastAsia="Times New Roman" w:hAnsi="Times New Roman"/>
          <w:i w:val="1"/>
          <w:sz w:val="24"/>
          <w:szCs w:val="24"/>
          <w:highlight w:val="white"/>
          <w:rtl w:val="0"/>
        </w:rPr>
        <w:t xml:space="preserve">International Journal of Emerging Technologies in Learning (iJET)</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15</w:t>
      </w:r>
      <w:r w:rsidDel="00000000" w:rsidR="00000000" w:rsidRPr="00000000">
        <w:rPr>
          <w:rFonts w:ascii="Times New Roman" w:cs="Times New Roman" w:eastAsia="Times New Roman" w:hAnsi="Times New Roman"/>
          <w:sz w:val="24"/>
          <w:szCs w:val="24"/>
          <w:highlight w:val="white"/>
          <w:rtl w:val="0"/>
        </w:rPr>
        <w:t xml:space="preserve">(9), pp.60-75.</w:t>
      </w:r>
    </w:p>
    <w:p w:rsidR="00000000" w:rsidDel="00000000" w:rsidP="00000000" w:rsidRDefault="00000000" w:rsidRPr="00000000" w14:paraId="00000088">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Aminian, A. and ZareNezhad, B., 2020. A generalized neural network model for the VLE of supercritical carbon dioxide fluid extraction of fatty oils. </w:t>
      </w:r>
      <w:r w:rsidDel="00000000" w:rsidR="00000000" w:rsidRPr="00000000">
        <w:rPr>
          <w:rFonts w:ascii="Times New Roman" w:cs="Times New Roman" w:eastAsia="Times New Roman" w:hAnsi="Times New Roman"/>
          <w:i w:val="1"/>
          <w:sz w:val="24"/>
          <w:szCs w:val="24"/>
          <w:highlight w:val="white"/>
          <w:rtl w:val="0"/>
        </w:rPr>
        <w:t xml:space="preserve">Fuel</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282</w:t>
      </w:r>
      <w:r w:rsidDel="00000000" w:rsidR="00000000" w:rsidRPr="00000000">
        <w:rPr>
          <w:rFonts w:ascii="Times New Roman" w:cs="Times New Roman" w:eastAsia="Times New Roman" w:hAnsi="Times New Roman"/>
          <w:sz w:val="24"/>
          <w:szCs w:val="24"/>
          <w:highlight w:val="white"/>
          <w:rtl w:val="0"/>
        </w:rPr>
        <w:t xml:space="preserve">, p.118823.</w:t>
      </w:r>
    </w:p>
    <w:p w:rsidR="00000000" w:rsidDel="00000000" w:rsidP="00000000" w:rsidRDefault="00000000" w:rsidRPr="00000000" w14:paraId="00000089">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Argyres, N.S., De Massis, A., Foss, N.J., Frattini, F., Jones, G. and Silverman, B.S., 2020. History‐informed strategy research: The promise of history and historical research methods in advancing strategy scholarship. </w:t>
      </w:r>
      <w:r w:rsidDel="00000000" w:rsidR="00000000" w:rsidRPr="00000000">
        <w:rPr>
          <w:rFonts w:ascii="Times New Roman" w:cs="Times New Roman" w:eastAsia="Times New Roman" w:hAnsi="Times New Roman"/>
          <w:i w:val="1"/>
          <w:sz w:val="24"/>
          <w:szCs w:val="24"/>
          <w:highlight w:val="white"/>
          <w:rtl w:val="0"/>
        </w:rPr>
        <w:t xml:space="preserve">Strategic Management Journal</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41</w:t>
      </w:r>
      <w:r w:rsidDel="00000000" w:rsidR="00000000" w:rsidRPr="00000000">
        <w:rPr>
          <w:rFonts w:ascii="Times New Roman" w:cs="Times New Roman" w:eastAsia="Times New Roman" w:hAnsi="Times New Roman"/>
          <w:sz w:val="24"/>
          <w:szCs w:val="24"/>
          <w:highlight w:val="white"/>
          <w:rtl w:val="0"/>
        </w:rPr>
        <w:t xml:space="preserve">(3), pp.343-368.</w:t>
      </w:r>
    </w:p>
    <w:p w:rsidR="00000000" w:rsidDel="00000000" w:rsidP="00000000" w:rsidRDefault="00000000" w:rsidRPr="00000000" w14:paraId="0000008A">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Brito, M., Medeiros, F. and Bezerra, E., 2019, July. A report-type plugin to indicate dropout risk in the virtual learning environment moodle. In </w:t>
      </w:r>
      <w:r w:rsidDel="00000000" w:rsidR="00000000" w:rsidRPr="00000000">
        <w:rPr>
          <w:rFonts w:ascii="Times New Roman" w:cs="Times New Roman" w:eastAsia="Times New Roman" w:hAnsi="Times New Roman"/>
          <w:i w:val="1"/>
          <w:sz w:val="24"/>
          <w:szCs w:val="24"/>
          <w:highlight w:val="white"/>
          <w:rtl w:val="0"/>
        </w:rPr>
        <w:t xml:space="preserve">2019 IEEE 19th International Conference on Advanced Learning Technologies (ICALT)</w:t>
      </w:r>
      <w:r w:rsidDel="00000000" w:rsidR="00000000" w:rsidRPr="00000000">
        <w:rPr>
          <w:rFonts w:ascii="Times New Roman" w:cs="Times New Roman" w:eastAsia="Times New Roman" w:hAnsi="Times New Roman"/>
          <w:sz w:val="24"/>
          <w:szCs w:val="24"/>
          <w:highlight w:val="white"/>
          <w:rtl w:val="0"/>
        </w:rPr>
        <w:t xml:space="preserve"> (Vol. 2161, pp. 127-128). IEEE.</w:t>
      </w:r>
    </w:p>
    <w:p w:rsidR="00000000" w:rsidDel="00000000" w:rsidP="00000000" w:rsidRDefault="00000000" w:rsidRPr="00000000" w14:paraId="0000008B">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Camacho, D., Panizo-LLedot, Á., Bello-Orgaz, G., Gonzalez-Pardo, A. and Cambria, E., 2020. The four dimensions of social network analysis: An overview of research methods, applications, and software tools. </w:t>
      </w:r>
      <w:r w:rsidDel="00000000" w:rsidR="00000000" w:rsidRPr="00000000">
        <w:rPr>
          <w:rFonts w:ascii="Times New Roman" w:cs="Times New Roman" w:eastAsia="Times New Roman" w:hAnsi="Times New Roman"/>
          <w:i w:val="1"/>
          <w:sz w:val="24"/>
          <w:szCs w:val="24"/>
          <w:highlight w:val="white"/>
          <w:rtl w:val="0"/>
        </w:rPr>
        <w:t xml:space="preserve">Information Fusion</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63</w:t>
      </w:r>
      <w:r w:rsidDel="00000000" w:rsidR="00000000" w:rsidRPr="00000000">
        <w:rPr>
          <w:rFonts w:ascii="Times New Roman" w:cs="Times New Roman" w:eastAsia="Times New Roman" w:hAnsi="Times New Roman"/>
          <w:sz w:val="24"/>
          <w:szCs w:val="24"/>
          <w:highlight w:val="white"/>
          <w:rtl w:val="0"/>
        </w:rPr>
        <w:t xml:space="preserve">, pp.88-120.</w:t>
      </w:r>
    </w:p>
    <w:p w:rsidR="00000000" w:rsidDel="00000000" w:rsidP="00000000" w:rsidRDefault="00000000" w:rsidRPr="00000000" w14:paraId="0000008C">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Costello, E., Johnston, K. and Wade, V., 2019. Crowded house: an analysis of how the Virtual Learning Environment Moodle is built via bug tracker participants. </w:t>
      </w:r>
      <w:r w:rsidDel="00000000" w:rsidR="00000000" w:rsidRPr="00000000">
        <w:rPr>
          <w:rFonts w:ascii="Times New Roman" w:cs="Times New Roman" w:eastAsia="Times New Roman" w:hAnsi="Times New Roman"/>
          <w:i w:val="1"/>
          <w:sz w:val="24"/>
          <w:szCs w:val="24"/>
          <w:highlight w:val="white"/>
          <w:rtl w:val="0"/>
        </w:rPr>
        <w:t xml:space="preserve">Interactive Learning Environments</w:t>
      </w:r>
      <w:r w:rsidDel="00000000" w:rsidR="00000000" w:rsidRPr="00000000">
        <w:rPr>
          <w:rFonts w:ascii="Times New Roman" w:cs="Times New Roman" w:eastAsia="Times New Roman" w:hAnsi="Times New Roman"/>
          <w:sz w:val="24"/>
          <w:szCs w:val="24"/>
          <w:highlight w:val="white"/>
          <w:rtl w:val="0"/>
        </w:rPr>
        <w:t xml:space="preserve">, pp.1-11.</w:t>
      </w:r>
    </w:p>
    <w:p w:rsidR="00000000" w:rsidDel="00000000" w:rsidP="00000000" w:rsidRDefault="00000000" w:rsidRPr="00000000" w14:paraId="0000008D">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Cypress, B., 2018. Qualitative research methods: A phenomenological focus. </w:t>
      </w:r>
      <w:r w:rsidDel="00000000" w:rsidR="00000000" w:rsidRPr="00000000">
        <w:rPr>
          <w:rFonts w:ascii="Times New Roman" w:cs="Times New Roman" w:eastAsia="Times New Roman" w:hAnsi="Times New Roman"/>
          <w:i w:val="1"/>
          <w:sz w:val="24"/>
          <w:szCs w:val="24"/>
          <w:highlight w:val="white"/>
          <w:rtl w:val="0"/>
        </w:rPr>
        <w:t xml:space="preserve">Dimensions of Critical Care Nursing</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37</w:t>
      </w:r>
      <w:r w:rsidDel="00000000" w:rsidR="00000000" w:rsidRPr="00000000">
        <w:rPr>
          <w:rFonts w:ascii="Times New Roman" w:cs="Times New Roman" w:eastAsia="Times New Roman" w:hAnsi="Times New Roman"/>
          <w:sz w:val="24"/>
          <w:szCs w:val="24"/>
          <w:highlight w:val="white"/>
          <w:rtl w:val="0"/>
        </w:rPr>
        <w:t xml:space="preserve">(6), pp.302-309.</w:t>
      </w:r>
    </w:p>
    <w:p w:rsidR="00000000" w:rsidDel="00000000" w:rsidP="00000000" w:rsidRDefault="00000000" w:rsidRPr="00000000" w14:paraId="0000008E">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Farrelly, T., Raftery, D. and Harding, N., 2018. Exploring lecturer engagement with the VLE: findings from a multi-college staff survey. </w:t>
      </w:r>
      <w:r w:rsidDel="00000000" w:rsidR="00000000" w:rsidRPr="00000000">
        <w:rPr>
          <w:rFonts w:ascii="Times New Roman" w:cs="Times New Roman" w:eastAsia="Times New Roman" w:hAnsi="Times New Roman"/>
          <w:i w:val="1"/>
          <w:sz w:val="24"/>
          <w:szCs w:val="24"/>
          <w:highlight w:val="white"/>
          <w:rtl w:val="0"/>
        </w:rPr>
        <w:t xml:space="preserve">Irish Journal of Technology Enhanced Learning</w:t>
      </w:r>
      <w:r w:rsidDel="00000000" w:rsidR="00000000" w:rsidRPr="00000000">
        <w:rPr>
          <w:rFonts w:ascii="Times New Roman" w:cs="Times New Roman" w:eastAsia="Times New Roman" w:hAnsi="Times New Roman"/>
          <w:sz w:val="24"/>
          <w:szCs w:val="24"/>
          <w:highlight w:val="white"/>
          <w:rtl w:val="0"/>
        </w:rPr>
        <w:t xml:space="preserve">.</w:t>
      </w:r>
    </w:p>
    <w:p w:rsidR="00000000" w:rsidDel="00000000" w:rsidP="00000000" w:rsidRDefault="00000000" w:rsidRPr="00000000" w14:paraId="0000008F">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Hamill, D., 2020. Using Blackboard (VLE) to support teaching practice of academic staff in response to COVID-19. </w:t>
      </w:r>
      <w:r w:rsidDel="00000000" w:rsidR="00000000" w:rsidRPr="00000000">
        <w:rPr>
          <w:rFonts w:ascii="Times New Roman" w:cs="Times New Roman" w:eastAsia="Times New Roman" w:hAnsi="Times New Roman"/>
          <w:i w:val="1"/>
          <w:sz w:val="24"/>
          <w:szCs w:val="24"/>
          <w:highlight w:val="white"/>
          <w:rtl w:val="0"/>
        </w:rPr>
        <w:t xml:space="preserve">All Ireland Journal of Higher Education</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12</w:t>
      </w:r>
      <w:r w:rsidDel="00000000" w:rsidR="00000000" w:rsidRPr="00000000">
        <w:rPr>
          <w:rFonts w:ascii="Times New Roman" w:cs="Times New Roman" w:eastAsia="Times New Roman" w:hAnsi="Times New Roman"/>
          <w:sz w:val="24"/>
          <w:szCs w:val="24"/>
          <w:highlight w:val="white"/>
          <w:rtl w:val="0"/>
        </w:rPr>
        <w:t xml:space="preserve">(3).</w:t>
      </w:r>
    </w:p>
    <w:p w:rsidR="00000000" w:rsidDel="00000000" w:rsidP="00000000" w:rsidRDefault="00000000" w:rsidRPr="00000000" w14:paraId="00000090">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Hiscock, C., 2020. International Student Voices and the VLE: How Can Photovoice and Student Focus Groups Contribute to the Design of VLE Spaces. </w:t>
      </w:r>
      <w:r w:rsidDel="00000000" w:rsidR="00000000" w:rsidRPr="00000000">
        <w:rPr>
          <w:rFonts w:ascii="Times New Roman" w:cs="Times New Roman" w:eastAsia="Times New Roman" w:hAnsi="Times New Roman"/>
          <w:i w:val="1"/>
          <w:sz w:val="24"/>
          <w:szCs w:val="24"/>
          <w:highlight w:val="white"/>
          <w:rtl w:val="0"/>
        </w:rPr>
        <w:t xml:space="preserve">International Journal of Computer-Assisted Language Learning and Teaching (IJCALLT)</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10</w:t>
      </w:r>
      <w:r w:rsidDel="00000000" w:rsidR="00000000" w:rsidRPr="00000000">
        <w:rPr>
          <w:rFonts w:ascii="Times New Roman" w:cs="Times New Roman" w:eastAsia="Times New Roman" w:hAnsi="Times New Roman"/>
          <w:sz w:val="24"/>
          <w:szCs w:val="24"/>
          <w:highlight w:val="white"/>
          <w:rtl w:val="0"/>
        </w:rPr>
        <w:t xml:space="preserve">(3), pp.16-27.</w:t>
      </w:r>
    </w:p>
    <w:p w:rsidR="00000000" w:rsidDel="00000000" w:rsidP="00000000" w:rsidRDefault="00000000" w:rsidRPr="00000000" w14:paraId="00000091">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Jani, J., Muszali, R., Nathan, S. and Abdullah, M.S., 2018. Blended learning approach using frog vle platform towards students’ achievement in teaching games for understanding. </w:t>
      </w:r>
      <w:r w:rsidDel="00000000" w:rsidR="00000000" w:rsidRPr="00000000">
        <w:rPr>
          <w:rFonts w:ascii="Times New Roman" w:cs="Times New Roman" w:eastAsia="Times New Roman" w:hAnsi="Times New Roman"/>
          <w:i w:val="1"/>
          <w:sz w:val="24"/>
          <w:szCs w:val="24"/>
          <w:highlight w:val="white"/>
          <w:rtl w:val="0"/>
        </w:rPr>
        <w:t xml:space="preserve">Journal of Fundamental and Applied Sciences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10</w:t>
      </w:r>
      <w:r w:rsidDel="00000000" w:rsidR="00000000" w:rsidRPr="00000000">
        <w:rPr>
          <w:rFonts w:ascii="Times New Roman" w:cs="Times New Roman" w:eastAsia="Times New Roman" w:hAnsi="Times New Roman"/>
          <w:sz w:val="24"/>
          <w:szCs w:val="24"/>
          <w:highlight w:val="white"/>
          <w:rtl w:val="0"/>
        </w:rPr>
        <w:t xml:space="preserve">(5S), pp.1130-1141.</w:t>
      </w:r>
    </w:p>
    <w:p w:rsidR="00000000" w:rsidDel="00000000" w:rsidP="00000000" w:rsidRDefault="00000000" w:rsidRPr="00000000" w14:paraId="00000092">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Mendez, O. and Florez, H., 2018, November. Applying the flipped classroom model using a vle for foreign languages learning. In </w:t>
      </w:r>
      <w:r w:rsidDel="00000000" w:rsidR="00000000" w:rsidRPr="00000000">
        <w:rPr>
          <w:rFonts w:ascii="Times New Roman" w:cs="Times New Roman" w:eastAsia="Times New Roman" w:hAnsi="Times New Roman"/>
          <w:i w:val="1"/>
          <w:sz w:val="24"/>
          <w:szCs w:val="24"/>
          <w:highlight w:val="white"/>
          <w:rtl w:val="0"/>
        </w:rPr>
        <w:t xml:space="preserve">International Conference on Applied Informatics</w:t>
      </w:r>
      <w:r w:rsidDel="00000000" w:rsidR="00000000" w:rsidRPr="00000000">
        <w:rPr>
          <w:rFonts w:ascii="Times New Roman" w:cs="Times New Roman" w:eastAsia="Times New Roman" w:hAnsi="Times New Roman"/>
          <w:sz w:val="24"/>
          <w:szCs w:val="24"/>
          <w:highlight w:val="white"/>
          <w:rtl w:val="0"/>
        </w:rPr>
        <w:t xml:space="preserve"> (pp. 215-227). Springer, Cham.</w:t>
      </w:r>
    </w:p>
    <w:p w:rsidR="00000000" w:rsidDel="00000000" w:rsidP="00000000" w:rsidRDefault="00000000" w:rsidRPr="00000000" w14:paraId="00000093">
      <w:pPr>
        <w:spacing w:line="360" w:lineRule="auto"/>
        <w:jc w:val="both"/>
        <w:rPr>
          <w:rFonts w:ascii="Times New Roman" w:cs="Times New Roman" w:eastAsia="Times New Roman" w:hAnsi="Times New Roman"/>
          <w:sz w:val="44"/>
          <w:szCs w:val="44"/>
        </w:rPr>
      </w:pPr>
      <w:r w:rsidDel="00000000" w:rsidR="00000000" w:rsidRPr="00000000">
        <w:rPr>
          <w:rFonts w:ascii="Times New Roman" w:cs="Times New Roman" w:eastAsia="Times New Roman" w:hAnsi="Times New Roman"/>
          <w:sz w:val="24"/>
          <w:szCs w:val="24"/>
          <w:highlight w:val="white"/>
          <w:rtl w:val="0"/>
        </w:rPr>
        <w:t xml:space="preserve">Nunkoo, R., Thelwall, M., Ladsawut, J. and Goolaup, S., 2020. Three decades of tourism scholarship: Gender, collaboration and research methods. </w:t>
      </w:r>
      <w:r w:rsidDel="00000000" w:rsidR="00000000" w:rsidRPr="00000000">
        <w:rPr>
          <w:rFonts w:ascii="Times New Roman" w:cs="Times New Roman" w:eastAsia="Times New Roman" w:hAnsi="Times New Roman"/>
          <w:i w:val="1"/>
          <w:sz w:val="24"/>
          <w:szCs w:val="24"/>
          <w:highlight w:val="white"/>
          <w:rtl w:val="0"/>
        </w:rPr>
        <w:t xml:space="preserve">Tourism management</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78</w:t>
      </w:r>
      <w:r w:rsidDel="00000000" w:rsidR="00000000" w:rsidRPr="00000000">
        <w:rPr>
          <w:rFonts w:ascii="Times New Roman" w:cs="Times New Roman" w:eastAsia="Times New Roman" w:hAnsi="Times New Roman"/>
          <w:sz w:val="24"/>
          <w:szCs w:val="24"/>
          <w:highlight w:val="white"/>
          <w:rtl w:val="0"/>
        </w:rPr>
        <w:t xml:space="preserve">, p.104056.</w:t>
      </w:r>
      <w:r w:rsidDel="00000000" w:rsidR="00000000" w:rsidRPr="00000000">
        <w:rPr>
          <w:rtl w:val="0"/>
        </w:rPr>
      </w:r>
    </w:p>
    <w:p w:rsidR="00000000" w:rsidDel="00000000" w:rsidP="00000000" w:rsidRDefault="00000000" w:rsidRPr="00000000" w14:paraId="00000094">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Raman, A. and Rathakrishnan, M., 2018. Frog VLE: Teachers’ technology acceptance using UTAUT model. </w:t>
      </w:r>
      <w:r w:rsidDel="00000000" w:rsidR="00000000" w:rsidRPr="00000000">
        <w:rPr>
          <w:rFonts w:ascii="Times New Roman" w:cs="Times New Roman" w:eastAsia="Times New Roman" w:hAnsi="Times New Roman"/>
          <w:i w:val="1"/>
          <w:sz w:val="24"/>
          <w:szCs w:val="24"/>
          <w:highlight w:val="white"/>
          <w:rtl w:val="0"/>
        </w:rPr>
        <w:t xml:space="preserve">International Journal of Mechanical Engineering and Technology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9</w:t>
      </w:r>
      <w:r w:rsidDel="00000000" w:rsidR="00000000" w:rsidRPr="00000000">
        <w:rPr>
          <w:rFonts w:ascii="Times New Roman" w:cs="Times New Roman" w:eastAsia="Times New Roman" w:hAnsi="Times New Roman"/>
          <w:sz w:val="24"/>
          <w:szCs w:val="24"/>
          <w:highlight w:val="white"/>
          <w:rtl w:val="0"/>
        </w:rPr>
        <w:t xml:space="preserve">(3), pp.529-538.</w:t>
      </w:r>
    </w:p>
    <w:p w:rsidR="00000000" w:rsidDel="00000000" w:rsidP="00000000" w:rsidRDefault="00000000" w:rsidRPr="00000000" w14:paraId="00000095">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Thaila, T.F.F., Rumana, M.N.P., Suhaila, K. and Mohamed Nafrees, A.C., 2021. Effectiveness of Moodle for E-Learning to the undergraduates during the COVID-19: special reference to South Eastern University of Sri Lanka.</w:t>
      </w:r>
    </w:p>
    <w:p w:rsidR="00000000" w:rsidDel="00000000" w:rsidP="00000000" w:rsidRDefault="00000000" w:rsidRPr="00000000" w14:paraId="00000096">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Waheed, H., Hassan, S.U., Aljohani, N.R., Hardman, J., Alelyani, S. and Nawaz, R., 2020. Predicting academic performance of students from VLE big data using deep learning models. </w:t>
      </w:r>
      <w:r w:rsidDel="00000000" w:rsidR="00000000" w:rsidRPr="00000000">
        <w:rPr>
          <w:rFonts w:ascii="Times New Roman" w:cs="Times New Roman" w:eastAsia="Times New Roman" w:hAnsi="Times New Roman"/>
          <w:i w:val="1"/>
          <w:sz w:val="24"/>
          <w:szCs w:val="24"/>
          <w:highlight w:val="white"/>
          <w:rtl w:val="0"/>
        </w:rPr>
        <w:t xml:space="preserve">Computers in Human behavior</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104</w:t>
      </w:r>
      <w:r w:rsidDel="00000000" w:rsidR="00000000" w:rsidRPr="00000000">
        <w:rPr>
          <w:rFonts w:ascii="Times New Roman" w:cs="Times New Roman" w:eastAsia="Times New Roman" w:hAnsi="Times New Roman"/>
          <w:sz w:val="24"/>
          <w:szCs w:val="24"/>
          <w:highlight w:val="white"/>
          <w:rtl w:val="0"/>
        </w:rPr>
        <w:t xml:space="preserve">, p.106189.</w:t>
      </w:r>
    </w:p>
    <w:p w:rsidR="00000000" w:rsidDel="00000000" w:rsidP="00000000" w:rsidRDefault="00000000" w:rsidRPr="00000000" w14:paraId="00000097">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Wanderley, R.R., Pinto, D.D. and Knuutila, H.K., 2020. Investigating opportunities for water-lean solvents in CO2 capture: VLE and heat of absorption in water-lean solvents containing MEA. </w:t>
      </w:r>
      <w:r w:rsidDel="00000000" w:rsidR="00000000" w:rsidRPr="00000000">
        <w:rPr>
          <w:rFonts w:ascii="Times New Roman" w:cs="Times New Roman" w:eastAsia="Times New Roman" w:hAnsi="Times New Roman"/>
          <w:i w:val="1"/>
          <w:sz w:val="24"/>
          <w:szCs w:val="24"/>
          <w:highlight w:val="white"/>
          <w:rtl w:val="0"/>
        </w:rPr>
        <w:t xml:space="preserve">Separation and Purification Technology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231</w:t>
      </w:r>
      <w:r w:rsidDel="00000000" w:rsidR="00000000" w:rsidRPr="00000000">
        <w:rPr>
          <w:rFonts w:ascii="Times New Roman" w:cs="Times New Roman" w:eastAsia="Times New Roman" w:hAnsi="Times New Roman"/>
          <w:sz w:val="24"/>
          <w:szCs w:val="24"/>
          <w:highlight w:val="white"/>
          <w:rtl w:val="0"/>
        </w:rPr>
        <w:t xml:space="preserve">, p.115883.</w:t>
      </w:r>
    </w:p>
    <w:p w:rsidR="00000000" w:rsidDel="00000000" w:rsidP="00000000" w:rsidRDefault="00000000" w:rsidRPr="00000000" w14:paraId="00000098">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Xiao, M., Cui, D., Zou, L., Yang, Q., Gao, H. and Liang, Z., 2020. Experimental and modeling studies of bicarbonate forming amines for CO2 capture by NMR spectroscopy and VLE. </w:t>
      </w:r>
      <w:r w:rsidDel="00000000" w:rsidR="00000000" w:rsidRPr="00000000">
        <w:rPr>
          <w:rFonts w:ascii="Times New Roman" w:cs="Times New Roman" w:eastAsia="Times New Roman" w:hAnsi="Times New Roman"/>
          <w:i w:val="1"/>
          <w:sz w:val="24"/>
          <w:szCs w:val="24"/>
          <w:highlight w:val="white"/>
          <w:rtl w:val="0"/>
        </w:rPr>
        <w:t xml:space="preserve">Separation and Purification Technology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234</w:t>
      </w:r>
      <w:r w:rsidDel="00000000" w:rsidR="00000000" w:rsidRPr="00000000">
        <w:rPr>
          <w:rFonts w:ascii="Times New Roman" w:cs="Times New Roman" w:eastAsia="Times New Roman" w:hAnsi="Times New Roman"/>
          <w:sz w:val="24"/>
          <w:szCs w:val="24"/>
          <w:highlight w:val="white"/>
          <w:rtl w:val="0"/>
        </w:rPr>
        <w:t xml:space="preserve">, p.116097.</w:t>
      </w:r>
    </w:p>
    <w:p w:rsidR="00000000" w:rsidDel="00000000" w:rsidP="00000000" w:rsidRDefault="00000000" w:rsidRPr="00000000" w14:paraId="00000099">
      <w:pPr>
        <w:spacing w:line="360" w:lineRule="auto"/>
        <w:jc w:val="both"/>
        <w:rPr>
          <w:rFonts w:ascii="Times New Roman" w:cs="Times New Roman" w:eastAsia="Times New Roman" w:hAnsi="Times New Roman"/>
          <w:sz w:val="24"/>
          <w:szCs w:val="24"/>
        </w:rPr>
      </w:pPr>
      <w:r w:rsidDel="00000000" w:rsidR="00000000" w:rsidRPr="00000000">
        <w:rPr>
          <w:rtl w:val="0"/>
        </w:rPr>
      </w:r>
    </w:p>
    <w:sectPr>
      <w:footerReference r:id="rId10" w:type="default"/>
      <w:pgSz w:h="16838" w:w="11906" w:orient="portrait"/>
      <w:pgMar w:bottom="1440" w:top="1440" w:left="1440" w:right="1440" w:header="708" w:foot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Georgia"/>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9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IN"/>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line="360" w:lineRule="auto"/>
      <w:jc w:val="both"/>
    </w:pPr>
    <w:rPr>
      <w:rFonts w:ascii="Times New Roman" w:cs="Times New Roman" w:eastAsia="Times New Roman" w:hAnsi="Times New Roman"/>
      <w:b w:val="1"/>
      <w:sz w:val="28"/>
      <w:szCs w:val="2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paragraph" w:styleId="Titlu1">
    <w:name w:val="heading 1"/>
    <w:basedOn w:val="Normal"/>
    <w:next w:val="Normal"/>
    <w:link w:val="Titlu1Caracter"/>
    <w:uiPriority w:val="9"/>
    <w:qFormat w:val="1"/>
    <w:rsid w:val="00632125"/>
    <w:pPr>
      <w:spacing w:line="360" w:lineRule="auto"/>
      <w:jc w:val="both"/>
      <w:outlineLvl w:val="0"/>
    </w:pPr>
    <w:rPr>
      <w:rFonts w:ascii="Times New Roman" w:cs="Times New Roman" w:hAnsi="Times New Roman"/>
      <w:b w:val="1"/>
      <w:sz w:val="28"/>
    </w:rPr>
  </w:style>
  <w:style w:type="character" w:styleId="Fontdeparagrafimplicit" w:default="1">
    <w:name w:val="Default Paragraph Font"/>
    <w:uiPriority w:val="1"/>
    <w:semiHidden w:val="1"/>
    <w:unhideWhenUsed w:val="1"/>
  </w:style>
  <w:style w:type="table" w:styleId="Tabel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FrListare" w:default="1">
    <w:name w:val="No List"/>
    <w:uiPriority w:val="99"/>
    <w:semiHidden w:val="1"/>
    <w:unhideWhenUsed w:val="1"/>
  </w:style>
  <w:style w:type="paragraph" w:styleId="NormalWeb">
    <w:name w:val="Normal (Web)"/>
    <w:basedOn w:val="Normal"/>
    <w:uiPriority w:val="99"/>
    <w:semiHidden w:val="1"/>
    <w:unhideWhenUsed w:val="1"/>
    <w:rsid w:val="00830E25"/>
    <w:pPr>
      <w:spacing w:after="100" w:afterAutospacing="1" w:before="100" w:beforeAutospacing="1" w:line="240" w:lineRule="auto"/>
    </w:pPr>
    <w:rPr>
      <w:rFonts w:ascii="Times New Roman" w:cs="Times New Roman" w:eastAsia="Times New Roman" w:hAnsi="Times New Roman"/>
      <w:sz w:val="24"/>
      <w:szCs w:val="24"/>
      <w:lang w:eastAsia="en-IN"/>
    </w:rPr>
  </w:style>
  <w:style w:type="character" w:styleId="Robust">
    <w:name w:val="Strong"/>
    <w:basedOn w:val="Fontdeparagrafimplicit"/>
    <w:uiPriority w:val="22"/>
    <w:qFormat w:val="1"/>
    <w:rsid w:val="00165050"/>
    <w:rPr>
      <w:b w:val="1"/>
      <w:bCs w:val="1"/>
    </w:rPr>
  </w:style>
  <w:style w:type="paragraph" w:styleId="result-sty" w:customStyle="1">
    <w:name w:val="result-sty"/>
    <w:basedOn w:val="Normal"/>
    <w:rsid w:val="00AE76AC"/>
    <w:pPr>
      <w:spacing w:after="100" w:afterAutospacing="1" w:before="100" w:beforeAutospacing="1" w:line="240" w:lineRule="auto"/>
    </w:pPr>
    <w:rPr>
      <w:rFonts w:ascii="Times New Roman" w:cs="Times New Roman" w:eastAsia="Times New Roman" w:hAnsi="Times New Roman"/>
      <w:sz w:val="24"/>
      <w:szCs w:val="24"/>
      <w:lang w:eastAsia="en-IN"/>
    </w:rPr>
  </w:style>
  <w:style w:type="character" w:styleId="Hyperlink">
    <w:name w:val="Hyperlink"/>
    <w:basedOn w:val="Fontdeparagrafimplicit"/>
    <w:uiPriority w:val="99"/>
    <w:unhideWhenUsed w:val="1"/>
    <w:rsid w:val="006B1C1B"/>
    <w:rPr>
      <w:color w:val="0000ff"/>
      <w:u w:val="single"/>
    </w:rPr>
  </w:style>
  <w:style w:type="paragraph" w:styleId="Cuprins1">
    <w:name w:val="toc 1"/>
    <w:basedOn w:val="Normal"/>
    <w:next w:val="Normal"/>
    <w:autoRedefine w:val="1"/>
    <w:uiPriority w:val="39"/>
    <w:unhideWhenUsed w:val="1"/>
    <w:rsid w:val="005C167B"/>
    <w:pPr>
      <w:spacing w:after="100"/>
    </w:pPr>
  </w:style>
  <w:style w:type="character" w:styleId="MeniuneNerezolvat">
    <w:name w:val="Unresolved Mention"/>
    <w:basedOn w:val="Fontdeparagrafimplicit"/>
    <w:uiPriority w:val="99"/>
    <w:semiHidden w:val="1"/>
    <w:unhideWhenUsed w:val="1"/>
    <w:rsid w:val="002831B9"/>
    <w:rPr>
      <w:color w:val="605e5c"/>
      <w:shd w:color="auto" w:fill="e1dfdd" w:val="clear"/>
    </w:rPr>
  </w:style>
  <w:style w:type="table" w:styleId="Tabelgril">
    <w:name w:val="Table Grid"/>
    <w:basedOn w:val="TabelNormal"/>
    <w:uiPriority w:val="39"/>
    <w:rsid w:val="00BB289F"/>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Titlu1Caracter" w:customStyle="1">
    <w:name w:val="Titlu 1 Caracter"/>
    <w:basedOn w:val="Fontdeparagrafimplicit"/>
    <w:link w:val="Titlu1"/>
    <w:uiPriority w:val="9"/>
    <w:rsid w:val="00632125"/>
    <w:rPr>
      <w:rFonts w:ascii="Times New Roman" w:cs="Times New Roman" w:hAnsi="Times New Roman"/>
      <w:b w:val="1"/>
      <w:sz w:val="28"/>
    </w:rPr>
  </w:style>
  <w:style w:type="paragraph" w:styleId="Titlucuprins">
    <w:name w:val="TOC Heading"/>
    <w:basedOn w:val="Titlu1"/>
    <w:next w:val="Normal"/>
    <w:uiPriority w:val="39"/>
    <w:unhideWhenUsed w:val="1"/>
    <w:qFormat w:val="1"/>
    <w:rsid w:val="00632125"/>
    <w:pPr>
      <w:keepNext w:val="1"/>
      <w:keepLines w:val="1"/>
      <w:spacing w:after="0" w:before="240" w:line="259" w:lineRule="auto"/>
      <w:jc w:val="left"/>
      <w:outlineLvl w:val="9"/>
    </w:pPr>
    <w:rPr>
      <w:rFonts w:asciiTheme="majorHAnsi" w:cstheme="majorBidi" w:eastAsiaTheme="majorEastAsia" w:hAnsiTheme="majorHAnsi"/>
      <w:b w:val="0"/>
      <w:color w:val="2f5496" w:themeColor="accent1" w:themeShade="0000BF"/>
      <w:sz w:val="32"/>
      <w:szCs w:val="32"/>
      <w:lang w:val="en-US"/>
    </w:rPr>
  </w:style>
  <w:style w:type="paragraph" w:styleId="Antet">
    <w:name w:val="header"/>
    <w:basedOn w:val="Normal"/>
    <w:link w:val="AntetCaracter"/>
    <w:uiPriority w:val="99"/>
    <w:unhideWhenUsed w:val="1"/>
    <w:rsid w:val="00632125"/>
    <w:pPr>
      <w:tabs>
        <w:tab w:val="center" w:pos="4513"/>
        <w:tab w:val="right" w:pos="9026"/>
      </w:tabs>
      <w:spacing w:after="0" w:line="240" w:lineRule="auto"/>
    </w:pPr>
  </w:style>
  <w:style w:type="character" w:styleId="AntetCaracter" w:customStyle="1">
    <w:name w:val="Antet Caracter"/>
    <w:basedOn w:val="Fontdeparagrafimplicit"/>
    <w:link w:val="Antet"/>
    <w:uiPriority w:val="99"/>
    <w:rsid w:val="00632125"/>
  </w:style>
  <w:style w:type="paragraph" w:styleId="Subsol">
    <w:name w:val="footer"/>
    <w:basedOn w:val="Normal"/>
    <w:link w:val="SubsolCaracter"/>
    <w:uiPriority w:val="99"/>
    <w:unhideWhenUsed w:val="1"/>
    <w:rsid w:val="00632125"/>
    <w:pPr>
      <w:tabs>
        <w:tab w:val="center" w:pos="4513"/>
        <w:tab w:val="right" w:pos="9026"/>
      </w:tabs>
      <w:spacing w:after="0" w:line="240" w:lineRule="auto"/>
    </w:pPr>
  </w:style>
  <w:style w:type="character" w:styleId="SubsolCaracter" w:customStyle="1">
    <w:name w:val="Subsol Caracter"/>
    <w:basedOn w:val="Fontdeparagrafimplicit"/>
    <w:link w:val="Subsol"/>
    <w:uiPriority w:val="99"/>
    <w:rsid w:val="00632125"/>
  </w:style>
  <w:style w:type="paragraph" w:styleId="Listparagraf">
    <w:name w:val="List Paragraph"/>
    <w:basedOn w:val="Normal"/>
    <w:uiPriority w:val="34"/>
    <w:qFormat w:val="1"/>
    <w:rsid w:val="00181348"/>
    <w:pPr>
      <w:ind w:left="720"/>
      <w:contextualSpacing w:val="1"/>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image" Target="media/image2.jp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3.jpg"/><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vJhe2sxW0XopRcDZMmm3GrYCbOg==">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</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2022-01-09T13:37:00Z</dcterms:created>
</cp:coreProperties>
</file>