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3EEB" w:rsidRPr="00F73F0F" w:rsidRDefault="0057774B" w:rsidP="0057774B">
      <w:pPr>
        <w:jc w:val="left"/>
        <w:rPr>
          <w:b/>
          <w:sz w:val="36"/>
        </w:rPr>
      </w:pPr>
      <w:r w:rsidRPr="00F73F0F">
        <w:rPr>
          <w:b/>
          <w:noProof/>
          <w:sz w:val="36"/>
          <w:lang w:val="en-US"/>
        </w:rPr>
        <w:drawing>
          <wp:inline distT="0" distB="0" distL="0" distR="0">
            <wp:extent cx="1990725" cy="84772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90725" cy="847725"/>
                    </a:xfrm>
                    <a:prstGeom prst="rect">
                      <a:avLst/>
                    </a:prstGeom>
                    <a:noFill/>
                    <a:ln w="9525">
                      <a:noFill/>
                      <a:miter lim="800000"/>
                      <a:headEnd/>
                      <a:tailEnd/>
                    </a:ln>
                  </pic:spPr>
                </pic:pic>
              </a:graphicData>
            </a:graphic>
          </wp:inline>
        </w:drawing>
      </w:r>
    </w:p>
    <w:p w:rsidR="00073EEB" w:rsidRPr="00F73F0F" w:rsidRDefault="00073EEB" w:rsidP="0077220E">
      <w:pPr>
        <w:jc w:val="center"/>
        <w:rPr>
          <w:b/>
          <w:sz w:val="36"/>
        </w:rPr>
      </w:pPr>
    </w:p>
    <w:p w:rsidR="00063251" w:rsidRPr="00F73F0F" w:rsidRDefault="00063251" w:rsidP="0077220E">
      <w:pPr>
        <w:jc w:val="center"/>
        <w:rPr>
          <w:b/>
          <w:sz w:val="36"/>
        </w:rPr>
      </w:pPr>
    </w:p>
    <w:p w:rsidR="00063251" w:rsidRPr="00F73F0F" w:rsidRDefault="00063251" w:rsidP="0077220E">
      <w:pPr>
        <w:jc w:val="center"/>
        <w:rPr>
          <w:b/>
          <w:sz w:val="36"/>
        </w:rPr>
      </w:pPr>
    </w:p>
    <w:p w:rsidR="0077220E" w:rsidRPr="00F73F0F" w:rsidRDefault="0077220E" w:rsidP="0077220E">
      <w:pPr>
        <w:jc w:val="center"/>
        <w:rPr>
          <w:b/>
          <w:sz w:val="36"/>
        </w:rPr>
      </w:pPr>
      <w:r w:rsidRPr="00F73F0F">
        <w:rPr>
          <w:b/>
          <w:sz w:val="36"/>
        </w:rPr>
        <w:t>NAME:</w:t>
      </w:r>
      <w:r w:rsidR="00D87533">
        <w:rPr>
          <w:b/>
          <w:sz w:val="36"/>
        </w:rPr>
        <w:t xml:space="preserve"> MD. AL ZAKARIA</w:t>
      </w:r>
    </w:p>
    <w:p w:rsidR="00073EEB" w:rsidRPr="00F73F0F" w:rsidRDefault="00073EEB" w:rsidP="0077220E">
      <w:pPr>
        <w:jc w:val="center"/>
        <w:rPr>
          <w:b/>
          <w:sz w:val="36"/>
        </w:rPr>
      </w:pPr>
    </w:p>
    <w:p w:rsidR="0077220E" w:rsidRPr="00F73F0F" w:rsidRDefault="0077220E" w:rsidP="0077220E">
      <w:pPr>
        <w:jc w:val="center"/>
        <w:rPr>
          <w:b/>
          <w:sz w:val="36"/>
        </w:rPr>
      </w:pPr>
      <w:r w:rsidRPr="00F73F0F">
        <w:rPr>
          <w:b/>
          <w:sz w:val="36"/>
        </w:rPr>
        <w:t>STUDENT NUMBER:</w:t>
      </w:r>
      <w:r w:rsidR="00D87533">
        <w:rPr>
          <w:b/>
          <w:sz w:val="36"/>
        </w:rPr>
        <w:t xml:space="preserve"> 2511048</w:t>
      </w:r>
    </w:p>
    <w:p w:rsidR="00073EEB" w:rsidRPr="00F73F0F" w:rsidRDefault="00073EEB" w:rsidP="0077220E">
      <w:pPr>
        <w:jc w:val="center"/>
        <w:rPr>
          <w:b/>
          <w:sz w:val="36"/>
        </w:rPr>
      </w:pPr>
    </w:p>
    <w:p w:rsidR="0077220E" w:rsidRPr="00F73F0F" w:rsidRDefault="0077220E" w:rsidP="0077220E">
      <w:pPr>
        <w:jc w:val="center"/>
        <w:rPr>
          <w:b/>
          <w:sz w:val="36"/>
        </w:rPr>
      </w:pPr>
      <w:r w:rsidRPr="00F73F0F">
        <w:rPr>
          <w:b/>
          <w:sz w:val="36"/>
        </w:rPr>
        <w:t>MODULE CODE</w:t>
      </w:r>
      <w:r w:rsidR="00073EEB" w:rsidRPr="00F73F0F">
        <w:rPr>
          <w:b/>
          <w:sz w:val="36"/>
        </w:rPr>
        <w:t>:</w:t>
      </w:r>
      <w:r w:rsidR="00D87533">
        <w:rPr>
          <w:b/>
          <w:sz w:val="36"/>
        </w:rPr>
        <w:t xml:space="preserve"> </w:t>
      </w:r>
      <w:r w:rsidR="00073EEB" w:rsidRPr="00F73F0F">
        <w:rPr>
          <w:b/>
          <w:sz w:val="36"/>
        </w:rPr>
        <w:t>LCHS7000</w:t>
      </w:r>
    </w:p>
    <w:p w:rsidR="00073EEB" w:rsidRPr="00F73F0F" w:rsidRDefault="00073EEB" w:rsidP="0077220E">
      <w:pPr>
        <w:jc w:val="center"/>
        <w:rPr>
          <w:b/>
          <w:sz w:val="36"/>
        </w:rPr>
      </w:pPr>
    </w:p>
    <w:p w:rsidR="0077220E" w:rsidRPr="00F73F0F" w:rsidRDefault="0077220E" w:rsidP="0077220E">
      <w:pPr>
        <w:jc w:val="center"/>
        <w:rPr>
          <w:b/>
          <w:sz w:val="36"/>
        </w:rPr>
      </w:pPr>
      <w:r w:rsidRPr="00F73F0F">
        <w:rPr>
          <w:b/>
          <w:sz w:val="36"/>
        </w:rPr>
        <w:t>MODULE TITLE</w:t>
      </w:r>
      <w:r w:rsidR="00073EEB" w:rsidRPr="00F73F0F">
        <w:rPr>
          <w:b/>
          <w:sz w:val="36"/>
        </w:rPr>
        <w:t>: Social Epidemiology and Public Health Development</w:t>
      </w:r>
    </w:p>
    <w:p w:rsidR="00073EEB" w:rsidRPr="00F73F0F" w:rsidRDefault="00073EEB" w:rsidP="0077220E">
      <w:pPr>
        <w:jc w:val="center"/>
        <w:rPr>
          <w:b/>
          <w:sz w:val="36"/>
        </w:rPr>
      </w:pPr>
    </w:p>
    <w:p w:rsidR="0077220E" w:rsidRPr="00F73F0F" w:rsidRDefault="0077220E" w:rsidP="0077220E">
      <w:pPr>
        <w:jc w:val="center"/>
        <w:rPr>
          <w:b/>
          <w:sz w:val="36"/>
        </w:rPr>
      </w:pPr>
      <w:r w:rsidRPr="00F73F0F">
        <w:rPr>
          <w:b/>
          <w:sz w:val="36"/>
        </w:rPr>
        <w:t>LECTURER’S NAME</w:t>
      </w:r>
      <w:r w:rsidR="00D87533">
        <w:rPr>
          <w:b/>
          <w:sz w:val="36"/>
        </w:rPr>
        <w:t>: JOLLY NWANKWO</w:t>
      </w:r>
      <w:bookmarkStart w:id="0" w:name="_GoBack"/>
      <w:bookmarkEnd w:id="0"/>
    </w:p>
    <w:p w:rsidR="00073EEB" w:rsidRPr="00F73F0F" w:rsidRDefault="00073EEB" w:rsidP="0077220E">
      <w:pPr>
        <w:jc w:val="center"/>
        <w:rPr>
          <w:b/>
          <w:sz w:val="36"/>
        </w:rPr>
      </w:pPr>
    </w:p>
    <w:p w:rsidR="00063251" w:rsidRPr="00F73F0F" w:rsidRDefault="00063251" w:rsidP="0077220E">
      <w:pPr>
        <w:jc w:val="center"/>
        <w:rPr>
          <w:b/>
          <w:sz w:val="36"/>
        </w:rPr>
      </w:pPr>
    </w:p>
    <w:p w:rsidR="00DF2542" w:rsidRDefault="0077220E" w:rsidP="00073EEB">
      <w:pPr>
        <w:jc w:val="center"/>
        <w:rPr>
          <w:b/>
          <w:sz w:val="36"/>
        </w:rPr>
      </w:pPr>
      <w:r w:rsidRPr="00F73F0F">
        <w:rPr>
          <w:b/>
          <w:sz w:val="36"/>
        </w:rPr>
        <w:t>ASSIGNMENT TITLE:</w:t>
      </w:r>
      <w:r w:rsidR="00073EEB" w:rsidRPr="00F73F0F">
        <w:rPr>
          <w:b/>
          <w:sz w:val="36"/>
        </w:rPr>
        <w:t xml:space="preserve"> Component </w:t>
      </w:r>
      <w:r w:rsidR="00777C0E" w:rsidRPr="00F73F0F">
        <w:rPr>
          <w:b/>
          <w:sz w:val="36"/>
        </w:rPr>
        <w:t>2 Analytical</w:t>
      </w:r>
      <w:r w:rsidR="00073EEB" w:rsidRPr="00F73F0F">
        <w:rPr>
          <w:b/>
          <w:sz w:val="36"/>
        </w:rPr>
        <w:t xml:space="preserve"> Report</w:t>
      </w:r>
    </w:p>
    <w:p w:rsidR="00DF2542" w:rsidRDefault="00DF2542">
      <w:pPr>
        <w:rPr>
          <w:b/>
          <w:sz w:val="36"/>
        </w:rPr>
      </w:pPr>
      <w:r>
        <w:rPr>
          <w:b/>
          <w:sz w:val="36"/>
        </w:rPr>
        <w:br w:type="page"/>
      </w:r>
    </w:p>
    <w:p w:rsidR="00DF2542" w:rsidRPr="00DF2542" w:rsidRDefault="00DF2542" w:rsidP="00073EEB">
      <w:pPr>
        <w:jc w:val="center"/>
        <w:rPr>
          <w:b/>
          <w:bCs/>
        </w:rPr>
      </w:pPr>
      <w:r w:rsidRPr="00DF2542">
        <w:rPr>
          <w:b/>
          <w:bCs/>
        </w:rPr>
        <w:lastRenderedPageBreak/>
        <w:t>Executive Summary</w:t>
      </w:r>
    </w:p>
    <w:p w:rsidR="00AD53B3" w:rsidRDefault="00AD53B3" w:rsidP="00DF2542">
      <w:r>
        <w:t>This report presents a social epidemiological analysis of the key diseases and social issues affecting the older population in the United Kingdom, with a particular focus on how structural inequalities and systemic pressures within the healthcare system exacerbate health outcomes among this demographic. As the UK’s elderly population continues to grow rapidly, the interaction between social determinants of health and access to care has become increasingly significant in shaping morbidity and mortality trends.</w:t>
      </w:r>
      <w:r w:rsidR="00F6476E" w:rsidRPr="00F6476E">
        <w:t xml:space="preserve"> </w:t>
      </w:r>
      <w:r w:rsidR="00F6476E">
        <w:t>The analysis identifies three major health-related challenges impacting older adults: high prevalence of mental illness, reduced access to healthcare services, and rising mortality rates.</w:t>
      </w:r>
      <w:r w:rsidR="009309F6">
        <w:t xml:space="preserve"> The report also evaluates the national response to these challenges, with particular emphasis on NHS initiatives such as the Revised Clinical Interview Schedule (CIS-R), which aims to improve early identification and management of common mental health conditions among older adults.</w:t>
      </w:r>
      <w:r w:rsidR="009058B1">
        <w:t xml:space="preserve"> In conclusion, the report underscores that health outcomes among the UK’s older population are not solely determined by biological ageing</w:t>
      </w:r>
      <w:r w:rsidR="008F603F">
        <w:t>.</w:t>
      </w:r>
    </w:p>
    <w:p w:rsidR="0077220E" w:rsidRPr="00F73F0F" w:rsidRDefault="0086355D" w:rsidP="00DF2542">
      <w:pPr>
        <w:rPr>
          <w:b/>
          <w:bCs/>
        </w:rPr>
      </w:pPr>
      <w:r>
        <w:t>This report has included a comprehensive health intervention program in respect to the concerned problem of disability and inequality in health. Evaluation of the program has been conducted by identifying the strengths and weaknesses of the epidemiological approach related to the intervention program.</w:t>
      </w:r>
      <w:r w:rsidR="00731097">
        <w:t>The following aspect signifies that Disability and health inequalities comprises substantial risk factors such as environmental, socioeconomic and individual behaviour determinants. Alongside, public health approaches and strategies (Family Resources Survey (FRS), Quality and Outcomes Framework, Hospital Episode Statistics, Learning Disabilities Mortality Review (LeDeR)) facilitate the ongoing epidemiological surveillance and inform the planning of the health of the population.</w:t>
      </w:r>
      <w:r w:rsidR="0077220E" w:rsidRPr="00F73F0F">
        <w:br w:type="page"/>
      </w:r>
    </w:p>
    <w:sdt>
      <w:sdtPr>
        <w:rPr>
          <w:rFonts w:ascii="Arial" w:eastAsia="Arial" w:hAnsi="Arial" w:cs="Arial"/>
          <w:b w:val="0"/>
          <w:bCs w:val="0"/>
          <w:color w:val="auto"/>
          <w:sz w:val="22"/>
          <w:szCs w:val="22"/>
          <w:lang w:val="en-GB"/>
        </w:rPr>
        <w:id w:val="23249720"/>
        <w:docPartObj>
          <w:docPartGallery w:val="Table of Contents"/>
          <w:docPartUnique/>
        </w:docPartObj>
      </w:sdtPr>
      <w:sdtEndPr/>
      <w:sdtContent>
        <w:p w:rsidR="00557220" w:rsidRPr="00F84D89" w:rsidRDefault="00557220" w:rsidP="00F84D89">
          <w:pPr>
            <w:pStyle w:val="TOCHeading"/>
            <w:spacing w:line="360" w:lineRule="auto"/>
            <w:jc w:val="center"/>
            <w:rPr>
              <w:rFonts w:ascii="Arial" w:hAnsi="Arial" w:cs="Arial"/>
              <w:sz w:val="22"/>
              <w:szCs w:val="22"/>
              <w:lang w:val="en-GB"/>
            </w:rPr>
          </w:pPr>
          <w:r w:rsidRPr="00F84D89">
            <w:rPr>
              <w:rFonts w:ascii="Arial" w:hAnsi="Arial" w:cs="Arial"/>
              <w:color w:val="000000" w:themeColor="text1"/>
              <w:sz w:val="22"/>
              <w:szCs w:val="22"/>
              <w:lang w:val="en-GB"/>
            </w:rPr>
            <w:t>Table of Contents</w:t>
          </w:r>
        </w:p>
        <w:p w:rsidR="000D26DE" w:rsidRDefault="007A5F07">
          <w:pPr>
            <w:pStyle w:val="TOC1"/>
            <w:tabs>
              <w:tab w:val="right" w:leader="dot" w:pos="9019"/>
            </w:tabs>
            <w:rPr>
              <w:rFonts w:asciiTheme="minorHAnsi" w:eastAsiaTheme="minorEastAsia" w:hAnsiTheme="minorHAnsi" w:cstheme="minorBidi"/>
              <w:noProof/>
              <w:lang w:val="en-US"/>
            </w:rPr>
          </w:pPr>
          <w:r w:rsidRPr="00F84D89">
            <w:fldChar w:fldCharType="begin"/>
          </w:r>
          <w:r w:rsidR="00557220" w:rsidRPr="00F84D89">
            <w:instrText xml:space="preserve"> TOC \o "1-3" \h \z \u </w:instrText>
          </w:r>
          <w:r w:rsidRPr="00F84D89">
            <w:fldChar w:fldCharType="separate"/>
          </w:r>
          <w:hyperlink w:anchor="_Toc216889481" w:history="1">
            <w:r w:rsidR="000D26DE" w:rsidRPr="00F22AA2">
              <w:rPr>
                <w:rStyle w:val="Hyperlink"/>
                <w:noProof/>
              </w:rPr>
              <w:t>Task 1: Social Epidemiological Analysis</w:t>
            </w:r>
            <w:r w:rsidR="000D26DE">
              <w:rPr>
                <w:noProof/>
                <w:webHidden/>
              </w:rPr>
              <w:tab/>
            </w:r>
            <w:r w:rsidR="000D26DE">
              <w:rPr>
                <w:noProof/>
                <w:webHidden/>
              </w:rPr>
              <w:fldChar w:fldCharType="begin"/>
            </w:r>
            <w:r w:rsidR="000D26DE">
              <w:rPr>
                <w:noProof/>
                <w:webHidden/>
              </w:rPr>
              <w:instrText xml:space="preserve"> PAGEREF _Toc216889481 \h </w:instrText>
            </w:r>
            <w:r w:rsidR="000D26DE">
              <w:rPr>
                <w:noProof/>
                <w:webHidden/>
              </w:rPr>
            </w:r>
            <w:r w:rsidR="000D26DE">
              <w:rPr>
                <w:noProof/>
                <w:webHidden/>
              </w:rPr>
              <w:fldChar w:fldCharType="separate"/>
            </w:r>
            <w:r w:rsidR="000D26DE">
              <w:rPr>
                <w:noProof/>
                <w:webHidden/>
              </w:rPr>
              <w:t>4</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82" w:history="1">
            <w:r w:rsidR="000D26DE" w:rsidRPr="00F22AA2">
              <w:rPr>
                <w:rStyle w:val="Hyperlink"/>
                <w:noProof/>
              </w:rPr>
              <w:t>Introduction</w:t>
            </w:r>
            <w:r w:rsidR="000D26DE">
              <w:rPr>
                <w:noProof/>
                <w:webHidden/>
              </w:rPr>
              <w:tab/>
            </w:r>
            <w:r w:rsidR="000D26DE">
              <w:rPr>
                <w:noProof/>
                <w:webHidden/>
              </w:rPr>
              <w:fldChar w:fldCharType="begin"/>
            </w:r>
            <w:r w:rsidR="000D26DE">
              <w:rPr>
                <w:noProof/>
                <w:webHidden/>
              </w:rPr>
              <w:instrText xml:space="preserve"> PAGEREF _Toc216889482 \h </w:instrText>
            </w:r>
            <w:r w:rsidR="000D26DE">
              <w:rPr>
                <w:noProof/>
                <w:webHidden/>
              </w:rPr>
            </w:r>
            <w:r w:rsidR="000D26DE">
              <w:rPr>
                <w:noProof/>
                <w:webHidden/>
              </w:rPr>
              <w:fldChar w:fldCharType="separate"/>
            </w:r>
            <w:r w:rsidR="000D26DE">
              <w:rPr>
                <w:noProof/>
                <w:webHidden/>
              </w:rPr>
              <w:t>4</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83" w:history="1">
            <w:r w:rsidR="000D26DE" w:rsidRPr="00F22AA2">
              <w:rPr>
                <w:rStyle w:val="Hyperlink"/>
                <w:noProof/>
              </w:rPr>
              <w:t>Contextual background</w:t>
            </w:r>
            <w:r w:rsidR="000D26DE">
              <w:rPr>
                <w:noProof/>
                <w:webHidden/>
              </w:rPr>
              <w:tab/>
            </w:r>
            <w:r w:rsidR="000D26DE">
              <w:rPr>
                <w:noProof/>
                <w:webHidden/>
              </w:rPr>
              <w:fldChar w:fldCharType="begin"/>
            </w:r>
            <w:r w:rsidR="000D26DE">
              <w:rPr>
                <w:noProof/>
                <w:webHidden/>
              </w:rPr>
              <w:instrText xml:space="preserve"> PAGEREF _Toc216889483 \h </w:instrText>
            </w:r>
            <w:r w:rsidR="000D26DE">
              <w:rPr>
                <w:noProof/>
                <w:webHidden/>
              </w:rPr>
            </w:r>
            <w:r w:rsidR="000D26DE">
              <w:rPr>
                <w:noProof/>
                <w:webHidden/>
              </w:rPr>
              <w:fldChar w:fldCharType="separate"/>
            </w:r>
            <w:r w:rsidR="000D26DE">
              <w:rPr>
                <w:noProof/>
                <w:webHidden/>
              </w:rPr>
              <w:t>4</w:t>
            </w:r>
            <w:r w:rsidR="000D26DE">
              <w:rPr>
                <w:noProof/>
                <w:webHidden/>
              </w:rPr>
              <w:fldChar w:fldCharType="end"/>
            </w:r>
          </w:hyperlink>
        </w:p>
        <w:p w:rsidR="000D26DE" w:rsidRDefault="00367F8D">
          <w:pPr>
            <w:pStyle w:val="TOC3"/>
            <w:tabs>
              <w:tab w:val="right" w:leader="dot" w:pos="9019"/>
            </w:tabs>
            <w:rPr>
              <w:noProof/>
            </w:rPr>
          </w:pPr>
          <w:hyperlink w:anchor="_Toc216889484" w:history="1">
            <w:r w:rsidR="000D26DE" w:rsidRPr="00F22AA2">
              <w:rPr>
                <w:rStyle w:val="Hyperlink"/>
                <w:noProof/>
              </w:rPr>
              <w:t>3 diseases</w:t>
            </w:r>
            <w:r w:rsidR="000D26DE">
              <w:rPr>
                <w:noProof/>
                <w:webHidden/>
              </w:rPr>
              <w:tab/>
            </w:r>
            <w:r w:rsidR="000D26DE">
              <w:rPr>
                <w:noProof/>
                <w:webHidden/>
              </w:rPr>
              <w:fldChar w:fldCharType="begin"/>
            </w:r>
            <w:r w:rsidR="000D26DE">
              <w:rPr>
                <w:noProof/>
                <w:webHidden/>
              </w:rPr>
              <w:instrText xml:space="preserve"> PAGEREF _Toc216889484 \h </w:instrText>
            </w:r>
            <w:r w:rsidR="000D26DE">
              <w:rPr>
                <w:noProof/>
                <w:webHidden/>
              </w:rPr>
            </w:r>
            <w:r w:rsidR="000D26DE">
              <w:rPr>
                <w:noProof/>
                <w:webHidden/>
              </w:rPr>
              <w:fldChar w:fldCharType="separate"/>
            </w:r>
            <w:r w:rsidR="000D26DE">
              <w:rPr>
                <w:noProof/>
                <w:webHidden/>
              </w:rPr>
              <w:t>4</w:t>
            </w:r>
            <w:r w:rsidR="000D26DE">
              <w:rPr>
                <w:noProof/>
                <w:webHidden/>
              </w:rPr>
              <w:fldChar w:fldCharType="end"/>
            </w:r>
          </w:hyperlink>
        </w:p>
        <w:p w:rsidR="000D26DE" w:rsidRDefault="00367F8D">
          <w:pPr>
            <w:pStyle w:val="TOC3"/>
            <w:tabs>
              <w:tab w:val="right" w:leader="dot" w:pos="9019"/>
            </w:tabs>
            <w:rPr>
              <w:noProof/>
            </w:rPr>
          </w:pPr>
          <w:hyperlink w:anchor="_Toc216889485" w:history="1">
            <w:r w:rsidR="000D26DE" w:rsidRPr="00F22AA2">
              <w:rPr>
                <w:rStyle w:val="Hyperlink"/>
                <w:noProof/>
              </w:rPr>
              <w:t>3 social issues</w:t>
            </w:r>
            <w:r w:rsidR="000D26DE">
              <w:rPr>
                <w:noProof/>
                <w:webHidden/>
              </w:rPr>
              <w:tab/>
            </w:r>
            <w:r w:rsidR="000D26DE">
              <w:rPr>
                <w:noProof/>
                <w:webHidden/>
              </w:rPr>
              <w:fldChar w:fldCharType="begin"/>
            </w:r>
            <w:r w:rsidR="000D26DE">
              <w:rPr>
                <w:noProof/>
                <w:webHidden/>
              </w:rPr>
              <w:instrText xml:space="preserve"> PAGEREF _Toc216889485 \h </w:instrText>
            </w:r>
            <w:r w:rsidR="000D26DE">
              <w:rPr>
                <w:noProof/>
                <w:webHidden/>
              </w:rPr>
            </w:r>
            <w:r w:rsidR="000D26DE">
              <w:rPr>
                <w:noProof/>
                <w:webHidden/>
              </w:rPr>
              <w:fldChar w:fldCharType="separate"/>
            </w:r>
            <w:r w:rsidR="000D26DE">
              <w:rPr>
                <w:noProof/>
                <w:webHidden/>
              </w:rPr>
              <w:t>6</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86" w:history="1">
            <w:r w:rsidR="000D26DE" w:rsidRPr="00F22AA2">
              <w:rPr>
                <w:rStyle w:val="Hyperlink"/>
                <w:noProof/>
              </w:rPr>
              <w:t>National response towards the aforementioned diseases and social issues</w:t>
            </w:r>
            <w:r w:rsidR="000D26DE">
              <w:rPr>
                <w:noProof/>
                <w:webHidden/>
              </w:rPr>
              <w:tab/>
            </w:r>
            <w:r w:rsidR="000D26DE">
              <w:rPr>
                <w:noProof/>
                <w:webHidden/>
              </w:rPr>
              <w:fldChar w:fldCharType="begin"/>
            </w:r>
            <w:r w:rsidR="000D26DE">
              <w:rPr>
                <w:noProof/>
                <w:webHidden/>
              </w:rPr>
              <w:instrText xml:space="preserve"> PAGEREF _Toc216889486 \h </w:instrText>
            </w:r>
            <w:r w:rsidR="000D26DE">
              <w:rPr>
                <w:noProof/>
                <w:webHidden/>
              </w:rPr>
            </w:r>
            <w:r w:rsidR="000D26DE">
              <w:rPr>
                <w:noProof/>
                <w:webHidden/>
              </w:rPr>
              <w:fldChar w:fldCharType="separate"/>
            </w:r>
            <w:r w:rsidR="000D26DE">
              <w:rPr>
                <w:noProof/>
                <w:webHidden/>
              </w:rPr>
              <w:t>9</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87" w:history="1">
            <w:r w:rsidR="000D26DE" w:rsidRPr="00F22AA2">
              <w:rPr>
                <w:rStyle w:val="Hyperlink"/>
                <w:noProof/>
              </w:rPr>
              <w:t>Conclusion</w:t>
            </w:r>
            <w:r w:rsidR="000D26DE">
              <w:rPr>
                <w:noProof/>
                <w:webHidden/>
              </w:rPr>
              <w:tab/>
            </w:r>
            <w:r w:rsidR="000D26DE">
              <w:rPr>
                <w:noProof/>
                <w:webHidden/>
              </w:rPr>
              <w:fldChar w:fldCharType="begin"/>
            </w:r>
            <w:r w:rsidR="000D26DE">
              <w:rPr>
                <w:noProof/>
                <w:webHidden/>
              </w:rPr>
              <w:instrText xml:space="preserve"> PAGEREF _Toc216889487 \h </w:instrText>
            </w:r>
            <w:r w:rsidR="000D26DE">
              <w:rPr>
                <w:noProof/>
                <w:webHidden/>
              </w:rPr>
            </w:r>
            <w:r w:rsidR="000D26DE">
              <w:rPr>
                <w:noProof/>
                <w:webHidden/>
              </w:rPr>
              <w:fldChar w:fldCharType="separate"/>
            </w:r>
            <w:r w:rsidR="000D26DE">
              <w:rPr>
                <w:noProof/>
                <w:webHidden/>
              </w:rPr>
              <w:t>10</w:t>
            </w:r>
            <w:r w:rsidR="000D26DE">
              <w:rPr>
                <w:noProof/>
                <w:webHidden/>
              </w:rPr>
              <w:fldChar w:fldCharType="end"/>
            </w:r>
          </w:hyperlink>
        </w:p>
        <w:p w:rsidR="000D26DE" w:rsidRDefault="00367F8D">
          <w:pPr>
            <w:pStyle w:val="TOC1"/>
            <w:tabs>
              <w:tab w:val="right" w:leader="dot" w:pos="9019"/>
            </w:tabs>
            <w:rPr>
              <w:rFonts w:asciiTheme="minorHAnsi" w:eastAsiaTheme="minorEastAsia" w:hAnsiTheme="minorHAnsi" w:cstheme="minorBidi"/>
              <w:noProof/>
              <w:lang w:val="en-US"/>
            </w:rPr>
          </w:pPr>
          <w:hyperlink w:anchor="_Toc216889488" w:history="1">
            <w:r w:rsidR="000D26DE" w:rsidRPr="00F22AA2">
              <w:rPr>
                <w:rStyle w:val="Hyperlink"/>
                <w:noProof/>
              </w:rPr>
              <w:t>Task 2: Epidemiological Analysis</w:t>
            </w:r>
            <w:r w:rsidR="000D26DE">
              <w:rPr>
                <w:noProof/>
                <w:webHidden/>
              </w:rPr>
              <w:tab/>
            </w:r>
            <w:r w:rsidR="000D26DE">
              <w:rPr>
                <w:noProof/>
                <w:webHidden/>
              </w:rPr>
              <w:fldChar w:fldCharType="begin"/>
            </w:r>
            <w:r w:rsidR="000D26DE">
              <w:rPr>
                <w:noProof/>
                <w:webHidden/>
              </w:rPr>
              <w:instrText xml:space="preserve"> PAGEREF _Toc216889488 \h </w:instrText>
            </w:r>
            <w:r w:rsidR="000D26DE">
              <w:rPr>
                <w:noProof/>
                <w:webHidden/>
              </w:rPr>
            </w:r>
            <w:r w:rsidR="000D26DE">
              <w:rPr>
                <w:noProof/>
                <w:webHidden/>
              </w:rPr>
              <w:fldChar w:fldCharType="separate"/>
            </w:r>
            <w:r w:rsidR="000D26DE">
              <w:rPr>
                <w:noProof/>
                <w:webHidden/>
              </w:rPr>
              <w:t>11</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89" w:history="1">
            <w:r w:rsidR="000D26DE" w:rsidRPr="00F22AA2">
              <w:rPr>
                <w:rStyle w:val="Hyperlink"/>
                <w:noProof/>
              </w:rPr>
              <w:t>Introduction</w:t>
            </w:r>
            <w:r w:rsidR="000D26DE">
              <w:rPr>
                <w:noProof/>
                <w:webHidden/>
              </w:rPr>
              <w:tab/>
            </w:r>
            <w:r w:rsidR="000D26DE">
              <w:rPr>
                <w:noProof/>
                <w:webHidden/>
              </w:rPr>
              <w:fldChar w:fldCharType="begin"/>
            </w:r>
            <w:r w:rsidR="000D26DE">
              <w:rPr>
                <w:noProof/>
                <w:webHidden/>
              </w:rPr>
              <w:instrText xml:space="preserve"> PAGEREF _Toc216889489 \h </w:instrText>
            </w:r>
            <w:r w:rsidR="000D26DE">
              <w:rPr>
                <w:noProof/>
                <w:webHidden/>
              </w:rPr>
            </w:r>
            <w:r w:rsidR="000D26DE">
              <w:rPr>
                <w:noProof/>
                <w:webHidden/>
              </w:rPr>
              <w:fldChar w:fldCharType="separate"/>
            </w:r>
            <w:r w:rsidR="000D26DE">
              <w:rPr>
                <w:noProof/>
                <w:webHidden/>
              </w:rPr>
              <w:t>11</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90" w:history="1">
            <w:r w:rsidR="000D26DE" w:rsidRPr="00F22AA2">
              <w:rPr>
                <w:rStyle w:val="Hyperlink"/>
                <w:noProof/>
              </w:rPr>
              <w:t>Main Body</w:t>
            </w:r>
            <w:r w:rsidR="000D26DE">
              <w:rPr>
                <w:noProof/>
                <w:webHidden/>
              </w:rPr>
              <w:tab/>
            </w:r>
            <w:r w:rsidR="000D26DE">
              <w:rPr>
                <w:noProof/>
                <w:webHidden/>
              </w:rPr>
              <w:fldChar w:fldCharType="begin"/>
            </w:r>
            <w:r w:rsidR="000D26DE">
              <w:rPr>
                <w:noProof/>
                <w:webHidden/>
              </w:rPr>
              <w:instrText xml:space="preserve"> PAGEREF _Toc216889490 \h </w:instrText>
            </w:r>
            <w:r w:rsidR="000D26DE">
              <w:rPr>
                <w:noProof/>
                <w:webHidden/>
              </w:rPr>
            </w:r>
            <w:r w:rsidR="000D26DE">
              <w:rPr>
                <w:noProof/>
                <w:webHidden/>
              </w:rPr>
              <w:fldChar w:fldCharType="separate"/>
            </w:r>
            <w:r w:rsidR="000D26DE">
              <w:rPr>
                <w:noProof/>
                <w:webHidden/>
              </w:rPr>
              <w:t>11</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91" w:history="1">
            <w:r w:rsidR="000D26DE" w:rsidRPr="00F22AA2">
              <w:rPr>
                <w:rStyle w:val="Hyperlink"/>
                <w:noProof/>
              </w:rPr>
              <w:t>Main Body</w:t>
            </w:r>
            <w:r w:rsidR="000D26DE">
              <w:rPr>
                <w:noProof/>
                <w:webHidden/>
              </w:rPr>
              <w:tab/>
            </w:r>
            <w:r w:rsidR="000D26DE">
              <w:rPr>
                <w:noProof/>
                <w:webHidden/>
              </w:rPr>
              <w:fldChar w:fldCharType="begin"/>
            </w:r>
            <w:r w:rsidR="000D26DE">
              <w:rPr>
                <w:noProof/>
                <w:webHidden/>
              </w:rPr>
              <w:instrText xml:space="preserve"> PAGEREF _Toc216889491 \h </w:instrText>
            </w:r>
            <w:r w:rsidR="000D26DE">
              <w:rPr>
                <w:noProof/>
                <w:webHidden/>
              </w:rPr>
            </w:r>
            <w:r w:rsidR="000D26DE">
              <w:rPr>
                <w:noProof/>
                <w:webHidden/>
              </w:rPr>
              <w:fldChar w:fldCharType="separate"/>
            </w:r>
            <w:r w:rsidR="000D26DE">
              <w:rPr>
                <w:noProof/>
                <w:webHidden/>
              </w:rPr>
              <w:t>12</w:t>
            </w:r>
            <w:r w:rsidR="000D26DE">
              <w:rPr>
                <w:noProof/>
                <w:webHidden/>
              </w:rPr>
              <w:fldChar w:fldCharType="end"/>
            </w:r>
          </w:hyperlink>
        </w:p>
        <w:p w:rsidR="000D26DE" w:rsidRDefault="00367F8D">
          <w:pPr>
            <w:pStyle w:val="TOC2"/>
            <w:tabs>
              <w:tab w:val="right" w:leader="dot" w:pos="9019"/>
            </w:tabs>
            <w:rPr>
              <w:rFonts w:asciiTheme="minorHAnsi" w:eastAsiaTheme="minorEastAsia" w:hAnsiTheme="minorHAnsi" w:cstheme="minorBidi"/>
              <w:noProof/>
              <w:lang w:val="en-US"/>
            </w:rPr>
          </w:pPr>
          <w:hyperlink w:anchor="_Toc216889492" w:history="1">
            <w:r w:rsidR="000D26DE" w:rsidRPr="00F22AA2">
              <w:rPr>
                <w:rStyle w:val="Hyperlink"/>
                <w:noProof/>
              </w:rPr>
              <w:t>Conclusion</w:t>
            </w:r>
            <w:r w:rsidR="000D26DE">
              <w:rPr>
                <w:noProof/>
                <w:webHidden/>
              </w:rPr>
              <w:tab/>
            </w:r>
            <w:r w:rsidR="000D26DE">
              <w:rPr>
                <w:noProof/>
                <w:webHidden/>
              </w:rPr>
              <w:fldChar w:fldCharType="begin"/>
            </w:r>
            <w:r w:rsidR="000D26DE">
              <w:rPr>
                <w:noProof/>
                <w:webHidden/>
              </w:rPr>
              <w:instrText xml:space="preserve"> PAGEREF _Toc216889492 \h </w:instrText>
            </w:r>
            <w:r w:rsidR="000D26DE">
              <w:rPr>
                <w:noProof/>
                <w:webHidden/>
              </w:rPr>
            </w:r>
            <w:r w:rsidR="000D26DE">
              <w:rPr>
                <w:noProof/>
                <w:webHidden/>
              </w:rPr>
              <w:fldChar w:fldCharType="separate"/>
            </w:r>
            <w:r w:rsidR="000D26DE">
              <w:rPr>
                <w:noProof/>
                <w:webHidden/>
              </w:rPr>
              <w:t>17</w:t>
            </w:r>
            <w:r w:rsidR="000D26DE">
              <w:rPr>
                <w:noProof/>
                <w:webHidden/>
              </w:rPr>
              <w:fldChar w:fldCharType="end"/>
            </w:r>
          </w:hyperlink>
        </w:p>
        <w:p w:rsidR="000D26DE" w:rsidRDefault="00367F8D">
          <w:pPr>
            <w:pStyle w:val="TOC1"/>
            <w:tabs>
              <w:tab w:val="right" w:leader="dot" w:pos="9019"/>
            </w:tabs>
            <w:rPr>
              <w:rFonts w:asciiTheme="minorHAnsi" w:eastAsiaTheme="minorEastAsia" w:hAnsiTheme="minorHAnsi" w:cstheme="minorBidi"/>
              <w:noProof/>
              <w:lang w:val="en-US"/>
            </w:rPr>
          </w:pPr>
          <w:hyperlink w:anchor="_Toc216889493" w:history="1">
            <w:r w:rsidR="000D26DE" w:rsidRPr="00F22AA2">
              <w:rPr>
                <w:rStyle w:val="Hyperlink"/>
                <w:noProof/>
              </w:rPr>
              <w:t>References</w:t>
            </w:r>
            <w:r w:rsidR="000D26DE">
              <w:rPr>
                <w:noProof/>
                <w:webHidden/>
              </w:rPr>
              <w:tab/>
            </w:r>
            <w:r w:rsidR="000D26DE">
              <w:rPr>
                <w:noProof/>
                <w:webHidden/>
              </w:rPr>
              <w:fldChar w:fldCharType="begin"/>
            </w:r>
            <w:r w:rsidR="000D26DE">
              <w:rPr>
                <w:noProof/>
                <w:webHidden/>
              </w:rPr>
              <w:instrText xml:space="preserve"> PAGEREF _Toc216889493 \h </w:instrText>
            </w:r>
            <w:r w:rsidR="000D26DE">
              <w:rPr>
                <w:noProof/>
                <w:webHidden/>
              </w:rPr>
            </w:r>
            <w:r w:rsidR="000D26DE">
              <w:rPr>
                <w:noProof/>
                <w:webHidden/>
              </w:rPr>
              <w:fldChar w:fldCharType="separate"/>
            </w:r>
            <w:r w:rsidR="000D26DE">
              <w:rPr>
                <w:noProof/>
                <w:webHidden/>
              </w:rPr>
              <w:t>18</w:t>
            </w:r>
            <w:r w:rsidR="000D26DE">
              <w:rPr>
                <w:noProof/>
                <w:webHidden/>
              </w:rPr>
              <w:fldChar w:fldCharType="end"/>
            </w:r>
          </w:hyperlink>
        </w:p>
        <w:p w:rsidR="00557220" w:rsidRPr="00F73F0F" w:rsidRDefault="007A5F07" w:rsidP="00F84D89">
          <w:r w:rsidRPr="00F84D89">
            <w:fldChar w:fldCharType="end"/>
          </w:r>
        </w:p>
      </w:sdtContent>
    </w:sdt>
    <w:p w:rsidR="00557220" w:rsidRPr="00F73F0F" w:rsidRDefault="00557220">
      <w:pPr>
        <w:rPr>
          <w:b/>
          <w:bCs/>
        </w:rPr>
      </w:pPr>
      <w:r w:rsidRPr="00F73F0F">
        <w:br w:type="page"/>
      </w:r>
    </w:p>
    <w:p w:rsidR="00685890" w:rsidRPr="00361256" w:rsidRDefault="00685890" w:rsidP="00685890">
      <w:pPr>
        <w:pStyle w:val="Heading1"/>
        <w:rPr>
          <w:lang w:val="en-GB"/>
        </w:rPr>
      </w:pPr>
      <w:bookmarkStart w:id="1" w:name="_1xc3u5qm1qk1" w:colFirst="0" w:colLast="0"/>
      <w:bookmarkStart w:id="2" w:name="_Toc216889481"/>
      <w:bookmarkEnd w:id="1"/>
      <w:r w:rsidRPr="00361256">
        <w:rPr>
          <w:lang w:val="en-GB"/>
        </w:rPr>
        <w:t>Task 1: Social Epidemiological Analysis</w:t>
      </w:r>
      <w:bookmarkEnd w:id="2"/>
    </w:p>
    <w:p w:rsidR="00685890" w:rsidRPr="00361256" w:rsidRDefault="00685890" w:rsidP="00685890">
      <w:pPr>
        <w:pStyle w:val="Heading2"/>
        <w:rPr>
          <w:lang w:val="en-GB"/>
        </w:rPr>
      </w:pPr>
      <w:bookmarkStart w:id="3" w:name="_e4fgvce2p6m" w:colFirst="0" w:colLast="0"/>
      <w:bookmarkStart w:id="4" w:name="_Toc216889482"/>
      <w:bookmarkEnd w:id="3"/>
      <w:r w:rsidRPr="00361256">
        <w:rPr>
          <w:lang w:val="en-GB"/>
        </w:rPr>
        <w:t>Introduction</w:t>
      </w:r>
      <w:bookmarkEnd w:id="4"/>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In the context of the UK's economic construct, healthcare access can be considered as a prominent ledger, concerning healthcare outcomes. In this regard, the report is centred on Epidemiological assessment of different social issues and diseases, harming the socio-economic parameter of UK’s </w:t>
      </w:r>
      <w:r w:rsidRPr="00361256">
        <w:rPr>
          <w:rFonts w:ascii="Arial" w:eastAsia="Arial" w:hAnsi="Arial" w:cs="Arial"/>
          <w:b/>
          <w:bCs/>
          <w:i/>
          <w:iCs/>
          <w:sz w:val="22"/>
          <w:szCs w:val="22"/>
          <w:lang w:val="en-GB"/>
        </w:rPr>
        <w:t xml:space="preserve">elder generation. </w:t>
      </w:r>
      <w:r w:rsidRPr="00361256">
        <w:rPr>
          <w:rFonts w:ascii="Arial" w:eastAsia="Arial" w:hAnsi="Arial" w:cs="Arial"/>
          <w:sz w:val="22"/>
          <w:szCs w:val="22"/>
          <w:lang w:val="en-GB"/>
        </w:rPr>
        <w:t xml:space="preserve"> </w:t>
      </w:r>
    </w:p>
    <w:p w:rsidR="00685890" w:rsidRPr="00361256" w:rsidRDefault="00685890" w:rsidP="00685890">
      <w:pPr>
        <w:pStyle w:val="Heading2"/>
        <w:rPr>
          <w:lang w:val="en-GB"/>
        </w:rPr>
      </w:pPr>
      <w:bookmarkStart w:id="5" w:name="_ujxfq0k1q85p" w:colFirst="0" w:colLast="0"/>
      <w:bookmarkStart w:id="6" w:name="_Toc216889483"/>
      <w:bookmarkEnd w:id="5"/>
      <w:r w:rsidRPr="00361256">
        <w:rPr>
          <w:lang w:val="en-GB"/>
        </w:rPr>
        <w:t>Contextual background</w:t>
      </w:r>
      <w:bookmarkEnd w:id="6"/>
    </w:p>
    <w:p w:rsidR="00685890" w:rsidRPr="000D26DE" w:rsidRDefault="00685890" w:rsidP="000D26DE">
      <w:pPr>
        <w:rPr>
          <w:b/>
          <w:i/>
        </w:rPr>
      </w:pPr>
      <w:bookmarkStart w:id="7" w:name="_ybjdy5ls2ckw" w:colFirst="0" w:colLast="0"/>
      <w:bookmarkStart w:id="8" w:name="_Toc216889484"/>
      <w:bookmarkEnd w:id="7"/>
      <w:r w:rsidRPr="000D26DE">
        <w:rPr>
          <w:b/>
          <w:i/>
        </w:rPr>
        <w:t>3 diseases</w:t>
      </w:r>
      <w:bookmarkEnd w:id="8"/>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Disease 1: Higher rates of mental illness</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Ageism can be considered as one of the most prominent barriers in the UK, concerning consistent disruption within mental health conditions. A 2024 AgeUK report has indicated a steady growth within the UK's elder population by 19.3% within the timeline of 2024 and 2044 (AgeUK, 2024). Consequently, the figure below has addressed the high prominence of age groups </w:t>
      </w:r>
      <w:r w:rsidRPr="00361256">
        <w:rPr>
          <w:rFonts w:ascii="Arial" w:eastAsia="Arial" w:hAnsi="Arial" w:cs="Arial"/>
          <w:b/>
          <w:bCs/>
          <w:i/>
          <w:iCs/>
          <w:sz w:val="22"/>
          <w:szCs w:val="22"/>
          <w:lang w:val="en-GB"/>
        </w:rPr>
        <w:t xml:space="preserve">80-89 </w:t>
      </w:r>
      <w:r w:rsidRPr="00361256">
        <w:rPr>
          <w:rFonts w:ascii="Arial" w:eastAsia="Arial" w:hAnsi="Arial" w:cs="Arial"/>
          <w:sz w:val="22"/>
          <w:szCs w:val="22"/>
          <w:lang w:val="en-GB"/>
        </w:rPr>
        <w:t xml:space="preserve">and </w:t>
      </w:r>
      <w:r w:rsidRPr="00361256">
        <w:rPr>
          <w:rFonts w:ascii="Arial" w:eastAsia="Arial" w:hAnsi="Arial" w:cs="Arial"/>
          <w:b/>
          <w:bCs/>
          <w:i/>
          <w:iCs/>
          <w:sz w:val="22"/>
          <w:szCs w:val="22"/>
          <w:lang w:val="en-GB"/>
        </w:rPr>
        <w:t xml:space="preserve">90+ </w:t>
      </w:r>
      <w:r w:rsidRPr="00361256">
        <w:rPr>
          <w:rFonts w:ascii="Arial" w:eastAsia="Arial" w:hAnsi="Arial" w:cs="Arial"/>
          <w:sz w:val="22"/>
          <w:szCs w:val="22"/>
          <w:lang w:val="en-GB"/>
        </w:rPr>
        <w:t xml:space="preserve">to acquire a steady spike in the UK. Considering the aforementioned scenario, UK’s elder population is considered to become exposed to the threat of mental illness across the nation.  </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noProof/>
          <w:sz w:val="22"/>
          <w:szCs w:val="22"/>
        </w:rPr>
        <w:drawing>
          <wp:inline distT="114300" distB="114300" distL="114300" distR="114300">
            <wp:extent cx="5951403" cy="2298539"/>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51403" cy="2298539"/>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1: Increasing population of elderly population in the UK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AgeUK, 2025)</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A 2022 British Psychological Society (BPS) report has described a high prevalence of psychotic symptom among older people between 2.6% and 10% (BPS, 2022). Based on the aforementioned evidence, mental illness can be considered as one of the most prominent challenges within the selected target group. </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Disease 2: Low rates of access to healthcare</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In the context of measuring access to UK healthcare, </w:t>
      </w:r>
      <w:r w:rsidRPr="00361256">
        <w:rPr>
          <w:rFonts w:ascii="Arial" w:eastAsia="Arial" w:hAnsi="Arial" w:cs="Arial"/>
          <w:b/>
          <w:bCs/>
          <w:i/>
          <w:iCs/>
          <w:sz w:val="22"/>
          <w:szCs w:val="22"/>
          <w:lang w:val="en-GB"/>
        </w:rPr>
        <w:t xml:space="preserve">waiting time </w:t>
      </w:r>
      <w:r w:rsidRPr="00361256">
        <w:rPr>
          <w:rFonts w:ascii="Arial" w:eastAsia="Arial" w:hAnsi="Arial" w:cs="Arial"/>
          <w:sz w:val="22"/>
          <w:szCs w:val="22"/>
          <w:lang w:val="en-GB"/>
        </w:rPr>
        <w:t xml:space="preserve">can be considered as one of the most prominent metrics for older population. For example, the figure below has visually illustrated the presence of a long waiting times in UK healthcare, concerning the access to psychological therapy. Fundamentally, low access rates to UK’s healthcare has emerged as a potential barrier for the older people, escalating the prevalence of mental disorders such as depression, anxiety, and personality disorder (BPS, 2022). Referring to the stances of long waiting time, the increasing threat of mental disorders can be considered as a potential threat to restrict the normalcy of healthcare access.  </w:t>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noProof/>
          <w:sz w:val="22"/>
          <w:szCs w:val="22"/>
        </w:rPr>
        <w:drawing>
          <wp:inline distT="114300" distB="114300" distL="114300" distR="114300">
            <wp:extent cx="5943600" cy="4203700"/>
            <wp:effectExtent l="12700" t="12700" r="12700" b="127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cstate="print"/>
                    <a:srcRect/>
                    <a:stretch>
                      <a:fillRect/>
                    </a:stretch>
                  </pic:blipFill>
                  <pic:spPr>
                    <a:xfrm>
                      <a:off x="0" y="0"/>
                      <a:ext cx="5943600" cy="4203700"/>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2: Waiting times within UK healthcare setting</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UK Parliament, 2024)</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A 2025 Guardian report has described health inequality as the most devastating element for the UK’s healthcare system to dismantle NHS operations concerning “Dickensian” illnesses, including scabies, rickets and scarlet fever (Halliday, 2025). Based on the aforementioned evidence, declining access rates for UK’s older people can be considered to have a high metric through the stances of resource constraint. </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Disease 3: Mortality rates among the elderly group</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sz w:val="22"/>
          <w:szCs w:val="22"/>
          <w:lang w:val="en-GB"/>
        </w:rPr>
        <w:t xml:space="preserve">Following the constant growth of devastating health inequality, a spike within mortality rates has emerged as another key disease in the UK. As reported by Schlepper and Dodsworth (2023) constant spike in long waiting time becomes the catalyst in terms of reducing the healthcare access by 10% for older people. Based on the aforementioned scenario, the spike in mortality rates among older people can be considered as the outcome of constant downgrading within the stances of long-term support in the UK. Consequently, as illustrated in the figure below has addressed the death of 31% of the hospitalised older patients in the UK during 2021 (Gregory, 2021). Furthermore, the aforementioned spike within the morality rates among UK’s elder population can be considered as a major threat for the stances of maintaining balanced healthcare construct across the nation. </w:t>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noProof/>
          <w:sz w:val="22"/>
          <w:szCs w:val="22"/>
        </w:rPr>
        <w:drawing>
          <wp:inline distT="114300" distB="114300" distL="114300" distR="114300">
            <wp:extent cx="5095875" cy="2105025"/>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95875" cy="2105025"/>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3: Death of older patients in the UK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Gregory, 2021)</w:t>
      </w:r>
    </w:p>
    <w:p w:rsidR="00685890" w:rsidRPr="000D26DE" w:rsidRDefault="00685890" w:rsidP="000D26DE">
      <w:pPr>
        <w:rPr>
          <w:b/>
          <w:i/>
        </w:rPr>
      </w:pPr>
      <w:bookmarkStart w:id="9" w:name="_9wvhs7bbhrb4" w:colFirst="0" w:colLast="0"/>
      <w:bookmarkStart w:id="10" w:name="_Toc216889485"/>
      <w:bookmarkEnd w:id="9"/>
      <w:r w:rsidRPr="000D26DE">
        <w:rPr>
          <w:b/>
          <w:i/>
        </w:rPr>
        <w:t>3 social issues</w:t>
      </w:r>
      <w:bookmarkEnd w:id="10"/>
      <w:r w:rsidRPr="000D26DE">
        <w:rPr>
          <w:b/>
          <w:i/>
        </w:rPr>
        <w:t xml:space="preserve"> </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Issue 1: Social isolation and loneliness</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Loneliness can be considered as the reflection of an individual’s negative perception regarding quality of existing social and personal relationships. For example, the figure below has addressed a spike within the stances of loneliness, nearly within 3.1 million people in England during 2023-2024 (Gov.UK, 2024). Following the aforementioned scenario, social isolation can be considered as a potential ledger in the UK to escalate mental disorders within older people, concerning mental disorders.  </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noProof/>
          <w:sz w:val="22"/>
          <w:szCs w:val="22"/>
        </w:rPr>
        <w:drawing>
          <wp:inline distT="114300" distB="114300" distL="114300" distR="114300">
            <wp:extent cx="4095750" cy="2733172"/>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095750" cy="2733172"/>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4: Loneliness insights in the UK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Gov.UK, 2024)</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Following the rapid emergence of social isolation, a constant spike has become prominent in the UK’s older people, curated through mental disorders. A 2024 UK Parliament survey has outlined the prevalence of psychotic disorder by 0.7%, among the elderly population (UK Parliament, 2024). Consequently, the figure below has addressed the presence of high penetration of mental disorders among older and children in the UK. </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noProof/>
          <w:sz w:val="22"/>
          <w:szCs w:val="22"/>
        </w:rPr>
        <w:drawing>
          <wp:inline distT="114300" distB="114300" distL="114300" distR="114300">
            <wp:extent cx="2943225" cy="1933575"/>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943225" cy="1933575"/>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5: Prominent mental disorders in the UK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UK Parliament, 2024)</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sz w:val="22"/>
          <w:szCs w:val="22"/>
          <w:lang w:val="en-GB"/>
        </w:rPr>
        <w:t>Thus, social isolation and loneliness have been conceptualised as a potential social issue, concerning t</w:t>
      </w:r>
      <w:r w:rsidR="00C105AB">
        <w:rPr>
          <w:rFonts w:ascii="Arial" w:eastAsia="Arial" w:hAnsi="Arial" w:cs="Arial"/>
          <w:sz w:val="22"/>
          <w:szCs w:val="22"/>
          <w:lang w:val="en-GB"/>
        </w:rPr>
        <w:t>he stances of mental disorders.</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Issue 2: Poverty</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In the context of the UK's socio-economic paradigm, poverty can be considered as one of the most prominent barriers. As illustrated in the figure below, UK’s poverty outlook is segmented into two major segments including relative and absolute dynamics. A 2025 UK Parliament report has indicated a high presence of UK’s older people within the considerations of poverty, concerning unstructured access to nation’s healthcare. </w:t>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noProof/>
          <w:sz w:val="22"/>
          <w:szCs w:val="22"/>
        </w:rPr>
        <w:drawing>
          <wp:inline distT="114300" distB="114300" distL="114300" distR="114300">
            <wp:extent cx="5648325" cy="182880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648325" cy="1828800"/>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6: UK’s Poverty outlook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UK Parliament, 2025)</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Structurally, increasing mortality rates and cost of living can be viewed as potential ledgers in the UK, curated through poverty metrics. A 2024 Age UK report has identified the death of 28,655 older people aged above 65 in 2022/2023 due to poor and imbalanced healthcare access (AgeUK, 2024). The aforementioned evidence eventually indicates the impulse of increasing poverty in terms of damaging the socio-economic status of UK’s older people. </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noProof/>
          <w:sz w:val="22"/>
          <w:szCs w:val="22"/>
        </w:rPr>
        <w:drawing>
          <wp:inline distT="114300" distB="114300" distL="114300" distR="114300">
            <wp:extent cx="4772025" cy="2409825"/>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772025" cy="2409825"/>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7: People in the UK facing challenge in paying energy bills</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UK Parliament, 2025)</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According to the figure above, cost of living can be viewed as a potential challenge in the UK, restricting the ability to pay energy bills. The evidence mainly indicates the adverse impact of increasing poverty in terms of accelerating the pace of socio-economic decline in the UK. </w:t>
      </w:r>
    </w:p>
    <w:p w:rsidR="00685890" w:rsidRPr="00361256" w:rsidRDefault="00685890" w:rsidP="00685890">
      <w:pPr>
        <w:pStyle w:val="Normal2"/>
        <w:rPr>
          <w:rFonts w:ascii="Arial" w:eastAsia="Arial" w:hAnsi="Arial" w:cs="Arial"/>
          <w:b/>
          <w:bCs/>
          <w:sz w:val="22"/>
          <w:szCs w:val="22"/>
          <w:lang w:val="en-GB"/>
        </w:rPr>
      </w:pPr>
      <w:r w:rsidRPr="00361256">
        <w:rPr>
          <w:rFonts w:ascii="Arial" w:eastAsia="Arial" w:hAnsi="Arial" w:cs="Arial"/>
          <w:b/>
          <w:bCs/>
          <w:sz w:val="22"/>
          <w:szCs w:val="22"/>
          <w:lang w:val="en-GB"/>
        </w:rPr>
        <w:t>Issue 3: Housing issues</w:t>
      </w:r>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sz w:val="22"/>
          <w:szCs w:val="22"/>
          <w:lang w:val="en-GB"/>
        </w:rPr>
        <w:t xml:space="preserve">Considering the stances of UK’s economic condition, "localised housing crisis" can be considered as the prominence of housing issues. The figure below has addressed a sharp decline within productivity rates through the channels of devastating housing crisis in the UK. Consequently, a 2025 BBC report has addressed the impulse of unstructured capital management in terms of escalating housing issues among UK’s older population (Owen, 2025). Thus, housing issues can be conceptualised as a potential hurdle for UK’s elder population.  </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noProof/>
          <w:sz w:val="22"/>
          <w:szCs w:val="22"/>
        </w:rPr>
        <w:drawing>
          <wp:inline distT="114300" distB="114300" distL="114300" distR="114300">
            <wp:extent cx="5667375" cy="4048125"/>
            <wp:effectExtent l="12700" t="12700" r="12700" b="127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667375" cy="4048125"/>
                    </a:xfrm>
                    <a:prstGeom prst="rect">
                      <a:avLst/>
                    </a:prstGeom>
                    <a:ln w="12700">
                      <a:solidFill>
                        <a:srgbClr val="000000"/>
                      </a:solidFill>
                      <a:prstDash val="solid"/>
                    </a:ln>
                  </pic:spPr>
                </pic:pic>
              </a:graphicData>
            </a:graphic>
          </wp:inline>
        </w:drawing>
      </w:r>
    </w:p>
    <w:p w:rsidR="00685890" w:rsidRPr="00361256" w:rsidRDefault="00685890" w:rsidP="00685890">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Figure 8: Average annual productivity growth in the UK</w:t>
      </w:r>
    </w:p>
    <w:p w:rsidR="00685890" w:rsidRPr="00361256" w:rsidRDefault="00685890" w:rsidP="00685890">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Owen, 2025)</w:t>
      </w:r>
    </w:p>
    <w:p w:rsidR="00685890" w:rsidRPr="00361256" w:rsidRDefault="00685890" w:rsidP="00685890">
      <w:pPr>
        <w:pStyle w:val="Heading2"/>
        <w:rPr>
          <w:lang w:val="en-GB"/>
        </w:rPr>
      </w:pPr>
      <w:bookmarkStart w:id="11" w:name="_qa979qg4i74h" w:colFirst="0" w:colLast="0"/>
      <w:bookmarkStart w:id="12" w:name="_Toc216889486"/>
      <w:bookmarkEnd w:id="11"/>
      <w:r w:rsidRPr="00361256">
        <w:rPr>
          <w:lang w:val="en-GB"/>
        </w:rPr>
        <w:t>National response towards the aforementioned diseases and social issues</w:t>
      </w:r>
      <w:bookmarkEnd w:id="12"/>
    </w:p>
    <w:p w:rsidR="00685890" w:rsidRPr="00361256" w:rsidRDefault="00685890" w:rsidP="00685890">
      <w:pPr>
        <w:pStyle w:val="Normal2"/>
        <w:rPr>
          <w:rFonts w:ascii="Arial" w:eastAsia="Arial" w:hAnsi="Arial" w:cs="Arial"/>
          <w:sz w:val="22"/>
          <w:szCs w:val="22"/>
          <w:lang w:val="en-GB"/>
        </w:rPr>
      </w:pPr>
      <w:r w:rsidRPr="00361256">
        <w:rPr>
          <w:rFonts w:ascii="Arial" w:eastAsia="Arial" w:hAnsi="Arial" w:cs="Arial"/>
          <w:b/>
          <w:bCs/>
          <w:i/>
          <w:iCs/>
          <w:sz w:val="22"/>
          <w:szCs w:val="22"/>
          <w:lang w:val="en-GB"/>
        </w:rPr>
        <w:t xml:space="preserve">Revised (CIS-R) </w:t>
      </w:r>
      <w:r w:rsidRPr="00361256">
        <w:rPr>
          <w:rFonts w:ascii="Arial" w:eastAsia="Arial" w:hAnsi="Arial" w:cs="Arial"/>
          <w:sz w:val="22"/>
          <w:szCs w:val="22"/>
          <w:lang w:val="en-GB"/>
        </w:rPr>
        <w:t xml:space="preserve">can be considered as one of the most important initiatives, developed by NHS UK to deal with barriers including mental disorders and housing crisis. Fundamentally, Revised (CIS-R) framework of NHS UK has been developed to underpin fast assessment of CMHC symptoms among older people including irritability, depressive ideas, somatic symptoms and fatigue (NHS, 2025). Considering the aforementioned evidence, the NHS initiative can be viewed as effective to blur the lines of social isolation through structured medical intervention for older people. Structurally, fast medical intervention can be considered as a significant step by NHS UK in terms of fostering improved productivity for older people, concerning social inclusion and involvement. </w:t>
      </w:r>
    </w:p>
    <w:p w:rsidR="00685890" w:rsidRPr="00361256" w:rsidRDefault="00685890" w:rsidP="00685890">
      <w:pPr>
        <w:pStyle w:val="Heading2"/>
        <w:rPr>
          <w:lang w:val="en-GB"/>
        </w:rPr>
      </w:pPr>
      <w:bookmarkStart w:id="13" w:name="_opaq7fbxd8vx" w:colFirst="0" w:colLast="0"/>
      <w:bookmarkStart w:id="14" w:name="_Toc216889487"/>
      <w:bookmarkEnd w:id="13"/>
      <w:r w:rsidRPr="00361256">
        <w:rPr>
          <w:lang w:val="en-GB"/>
        </w:rPr>
        <w:t>Conclusion</w:t>
      </w:r>
      <w:bookmarkEnd w:id="14"/>
    </w:p>
    <w:p w:rsidR="0059638F" w:rsidRDefault="00685890" w:rsidP="00685890">
      <w:pPr>
        <w:rPr>
          <w:b/>
          <w:bCs/>
        </w:rPr>
      </w:pPr>
      <w:r w:rsidRPr="00361256">
        <w:t>Social isolation and loneliness has been addressed as one of the most prominent barriers to impose potential barriers for UK’s older people. In this regard, unstructured access to UK’s healthcare has been assessed as another influential constrain for elder population, along with housing crisis.</w:t>
      </w:r>
      <w:r w:rsidR="0059638F">
        <w:br w:type="page"/>
      </w:r>
    </w:p>
    <w:p w:rsidR="00066898" w:rsidRPr="00F73F0F" w:rsidRDefault="00F943A7" w:rsidP="00584AAF">
      <w:pPr>
        <w:pStyle w:val="Heading1"/>
        <w:rPr>
          <w:lang w:val="en-GB"/>
        </w:rPr>
      </w:pPr>
      <w:bookmarkStart w:id="15" w:name="_Toc216889488"/>
      <w:r w:rsidRPr="00F73F0F">
        <w:rPr>
          <w:lang w:val="en-GB"/>
        </w:rPr>
        <w:t>Task 2: Epidemiological Analysis</w:t>
      </w:r>
      <w:bookmarkEnd w:id="15"/>
    </w:p>
    <w:p w:rsidR="004A5CED" w:rsidRPr="00361256" w:rsidRDefault="004A5CED" w:rsidP="004A5CED">
      <w:pPr>
        <w:pStyle w:val="Heading2"/>
        <w:rPr>
          <w:lang w:val="en-GB"/>
        </w:rPr>
      </w:pPr>
      <w:bookmarkStart w:id="16" w:name="_5ardu1qoqtzm" w:colFirst="0" w:colLast="0"/>
      <w:bookmarkStart w:id="17" w:name="_Toc216889489"/>
      <w:bookmarkEnd w:id="16"/>
      <w:r w:rsidRPr="00361256">
        <w:rPr>
          <w:lang w:val="en-GB"/>
        </w:rPr>
        <w:t>Introduction</w:t>
      </w:r>
      <w:bookmarkEnd w:id="17"/>
    </w:p>
    <w:p w:rsidR="004A5CED" w:rsidRPr="00361256" w:rsidRDefault="004A5CED" w:rsidP="004A5CED">
      <w:pPr>
        <w:pStyle w:val="Normal2"/>
        <w:rPr>
          <w:rFonts w:ascii="Arial" w:eastAsia="Arial" w:hAnsi="Arial" w:cs="Arial"/>
          <w:sz w:val="22"/>
          <w:szCs w:val="22"/>
          <w:lang w:val="en-GB"/>
        </w:rPr>
      </w:pPr>
      <w:r w:rsidRPr="00361256">
        <w:rPr>
          <w:rFonts w:ascii="Arial" w:eastAsia="Arial" w:hAnsi="Arial" w:cs="Arial"/>
          <w:sz w:val="22"/>
          <w:szCs w:val="22"/>
          <w:lang w:val="en-GB"/>
        </w:rPr>
        <w:t>"Disability and health inequalities" can be defined as a prominent health problem in the UK, concerning the unstructured access of healthcare resources. In this regard, the report is centred on the stances of assessing key insights related to the implications of selected health problem within the socio-economic dynamics of elder people.</w:t>
      </w:r>
    </w:p>
    <w:p w:rsidR="004A5CED" w:rsidRPr="00361256" w:rsidRDefault="004A5CED" w:rsidP="004A5CED">
      <w:pPr>
        <w:pStyle w:val="Heading2"/>
        <w:rPr>
          <w:lang w:val="en-GB"/>
        </w:rPr>
      </w:pPr>
      <w:bookmarkStart w:id="18" w:name="_6dv1shtz39qi" w:colFirst="0" w:colLast="0"/>
      <w:bookmarkStart w:id="19" w:name="_Toc216889490"/>
      <w:bookmarkEnd w:id="18"/>
      <w:r w:rsidRPr="00361256">
        <w:rPr>
          <w:lang w:val="en-GB"/>
        </w:rPr>
        <w:t>Main Body</w:t>
      </w:r>
      <w:bookmarkEnd w:id="19"/>
    </w:p>
    <w:p w:rsidR="004A5CED" w:rsidRPr="00361256" w:rsidRDefault="004A5CED" w:rsidP="004A5CED">
      <w:pPr>
        <w:pStyle w:val="Normal2"/>
        <w:rPr>
          <w:rFonts w:ascii="Arial" w:eastAsia="Arial" w:hAnsi="Arial" w:cs="Arial"/>
          <w:sz w:val="22"/>
          <w:szCs w:val="22"/>
          <w:lang w:val="en-GB"/>
        </w:rPr>
      </w:pPr>
      <w:r w:rsidRPr="00361256">
        <w:rPr>
          <w:rFonts w:ascii="Arial" w:eastAsia="Arial" w:hAnsi="Arial" w:cs="Arial"/>
          <w:b/>
          <w:bCs/>
          <w:i/>
          <w:iCs/>
          <w:sz w:val="22"/>
          <w:szCs w:val="22"/>
          <w:lang w:val="en-GB"/>
        </w:rPr>
        <w:t>Public health measures based on 3P’s</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A5CED" w:rsidRPr="00361256" w:rsidTr="00C105AB">
        <w:trPr>
          <w:cantSplit/>
          <w:trHeight w:val="420"/>
          <w:tblHeader/>
          <w:jc w:val="center"/>
        </w:trPr>
        <w:tc>
          <w:tcPr>
            <w:tcW w:w="9360" w:type="dxa"/>
            <w:gridSpan w:val="2"/>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center"/>
              <w:rPr>
                <w:rFonts w:ascii="Arial" w:eastAsia="Arial" w:hAnsi="Arial" w:cs="Arial"/>
                <w:b/>
                <w:bCs/>
                <w:sz w:val="22"/>
                <w:szCs w:val="22"/>
                <w:lang w:val="en-GB"/>
              </w:rPr>
            </w:pPr>
            <w:r w:rsidRPr="00361256">
              <w:rPr>
                <w:rFonts w:ascii="Arial" w:eastAsia="Arial" w:hAnsi="Arial" w:cs="Arial"/>
                <w:b/>
                <w:bCs/>
                <w:sz w:val="22"/>
                <w:szCs w:val="22"/>
                <w:lang w:val="en-GB"/>
              </w:rPr>
              <w:t>Prevention</w:t>
            </w:r>
          </w:p>
        </w:tc>
      </w:tr>
      <w:tr w:rsidR="004A5CED" w:rsidRPr="00361256" w:rsidTr="00C105AB">
        <w:trPr>
          <w:cantSplit/>
          <w:trHeight w:val="420"/>
          <w:tblHeader/>
          <w:jc w:val="center"/>
        </w:trPr>
        <w:tc>
          <w:tcPr>
            <w:tcW w:w="4680" w:type="dxa"/>
            <w:vMerge w:val="restart"/>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A. Disease Prevention &amp; Early Detection</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NHS Health Check Programme (ages 40–74)</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Cancer Screening Programmes</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Bowel cancer screening (up to age 74)</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Falls Prevention Programmes</w:t>
            </w:r>
          </w:p>
        </w:tc>
      </w:tr>
      <w:tr w:rsidR="004A5CED" w:rsidRPr="00361256" w:rsidTr="00C105AB">
        <w:trPr>
          <w:cantSplit/>
          <w:trHeight w:val="420"/>
          <w:tblHeader/>
          <w:jc w:val="center"/>
        </w:trPr>
        <w:tc>
          <w:tcPr>
            <w:tcW w:w="4680" w:type="dxa"/>
            <w:vMerge w:val="restart"/>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B. Vaccination &amp; Infection Prevention</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Shingles Vaccine (70–79)</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Annual Influenza Vaccination (65+)</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COVID-19 Booster Programme</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Pneumococcal Vaccine</w:t>
            </w:r>
          </w:p>
        </w:tc>
      </w:tr>
      <w:tr w:rsidR="004A5CED" w:rsidRPr="00361256" w:rsidTr="00C105AB">
        <w:trPr>
          <w:cantSplit/>
          <w:trHeight w:val="420"/>
          <w:tblHeader/>
          <w:jc w:val="center"/>
        </w:trPr>
        <w:tc>
          <w:tcPr>
            <w:tcW w:w="9360" w:type="dxa"/>
            <w:gridSpan w:val="2"/>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center"/>
              <w:rPr>
                <w:rFonts w:ascii="Arial" w:eastAsia="Arial" w:hAnsi="Arial" w:cs="Arial"/>
                <w:b/>
                <w:bCs/>
                <w:sz w:val="22"/>
                <w:szCs w:val="22"/>
                <w:lang w:val="en-GB"/>
              </w:rPr>
            </w:pPr>
            <w:r w:rsidRPr="00361256">
              <w:rPr>
                <w:rFonts w:ascii="Arial" w:eastAsia="Arial" w:hAnsi="Arial" w:cs="Arial"/>
                <w:b/>
                <w:bCs/>
                <w:sz w:val="22"/>
                <w:szCs w:val="22"/>
                <w:lang w:val="en-GB"/>
              </w:rPr>
              <w:t>Promotion</w:t>
            </w:r>
          </w:p>
        </w:tc>
      </w:tr>
      <w:tr w:rsidR="004A5CED" w:rsidRPr="00361256" w:rsidTr="00C105AB">
        <w:trPr>
          <w:cantSplit/>
          <w:trHeight w:val="420"/>
          <w:tblHeader/>
          <w:jc w:val="center"/>
        </w:trPr>
        <w:tc>
          <w:tcPr>
            <w:tcW w:w="4680" w:type="dxa"/>
            <w:vMerge w:val="restart"/>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A. Healthy Ageing &amp; Lifestyle Promotion</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Physical Activity Promotion</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Nutrition &amp; Malnutrition Prevention</w:t>
            </w:r>
          </w:p>
        </w:tc>
      </w:tr>
      <w:tr w:rsidR="004A5CED" w:rsidRPr="00361256" w:rsidTr="00C105AB">
        <w:trPr>
          <w:cantSplit/>
          <w:trHeight w:val="420"/>
          <w:tblHeader/>
          <w:jc w:val="center"/>
        </w:trPr>
        <w:tc>
          <w:tcPr>
            <w:tcW w:w="4680" w:type="dxa"/>
            <w:vMerge w:val="restart"/>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B. Mental Health &amp; Social Wellbeing</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Social Prescribing</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Dementia-Friendly Communities</w:t>
            </w:r>
          </w:p>
        </w:tc>
      </w:tr>
      <w:tr w:rsidR="004A5CED" w:rsidRPr="00361256" w:rsidTr="00C105AB">
        <w:trPr>
          <w:cantSplit/>
          <w:trHeight w:val="420"/>
          <w:tblHeader/>
          <w:jc w:val="center"/>
        </w:trPr>
        <w:tc>
          <w:tcPr>
            <w:tcW w:w="9360" w:type="dxa"/>
            <w:gridSpan w:val="2"/>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center"/>
              <w:rPr>
                <w:rFonts w:ascii="Arial" w:eastAsia="Arial" w:hAnsi="Arial" w:cs="Arial"/>
                <w:b/>
                <w:bCs/>
                <w:sz w:val="22"/>
                <w:szCs w:val="22"/>
                <w:lang w:val="en-GB"/>
              </w:rPr>
            </w:pPr>
            <w:r w:rsidRPr="00361256">
              <w:rPr>
                <w:rFonts w:ascii="Arial" w:eastAsia="Arial" w:hAnsi="Arial" w:cs="Arial"/>
                <w:b/>
                <w:bCs/>
                <w:sz w:val="22"/>
                <w:szCs w:val="22"/>
                <w:lang w:val="en-GB"/>
              </w:rPr>
              <w:t>Protection</w:t>
            </w:r>
          </w:p>
        </w:tc>
      </w:tr>
      <w:tr w:rsidR="004A5CED" w:rsidRPr="00361256" w:rsidTr="00C105AB">
        <w:trPr>
          <w:cantSplit/>
          <w:trHeight w:val="420"/>
          <w:tblHeader/>
          <w:jc w:val="center"/>
        </w:trPr>
        <w:tc>
          <w:tcPr>
            <w:tcW w:w="4680" w:type="dxa"/>
            <w:vMerge w:val="restart"/>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A. Safeguarding &amp; Care Quality</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Care Quality Commission (CQC)</w:t>
            </w:r>
          </w:p>
        </w:tc>
      </w:tr>
      <w:tr w:rsidR="004A5CED" w:rsidRPr="00361256" w:rsidTr="00C105AB">
        <w:trPr>
          <w:cantSplit/>
          <w:trHeight w:val="420"/>
          <w:tblHeader/>
          <w:jc w:val="center"/>
        </w:trPr>
        <w:tc>
          <w:tcPr>
            <w:tcW w:w="4680" w:type="dxa"/>
            <w:vMerge/>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Adult Safeguarding Frameworks</w:t>
            </w:r>
          </w:p>
        </w:tc>
      </w:tr>
      <w:tr w:rsidR="004A5CED" w:rsidRPr="00361256" w:rsidTr="00C105AB">
        <w:trPr>
          <w:cantSplit/>
          <w:tblHeader/>
          <w:jc w:val="center"/>
        </w:trPr>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B. Winter Pressures &amp; Emergency Protection</w:t>
            </w:r>
          </w:p>
        </w:tc>
        <w:tc>
          <w:tcPr>
            <w:tcW w:w="4680" w:type="dxa"/>
            <w:shd w:val="clear" w:color="auto" w:fill="auto"/>
            <w:tcMar>
              <w:top w:w="100" w:type="dxa"/>
              <w:left w:w="100" w:type="dxa"/>
              <w:bottom w:w="100" w:type="dxa"/>
              <w:right w:w="100" w:type="dxa"/>
            </w:tcMar>
          </w:tcPr>
          <w:p w:rsidR="004A5CED" w:rsidRPr="00361256" w:rsidRDefault="004A5CED" w:rsidP="00C70336">
            <w:pPr>
              <w:pStyle w:val="Normal2"/>
              <w:widowControl w:val="0"/>
              <w:pBdr>
                <w:top w:val="nil"/>
                <w:left w:val="nil"/>
                <w:bottom w:val="nil"/>
                <w:right w:val="nil"/>
                <w:between w:val="nil"/>
              </w:pBdr>
              <w:spacing w:line="240" w:lineRule="auto"/>
              <w:jc w:val="left"/>
              <w:rPr>
                <w:rFonts w:ascii="Arial" w:eastAsia="Arial" w:hAnsi="Arial" w:cs="Arial"/>
                <w:sz w:val="22"/>
                <w:szCs w:val="22"/>
                <w:lang w:val="en-GB"/>
              </w:rPr>
            </w:pPr>
            <w:r w:rsidRPr="00361256">
              <w:rPr>
                <w:rFonts w:ascii="Arial" w:eastAsia="Arial" w:hAnsi="Arial" w:cs="Arial"/>
                <w:sz w:val="22"/>
                <w:szCs w:val="22"/>
                <w:lang w:val="en-GB"/>
              </w:rPr>
              <w:t>Winter Vaccination Campaigns</w:t>
            </w:r>
          </w:p>
        </w:tc>
      </w:tr>
    </w:tbl>
    <w:p w:rsidR="004A5CED" w:rsidRPr="00361256" w:rsidRDefault="004A5CED" w:rsidP="004A5CED">
      <w:pPr>
        <w:pStyle w:val="Normal2"/>
        <w:jc w:val="center"/>
        <w:rPr>
          <w:rFonts w:ascii="Arial" w:eastAsia="Arial" w:hAnsi="Arial" w:cs="Arial"/>
          <w:b/>
          <w:bCs/>
          <w:sz w:val="22"/>
          <w:szCs w:val="22"/>
          <w:lang w:val="en-GB"/>
        </w:rPr>
      </w:pPr>
      <w:r w:rsidRPr="00361256">
        <w:rPr>
          <w:rFonts w:ascii="Arial" w:eastAsia="Arial" w:hAnsi="Arial" w:cs="Arial"/>
          <w:b/>
          <w:bCs/>
          <w:sz w:val="22"/>
          <w:szCs w:val="22"/>
          <w:lang w:val="en-GB"/>
        </w:rPr>
        <w:t>Table 1:  3P’s intervention</w:t>
      </w:r>
    </w:p>
    <w:p w:rsidR="004A5CED" w:rsidRPr="00361256" w:rsidRDefault="004A5CED" w:rsidP="004A5CED">
      <w:pPr>
        <w:pStyle w:val="Normal2"/>
        <w:jc w:val="center"/>
        <w:rPr>
          <w:rFonts w:ascii="Arial" w:eastAsia="Arial" w:hAnsi="Arial" w:cs="Arial"/>
          <w:sz w:val="22"/>
          <w:szCs w:val="22"/>
          <w:lang w:val="en-GB"/>
        </w:rPr>
      </w:pPr>
      <w:r w:rsidRPr="00361256">
        <w:rPr>
          <w:rFonts w:ascii="Arial" w:eastAsia="Arial" w:hAnsi="Arial" w:cs="Arial"/>
          <w:sz w:val="22"/>
          <w:szCs w:val="22"/>
          <w:lang w:val="en-GB"/>
        </w:rPr>
        <w:t>(Source: Self-developed)</w:t>
      </w:r>
    </w:p>
    <w:p w:rsidR="00066898" w:rsidRPr="00F73F0F" w:rsidRDefault="00F943A7" w:rsidP="004A4E66">
      <w:pPr>
        <w:pStyle w:val="Heading2"/>
        <w:spacing w:after="200"/>
        <w:rPr>
          <w:lang w:val="en-GB"/>
        </w:rPr>
      </w:pPr>
      <w:bookmarkStart w:id="20" w:name="_Toc216889491"/>
      <w:r w:rsidRPr="00F73F0F">
        <w:rPr>
          <w:lang w:val="en-GB"/>
        </w:rPr>
        <w:t>Main Body</w:t>
      </w:r>
      <w:bookmarkEnd w:id="20"/>
    </w:p>
    <w:p w:rsidR="00066898" w:rsidRPr="00F73F0F" w:rsidRDefault="00F943A7" w:rsidP="004A4E66">
      <w:pPr>
        <w:pStyle w:val="Normal1"/>
        <w:spacing w:after="200"/>
        <w:rPr>
          <w:lang w:val="en-GB"/>
        </w:rPr>
      </w:pPr>
      <w:r w:rsidRPr="00F73F0F">
        <w:rPr>
          <w:b/>
          <w:bCs/>
          <w:i/>
          <w:iCs/>
          <w:lang w:val="en-GB"/>
        </w:rPr>
        <w:t>Key determinants/risk factors of Disability and health inequalities</w:t>
      </w:r>
    </w:p>
    <w:p w:rsidR="00066898" w:rsidRPr="00F73F0F" w:rsidRDefault="00F943A7" w:rsidP="004A4E66">
      <w:pPr>
        <w:pStyle w:val="Normal1"/>
        <w:spacing w:after="200"/>
        <w:rPr>
          <w:lang w:val="en-GB"/>
        </w:rPr>
      </w:pPr>
      <w:r w:rsidRPr="00F73F0F">
        <w:rPr>
          <w:lang w:val="en-GB"/>
        </w:rPr>
        <w:t>Epidemiological analysis states that not only bio-medical but also environmental, socioeconomic and individual behaviour determinants drive disability and resulting health inequalities</w:t>
      </w:r>
      <w:r w:rsidR="009C456B">
        <w:rPr>
          <w:lang w:val="en-GB"/>
        </w:rPr>
        <w:t xml:space="preserve"> in the target population of elderly population of 60-90+ years</w:t>
      </w:r>
      <w:r w:rsidRPr="00F73F0F">
        <w:rPr>
          <w:lang w:val="en-GB"/>
        </w:rPr>
        <w:t>. Age and chronic illness are big risk factors, biologically, where it has been stated that the prevalence in disability increases drastically with age. As of 2024, about 45% of adults above state pension age are affected, representing 25% of the population (Kirk-Wade, Stiebahl and Wong, 2024). There are long-term conditions such as cardiovascular disease, diabetes, and mental illness, which are direct cause contributors to disability status and low health outcomes.</w:t>
      </w:r>
    </w:p>
    <w:p w:rsidR="00066898" w:rsidRPr="00F73F0F" w:rsidRDefault="00F943A7" w:rsidP="004A4E66">
      <w:pPr>
        <w:pStyle w:val="Normal1"/>
        <w:spacing w:after="200"/>
        <w:jc w:val="center"/>
        <w:rPr>
          <w:lang w:val="en-GB"/>
        </w:rPr>
      </w:pPr>
      <w:r w:rsidRPr="00F73F0F">
        <w:rPr>
          <w:noProof/>
        </w:rPr>
        <w:drawing>
          <wp:inline distT="114300" distB="114300" distL="114300" distR="114300">
            <wp:extent cx="5220121" cy="340782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220121" cy="3407820"/>
                    </a:xfrm>
                    <a:prstGeom prst="rect">
                      <a:avLst/>
                    </a:prstGeom>
                    <a:ln/>
                  </pic:spPr>
                </pic:pic>
              </a:graphicData>
            </a:graphic>
          </wp:inline>
        </w:drawing>
      </w:r>
    </w:p>
    <w:p w:rsidR="00066898" w:rsidRPr="00F73F0F" w:rsidRDefault="00F943A7" w:rsidP="004A4E66">
      <w:pPr>
        <w:pStyle w:val="Normal1"/>
        <w:spacing w:after="200"/>
        <w:jc w:val="center"/>
        <w:rPr>
          <w:b/>
          <w:bCs/>
          <w:lang w:val="en-GB"/>
        </w:rPr>
      </w:pPr>
      <w:r w:rsidRPr="00F73F0F">
        <w:rPr>
          <w:b/>
          <w:bCs/>
          <w:lang w:val="en-GB"/>
        </w:rPr>
        <w:t>Figure 1: Change in disability preference by age from 2012 to 2024</w:t>
      </w:r>
    </w:p>
    <w:p w:rsidR="00066898" w:rsidRPr="00F73F0F" w:rsidRDefault="00F943A7" w:rsidP="004A4E66">
      <w:pPr>
        <w:pStyle w:val="Normal1"/>
        <w:spacing w:after="200"/>
        <w:jc w:val="center"/>
        <w:rPr>
          <w:lang w:val="en-GB"/>
        </w:rPr>
      </w:pPr>
      <w:r w:rsidRPr="00F73F0F">
        <w:rPr>
          <w:lang w:val="en-GB"/>
        </w:rPr>
        <w:t>(Source: Kirk-Wade, Stiebahl and Wong, 2024)</w:t>
      </w:r>
    </w:p>
    <w:p w:rsidR="00066898" w:rsidRPr="00F73F0F" w:rsidRDefault="00F943A7" w:rsidP="004A4E66">
      <w:pPr>
        <w:pStyle w:val="Normal1"/>
        <w:spacing w:after="200"/>
        <w:rPr>
          <w:lang w:val="en-GB"/>
        </w:rPr>
      </w:pPr>
      <w:r w:rsidRPr="00F73F0F">
        <w:rPr>
          <w:lang w:val="en-GB"/>
        </w:rPr>
        <w:t>A significant role is played by socioeconomic determinants. The disabled experience higher poverty, unemployment and poor education. According to recent data, it is evident that approximately seven million people in the UK under the poverty line are either disabled or live in families with a disabled member (Disability Rights UK, 2020). Exposure to health risks is further augmented by environmental conditions such as inappropriate housing, lack of transport facilities and deprivation of neighbourhoods. These broader social and environmental limitations usually influence individual behaviour (such as decreased physical exercise and increased rates of smoking) which further support health disparities.</w:t>
      </w:r>
    </w:p>
    <w:p w:rsidR="00066898" w:rsidRPr="00F73F0F" w:rsidRDefault="00F943A7" w:rsidP="004A4E66">
      <w:pPr>
        <w:pStyle w:val="Normal1"/>
        <w:spacing w:after="200"/>
        <w:rPr>
          <w:b/>
          <w:bCs/>
          <w:i/>
          <w:iCs/>
          <w:lang w:val="en-GB"/>
        </w:rPr>
      </w:pPr>
      <w:r w:rsidRPr="00F73F0F">
        <w:rPr>
          <w:b/>
          <w:bCs/>
          <w:i/>
          <w:iCs/>
          <w:lang w:val="en-GB"/>
        </w:rPr>
        <w:t>Epidemiological Identification of the individual affected or/are at risk in a specific defined population</w:t>
      </w:r>
    </w:p>
    <w:p w:rsidR="00066898" w:rsidRPr="00F73F0F" w:rsidRDefault="00F943A7" w:rsidP="004A4E66">
      <w:pPr>
        <w:pStyle w:val="Normal1"/>
        <w:spacing w:after="200"/>
        <w:rPr>
          <w:lang w:val="en-GB"/>
        </w:rPr>
      </w:pPr>
      <w:r w:rsidRPr="00F73F0F">
        <w:rPr>
          <w:lang w:val="en-GB"/>
        </w:rPr>
        <w:t>The diagnosis of the individuals who have experienced health disparities related to disability is dependent on both national and local epidemiological data systems. In the UK, the Family Resources Survey estimates the disabled population to be 16.8 million in 2023/24, which is approximately 25% of the population (Kirk-Wade, Stiebahl and Wong, 2024). Older individuals, individuals living in deprived regions and those with long-term health issues have higher prevalence.</w:t>
      </w:r>
    </w:p>
    <w:p w:rsidR="00066898" w:rsidRPr="00F73F0F" w:rsidRDefault="00F943A7" w:rsidP="004A4E66">
      <w:pPr>
        <w:pStyle w:val="Normal1"/>
        <w:spacing w:after="200"/>
        <w:jc w:val="center"/>
        <w:rPr>
          <w:b/>
          <w:bCs/>
          <w:i/>
          <w:iCs/>
          <w:lang w:val="en-GB"/>
        </w:rPr>
      </w:pPr>
      <w:r w:rsidRPr="00F73F0F">
        <w:rPr>
          <w:b/>
          <w:bCs/>
          <w:i/>
          <w:iCs/>
          <w:noProof/>
        </w:rPr>
        <w:drawing>
          <wp:inline distT="114300" distB="114300" distL="114300" distR="114300">
            <wp:extent cx="4810125" cy="2905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810125" cy="2905125"/>
                    </a:xfrm>
                    <a:prstGeom prst="rect">
                      <a:avLst/>
                    </a:prstGeom>
                    <a:ln/>
                  </pic:spPr>
                </pic:pic>
              </a:graphicData>
            </a:graphic>
          </wp:inline>
        </w:drawing>
      </w:r>
    </w:p>
    <w:p w:rsidR="00066898" w:rsidRPr="00F73F0F" w:rsidRDefault="00F943A7" w:rsidP="004A4E66">
      <w:pPr>
        <w:pStyle w:val="Normal1"/>
        <w:spacing w:after="200"/>
        <w:jc w:val="center"/>
        <w:rPr>
          <w:b/>
          <w:bCs/>
          <w:lang w:val="en-GB"/>
        </w:rPr>
      </w:pPr>
      <w:r w:rsidRPr="00F73F0F">
        <w:rPr>
          <w:b/>
          <w:bCs/>
          <w:lang w:val="en-GB"/>
        </w:rPr>
        <w:t>Figure 2: Disability rate increment in the UK from 2002</w:t>
      </w:r>
    </w:p>
    <w:p w:rsidR="00066898" w:rsidRPr="00F73F0F" w:rsidRDefault="00F943A7" w:rsidP="004A4E66">
      <w:pPr>
        <w:pStyle w:val="Normal1"/>
        <w:spacing w:after="200"/>
        <w:jc w:val="center"/>
        <w:rPr>
          <w:lang w:val="en-GB"/>
        </w:rPr>
      </w:pPr>
      <w:r w:rsidRPr="00F73F0F">
        <w:rPr>
          <w:lang w:val="en-GB"/>
        </w:rPr>
        <w:t>(Source: Kirk-Wade, Stiebahl and Wong, 2024)</w:t>
      </w:r>
    </w:p>
    <w:p w:rsidR="00066898" w:rsidRPr="00F73F0F" w:rsidRDefault="00F943A7" w:rsidP="004A4E66">
      <w:pPr>
        <w:pStyle w:val="Normal1"/>
        <w:spacing w:after="200"/>
        <w:rPr>
          <w:lang w:val="en-GB"/>
        </w:rPr>
      </w:pPr>
      <w:r w:rsidRPr="00F73F0F">
        <w:rPr>
          <w:lang w:val="en-GB"/>
        </w:rPr>
        <w:t xml:space="preserve">NHS primary care registers and hospital episode statistics are used to determine the disabled people with multiple long-term conditions and healthcare utilisation patterns (Shumway </w:t>
      </w:r>
      <w:r w:rsidRPr="00F73F0F">
        <w:rPr>
          <w:i/>
          <w:iCs/>
          <w:lang w:val="en-GB"/>
        </w:rPr>
        <w:t>et al.</w:t>
      </w:r>
      <w:r w:rsidRPr="00F73F0F">
        <w:rPr>
          <w:lang w:val="en-GB"/>
        </w:rPr>
        <w:t>, 2024). These statistics indicate that adults with learning disabilities, mental health problems, and mobility are especially vulnerable to ill health. Health needs assessment involves both epidemiological and demographic data to rank these populations to target them in terms of public health interventions.</w:t>
      </w:r>
    </w:p>
    <w:p w:rsidR="00066898" w:rsidRPr="00F73F0F" w:rsidRDefault="00F943A7" w:rsidP="004A4E66">
      <w:pPr>
        <w:pStyle w:val="Normal1"/>
        <w:spacing w:after="200"/>
        <w:rPr>
          <w:b/>
          <w:bCs/>
          <w:i/>
          <w:iCs/>
          <w:lang w:val="en-GB"/>
        </w:rPr>
      </w:pPr>
      <w:r w:rsidRPr="00F73F0F">
        <w:rPr>
          <w:b/>
          <w:bCs/>
          <w:i/>
          <w:iCs/>
          <w:lang w:val="en-GB"/>
        </w:rPr>
        <w:t xml:space="preserve">Main public health approaches and strategies used to monitor the incidence of Disability and health inequalities </w:t>
      </w:r>
    </w:p>
    <w:p w:rsidR="00066898" w:rsidRPr="00F73F0F" w:rsidRDefault="00F943A7" w:rsidP="004A4E66">
      <w:pPr>
        <w:pStyle w:val="Normal1"/>
        <w:spacing w:after="200"/>
        <w:jc w:val="center"/>
        <w:rPr>
          <w:lang w:val="en-GB"/>
        </w:rPr>
      </w:pPr>
      <w:r w:rsidRPr="00F73F0F">
        <w:rPr>
          <w:noProof/>
        </w:rPr>
        <w:drawing>
          <wp:inline distT="114300" distB="114300" distL="114300" distR="114300">
            <wp:extent cx="5724525" cy="3390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724525" cy="3390900"/>
                    </a:xfrm>
                    <a:prstGeom prst="rect">
                      <a:avLst/>
                    </a:prstGeom>
                    <a:ln/>
                  </pic:spPr>
                </pic:pic>
              </a:graphicData>
            </a:graphic>
          </wp:inline>
        </w:drawing>
      </w:r>
    </w:p>
    <w:p w:rsidR="00066898" w:rsidRPr="00F73F0F" w:rsidRDefault="00F943A7" w:rsidP="004A4E66">
      <w:pPr>
        <w:pStyle w:val="Normal1"/>
        <w:spacing w:after="200"/>
        <w:jc w:val="center"/>
        <w:rPr>
          <w:b/>
          <w:bCs/>
          <w:lang w:val="en-GB"/>
        </w:rPr>
      </w:pPr>
      <w:r w:rsidRPr="00F73F0F">
        <w:rPr>
          <w:b/>
          <w:bCs/>
          <w:lang w:val="en-GB"/>
        </w:rPr>
        <w:t xml:space="preserve">Figure 3: Public health approaches and strategies </w:t>
      </w:r>
    </w:p>
    <w:p w:rsidR="00066898" w:rsidRPr="00F73F0F" w:rsidRDefault="00F943A7" w:rsidP="004A4E66">
      <w:pPr>
        <w:pStyle w:val="Normal1"/>
        <w:spacing w:after="200"/>
        <w:jc w:val="center"/>
        <w:rPr>
          <w:lang w:val="en-GB"/>
        </w:rPr>
      </w:pPr>
      <w:r w:rsidRPr="00F73F0F">
        <w:rPr>
          <w:lang w:val="en-GB"/>
        </w:rPr>
        <w:t>(Source: Self-developed)</w:t>
      </w:r>
    </w:p>
    <w:p w:rsidR="00066898" w:rsidRPr="00F73F0F" w:rsidRDefault="00F943A7" w:rsidP="004A4E66">
      <w:pPr>
        <w:pStyle w:val="Normal1"/>
        <w:spacing w:after="200"/>
        <w:rPr>
          <w:lang w:val="en-GB"/>
        </w:rPr>
      </w:pPr>
      <w:r w:rsidRPr="00F73F0F">
        <w:rPr>
          <w:lang w:val="en-GB"/>
        </w:rPr>
        <w:t xml:space="preserve">Public health surveillance in England assists in monitoring disability and health inequalities. Regular estimates of disability prevalence and characteristics, such as the </w:t>
      </w:r>
      <w:r w:rsidRPr="00F73F0F">
        <w:rPr>
          <w:b/>
          <w:bCs/>
          <w:i/>
          <w:iCs/>
          <w:lang w:val="en-GB"/>
        </w:rPr>
        <w:t>Family Resources Survey (FRS)</w:t>
      </w:r>
      <w:r w:rsidRPr="00F73F0F">
        <w:rPr>
          <w:lang w:val="en-GB"/>
        </w:rPr>
        <w:t xml:space="preserve">, are available through national surveys. The monitoring of differences in health outcomes and life expectancy between disabled and non-disabled population is done using ONS mortality and morbidity statistics. The </w:t>
      </w:r>
      <w:r w:rsidRPr="00F73F0F">
        <w:rPr>
          <w:b/>
          <w:bCs/>
          <w:i/>
          <w:iCs/>
          <w:lang w:val="en-GB"/>
        </w:rPr>
        <w:t>Quality and Outcomes Framework</w:t>
      </w:r>
      <w:r w:rsidRPr="00F73F0F">
        <w:rPr>
          <w:lang w:val="en-GB"/>
        </w:rPr>
        <w:t xml:space="preserve"> is one of the NHS primary care datasets that monitor the prevalence of chronic diseases and their management in disabled patients (Kirk-Wade, Stiebahl and Wong, 2024). </w:t>
      </w:r>
      <w:r w:rsidRPr="00F73F0F">
        <w:rPr>
          <w:b/>
          <w:bCs/>
          <w:i/>
          <w:iCs/>
          <w:lang w:val="en-GB"/>
        </w:rPr>
        <w:t>Hospital Episode Statistics</w:t>
      </w:r>
      <w:r w:rsidRPr="00F73F0F">
        <w:rPr>
          <w:lang w:val="en-GB"/>
        </w:rPr>
        <w:t xml:space="preserve"> give us the data on the number of admissions, complications, and preventable cases whereas the Office for Health Improvement and Disparities Health Inequalities Dashboard allows comparing the indicators of inequality across regions. Moreover, the </w:t>
      </w:r>
      <w:r w:rsidRPr="00F73F0F">
        <w:rPr>
          <w:b/>
          <w:bCs/>
          <w:i/>
          <w:iCs/>
          <w:lang w:val="en-GB"/>
        </w:rPr>
        <w:t>Learning Disabilities Mortality Review (LeDeR)</w:t>
      </w:r>
      <w:r w:rsidRPr="00F73F0F">
        <w:rPr>
          <w:lang w:val="en-GB"/>
        </w:rPr>
        <w:t xml:space="preserve"> is a national audit programme that tracks preventable deaths and systemic care failure (NHS, 2021). Combined, these methods facilitate the ongoing epidemiological surveillance and inform the planning of the health of the population.</w:t>
      </w:r>
    </w:p>
    <w:p w:rsidR="00066898" w:rsidRPr="00F73F0F" w:rsidRDefault="00F943A7" w:rsidP="004A4E66">
      <w:pPr>
        <w:pStyle w:val="Normal1"/>
        <w:spacing w:after="200"/>
        <w:rPr>
          <w:b/>
          <w:bCs/>
          <w:i/>
          <w:iCs/>
          <w:lang w:val="en-GB"/>
        </w:rPr>
      </w:pPr>
      <w:r w:rsidRPr="00F73F0F">
        <w:rPr>
          <w:b/>
          <w:bCs/>
          <w:i/>
          <w:iCs/>
          <w:lang w:val="en-GB"/>
        </w:rPr>
        <w:t>Planning and using epidemiology to determine the public health impact/short- and long-term consequences</w:t>
      </w:r>
    </w:p>
    <w:p w:rsidR="00066898" w:rsidRPr="00F73F0F" w:rsidRDefault="00F943A7" w:rsidP="004A4E66">
      <w:pPr>
        <w:pStyle w:val="Normal1"/>
        <w:spacing w:after="200"/>
        <w:rPr>
          <w:lang w:val="en-GB"/>
        </w:rPr>
      </w:pPr>
      <w:r w:rsidRPr="00F73F0F">
        <w:rPr>
          <w:lang w:val="en-GB"/>
        </w:rPr>
        <w:t>Epidemiology is necessary to measure the long and short-term public health consequences of the disability-related health inequalities. In the short-term, disabled people are more likely to access primary care, emergency services and healthcare needs, thus increasing the pressure on the NHS services. Pezzin</w:t>
      </w:r>
      <w:r w:rsidRPr="00F73F0F">
        <w:rPr>
          <w:i/>
          <w:iCs/>
          <w:lang w:val="en-GB"/>
        </w:rPr>
        <w:t>et al.</w:t>
      </w:r>
      <w:r w:rsidRPr="00F73F0F">
        <w:rPr>
          <w:lang w:val="en-GB"/>
        </w:rPr>
        <w:t xml:space="preserve"> (2018) denoted that the hospital records show that the disabled individuals will be admitted more frequently with conditions that can be prevented or treated in the case of a proper primary care and early intervention</w:t>
      </w:r>
      <w:r w:rsidRPr="00F73F0F">
        <w:rPr>
          <w:color w:val="0A0A0A"/>
          <w:lang w:val="en-GB"/>
        </w:rPr>
        <w:t xml:space="preserve">. </w:t>
      </w:r>
    </w:p>
    <w:p w:rsidR="00066898" w:rsidRPr="00F73F0F" w:rsidRDefault="00645538" w:rsidP="004A4E66">
      <w:pPr>
        <w:pStyle w:val="Normal1"/>
        <w:spacing w:after="200"/>
        <w:rPr>
          <w:lang w:val="en-GB"/>
        </w:rPr>
      </w:pPr>
      <w:r w:rsidRPr="00F73F0F">
        <w:rPr>
          <w:lang w:val="en-GB"/>
        </w:rPr>
        <w:t xml:space="preserve">The </w:t>
      </w:r>
      <w:r w:rsidR="00E21023" w:rsidRPr="00F73F0F">
        <w:rPr>
          <w:lang w:val="en-GB"/>
        </w:rPr>
        <w:t>aforementioned</w:t>
      </w:r>
      <w:r w:rsidR="00F943A7" w:rsidRPr="00F73F0F">
        <w:rPr>
          <w:lang w:val="en-GB"/>
        </w:rPr>
        <w:t xml:space="preserve"> inequalities in the long-term </w:t>
      </w:r>
      <w:r w:rsidR="00E21023" w:rsidRPr="00F73F0F">
        <w:rPr>
          <w:lang w:val="en-GB"/>
        </w:rPr>
        <w:t xml:space="preserve">results in </w:t>
      </w:r>
      <w:r w:rsidR="00F943A7" w:rsidRPr="00F73F0F">
        <w:rPr>
          <w:lang w:val="en-GB"/>
        </w:rPr>
        <w:t xml:space="preserve">premature deaths, </w:t>
      </w:r>
      <w:r w:rsidR="00EC101C" w:rsidRPr="00F73F0F">
        <w:rPr>
          <w:lang w:val="en-GB"/>
        </w:rPr>
        <w:t xml:space="preserve">reduced </w:t>
      </w:r>
      <w:r w:rsidR="00F943A7" w:rsidRPr="00F73F0F">
        <w:rPr>
          <w:lang w:val="en-GB"/>
        </w:rPr>
        <w:t xml:space="preserve">life expectancy, </w:t>
      </w:r>
      <w:r w:rsidR="00DE0C75" w:rsidRPr="00F73F0F">
        <w:rPr>
          <w:lang w:val="en-GB"/>
        </w:rPr>
        <w:t>and increased</w:t>
      </w:r>
      <w:r w:rsidR="00F943A7" w:rsidRPr="00F73F0F">
        <w:rPr>
          <w:lang w:val="en-GB"/>
        </w:rPr>
        <w:t xml:space="preserve">disability-adjusted life years. Investigations by the NHS Learning Disabilities Mortality Review indicate that most of the deaths that occur to individuals living with learning disabilities can be prevented, and this indicates loss of years of life (NHS England, 2022). Hence, it can be stated that epidemiological modelling can be utilised for the prediction of future healthcare demand, workforce and costs requirements in case of unmanaged inequalities. </w:t>
      </w:r>
    </w:p>
    <w:p w:rsidR="00584AAF" w:rsidRPr="00F73F0F" w:rsidRDefault="00584AAF" w:rsidP="00DB6516">
      <w:pPr>
        <w:pStyle w:val="Normal1"/>
        <w:rPr>
          <w:b/>
          <w:lang w:val="en-GB"/>
        </w:rPr>
      </w:pPr>
      <w:r w:rsidRPr="00F73F0F">
        <w:rPr>
          <w:b/>
          <w:lang w:val="en-GB"/>
        </w:rPr>
        <w:t>A health intervention program and the impact of any proposed intervention</w:t>
      </w:r>
    </w:p>
    <w:p w:rsidR="00584AAF" w:rsidRPr="00584AAF" w:rsidRDefault="00584AAF" w:rsidP="00584AAF">
      <w:pPr>
        <w:rPr>
          <w:rFonts w:eastAsia="Times New Roman"/>
          <w:szCs w:val="24"/>
        </w:rPr>
      </w:pPr>
      <w:r w:rsidRPr="00F73F0F">
        <w:rPr>
          <w:rFonts w:eastAsia="Times New Roman"/>
          <w:color w:val="000000"/>
          <w:szCs w:val="24"/>
        </w:rPr>
        <w:t>The intervention program</w:t>
      </w:r>
      <w:r w:rsidRPr="00584AAF">
        <w:rPr>
          <w:rFonts w:eastAsia="Times New Roman"/>
          <w:color w:val="000000"/>
          <w:szCs w:val="24"/>
        </w:rPr>
        <w:t xml:space="preserve"> for the problem of disability and health inequalities is based upon the strategic medical model by focusing on “social determinants of health”. For instance, the people with disabilities often encounter “diagnostic overshadowing” as a potential problem in which physical or mental symptoms are considered as their disabilities (Hallyburton, 2022, p. 1360). The proposed intervention can be designed by relying on the treatable conditions regarding the disability. </w:t>
      </w:r>
    </w:p>
    <w:tbl>
      <w:tblPr>
        <w:tblW w:w="0" w:type="auto"/>
        <w:jc w:val="center"/>
        <w:tblCellMar>
          <w:top w:w="15" w:type="dxa"/>
          <w:left w:w="15" w:type="dxa"/>
          <w:bottom w:w="15" w:type="dxa"/>
          <w:right w:w="15" w:type="dxa"/>
        </w:tblCellMar>
        <w:tblLook w:val="04A0" w:firstRow="1" w:lastRow="0" w:firstColumn="1" w:lastColumn="0" w:noHBand="0" w:noVBand="1"/>
      </w:tblPr>
      <w:tblGrid>
        <w:gridCol w:w="2181"/>
        <w:gridCol w:w="3836"/>
        <w:gridCol w:w="3212"/>
      </w:tblGrid>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Pillars of intervention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Actionable components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Expected outcomes </w:t>
            </w:r>
          </w:p>
        </w:tc>
      </w:tr>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Approach of clinical preventive care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numPr>
                <w:ilvl w:val="0"/>
                <w:numId w:val="1"/>
              </w:numPr>
              <w:textAlignment w:val="baseline"/>
              <w:rPr>
                <w:rFonts w:eastAsia="Times New Roman"/>
                <w:color w:val="000000"/>
                <w:szCs w:val="24"/>
              </w:rPr>
            </w:pPr>
            <w:r w:rsidRPr="00584AAF">
              <w:rPr>
                <w:rFonts w:eastAsia="Times New Roman"/>
                <w:color w:val="000000"/>
                <w:szCs w:val="24"/>
              </w:rPr>
              <w:t>Enhanced level of “Annual health checks” (AHC)</w:t>
            </w:r>
          </w:p>
          <w:p w:rsidR="00584AAF" w:rsidRPr="00584AAF" w:rsidRDefault="00584AAF" w:rsidP="00584AAF">
            <w:pPr>
              <w:numPr>
                <w:ilvl w:val="0"/>
                <w:numId w:val="1"/>
              </w:numPr>
              <w:textAlignment w:val="baseline"/>
              <w:rPr>
                <w:rFonts w:eastAsia="Times New Roman"/>
                <w:color w:val="000000"/>
                <w:szCs w:val="24"/>
              </w:rPr>
            </w:pPr>
            <w:r w:rsidRPr="00584AAF">
              <w:rPr>
                <w:rFonts w:eastAsia="Times New Roman"/>
                <w:color w:val="000000"/>
                <w:szCs w:val="24"/>
              </w:rPr>
              <w:t>Dedicated appointments for physical and mental health checks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color w:val="000000"/>
                <w:szCs w:val="24"/>
              </w:rPr>
              <w:t>Appropriate and timely diagnosis of the patients with disabilities </w:t>
            </w:r>
          </w:p>
          <w:p w:rsidR="00584AAF" w:rsidRPr="00584AAF" w:rsidRDefault="00584AAF" w:rsidP="00584AAF">
            <w:pPr>
              <w:rPr>
                <w:rFonts w:eastAsia="Times New Roman"/>
                <w:szCs w:val="24"/>
              </w:rPr>
            </w:pPr>
            <w:r w:rsidRPr="00584AAF">
              <w:rPr>
                <w:rFonts w:eastAsia="Times New Roman"/>
                <w:color w:val="000000"/>
                <w:szCs w:val="24"/>
              </w:rPr>
              <w:t>Reduction of diagnostic overshadowing</w:t>
            </w:r>
          </w:p>
        </w:tc>
      </w:tr>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Dimensions for empowering patients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numPr>
                <w:ilvl w:val="0"/>
                <w:numId w:val="2"/>
              </w:numPr>
              <w:textAlignment w:val="baseline"/>
              <w:rPr>
                <w:rFonts w:eastAsia="Times New Roman"/>
                <w:color w:val="000000"/>
                <w:szCs w:val="24"/>
              </w:rPr>
            </w:pPr>
            <w:r w:rsidRPr="00584AAF">
              <w:rPr>
                <w:rFonts w:eastAsia="Times New Roman"/>
                <w:color w:val="000000"/>
                <w:szCs w:val="24"/>
              </w:rPr>
              <w:t>Simplified and effective health action plan with specific goals and medications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color w:val="000000"/>
                <w:szCs w:val="24"/>
              </w:rPr>
              <w:t>Maximised form of patient autonomy and improved communication with healthcare professionals </w:t>
            </w:r>
          </w:p>
        </w:tc>
      </w:tr>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Streamlining workforce capacity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numPr>
                <w:ilvl w:val="0"/>
                <w:numId w:val="3"/>
              </w:numPr>
              <w:textAlignment w:val="baseline"/>
              <w:rPr>
                <w:rFonts w:eastAsia="Times New Roman"/>
                <w:color w:val="000000"/>
                <w:szCs w:val="24"/>
              </w:rPr>
            </w:pPr>
            <w:r w:rsidRPr="00584AAF">
              <w:rPr>
                <w:rFonts w:eastAsia="Times New Roman"/>
                <w:color w:val="000000"/>
                <w:szCs w:val="24"/>
              </w:rPr>
              <w:t>Competency training for the people with disability </w:t>
            </w:r>
          </w:p>
          <w:p w:rsidR="00584AAF" w:rsidRPr="00584AAF" w:rsidRDefault="005504D2" w:rsidP="00584AAF">
            <w:pPr>
              <w:numPr>
                <w:ilvl w:val="0"/>
                <w:numId w:val="3"/>
              </w:numPr>
              <w:textAlignment w:val="baseline"/>
              <w:rPr>
                <w:rFonts w:eastAsia="Times New Roman"/>
                <w:color w:val="000000"/>
                <w:szCs w:val="24"/>
              </w:rPr>
            </w:pPr>
            <w:r w:rsidRPr="00584AAF">
              <w:rPr>
                <w:rFonts w:eastAsia="Times New Roman"/>
                <w:color w:val="000000"/>
                <w:szCs w:val="24"/>
              </w:rPr>
              <w:t>Mandatory</w:t>
            </w:r>
            <w:r w:rsidR="00584AAF" w:rsidRPr="00584AAF">
              <w:rPr>
                <w:rFonts w:eastAsia="Times New Roman"/>
                <w:color w:val="000000"/>
                <w:szCs w:val="24"/>
              </w:rPr>
              <w:t xml:space="preserve"> training for the staff and employees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color w:val="000000"/>
                <w:szCs w:val="24"/>
              </w:rPr>
              <w:t>Patient satisfaction regarding the care for disabilities  </w:t>
            </w:r>
          </w:p>
        </w:tc>
      </w:tr>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Environmental accessibility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numPr>
                <w:ilvl w:val="0"/>
                <w:numId w:val="4"/>
              </w:numPr>
              <w:textAlignment w:val="baseline"/>
              <w:rPr>
                <w:rFonts w:eastAsia="Times New Roman"/>
                <w:color w:val="000000"/>
                <w:szCs w:val="24"/>
              </w:rPr>
            </w:pPr>
            <w:r w:rsidRPr="00584AAF">
              <w:rPr>
                <w:rFonts w:eastAsia="Times New Roman"/>
                <w:color w:val="000000"/>
                <w:szCs w:val="24"/>
              </w:rPr>
              <w:t>Structural audit by focusing on wider accessibility for the patients with disability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color w:val="000000"/>
                <w:szCs w:val="24"/>
              </w:rPr>
              <w:t>Exclusion of physical barriers and development in accessibility </w:t>
            </w:r>
          </w:p>
        </w:tc>
      </w:tr>
      <w:tr w:rsidR="00584AAF" w:rsidRPr="00584AAF" w:rsidTr="00584AA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b/>
                <w:bCs/>
                <w:color w:val="000000"/>
                <w:szCs w:val="24"/>
              </w:rPr>
              <w:t>Data and system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numPr>
                <w:ilvl w:val="0"/>
                <w:numId w:val="5"/>
              </w:numPr>
              <w:textAlignment w:val="baseline"/>
              <w:rPr>
                <w:rFonts w:eastAsia="Times New Roman"/>
                <w:color w:val="000000"/>
                <w:szCs w:val="24"/>
              </w:rPr>
            </w:pPr>
            <w:r w:rsidRPr="00584AAF">
              <w:rPr>
                <w:rFonts w:eastAsia="Times New Roman"/>
                <w:color w:val="000000"/>
                <w:szCs w:val="24"/>
              </w:rPr>
              <w:t>Using data analytical metrics to assess and measure the success of the intervention </w:t>
            </w:r>
          </w:p>
          <w:p w:rsidR="00584AAF" w:rsidRPr="00584AAF" w:rsidRDefault="00584AAF" w:rsidP="00584AAF">
            <w:pPr>
              <w:numPr>
                <w:ilvl w:val="0"/>
                <w:numId w:val="5"/>
              </w:numPr>
              <w:textAlignment w:val="baseline"/>
              <w:rPr>
                <w:rFonts w:eastAsia="Times New Roman"/>
                <w:color w:val="000000"/>
                <w:szCs w:val="24"/>
              </w:rPr>
            </w:pPr>
            <w:r w:rsidRPr="00584AAF">
              <w:rPr>
                <w:rFonts w:eastAsia="Times New Roman"/>
                <w:color w:val="000000"/>
                <w:szCs w:val="24"/>
              </w:rPr>
              <w:t>Disability register audit with the support of clinical coding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4AAF" w:rsidRPr="00584AAF" w:rsidRDefault="00584AAF" w:rsidP="00584AAF">
            <w:pPr>
              <w:rPr>
                <w:rFonts w:eastAsia="Times New Roman"/>
                <w:szCs w:val="24"/>
              </w:rPr>
            </w:pPr>
            <w:r w:rsidRPr="00584AAF">
              <w:rPr>
                <w:rFonts w:eastAsia="Times New Roman"/>
                <w:color w:val="000000"/>
                <w:szCs w:val="24"/>
              </w:rPr>
              <w:t>Improved visibility and accuracy for the epidemiological data </w:t>
            </w:r>
          </w:p>
        </w:tc>
      </w:tr>
    </w:tbl>
    <w:p w:rsidR="00584AAF" w:rsidRPr="00584AAF" w:rsidRDefault="00584AAF" w:rsidP="00584AAF">
      <w:pPr>
        <w:jc w:val="center"/>
        <w:rPr>
          <w:rFonts w:eastAsia="Times New Roman"/>
          <w:szCs w:val="24"/>
        </w:rPr>
      </w:pPr>
      <w:r w:rsidRPr="00584AAF">
        <w:rPr>
          <w:rFonts w:eastAsia="Times New Roman"/>
          <w:b/>
          <w:bCs/>
          <w:color w:val="000000"/>
          <w:szCs w:val="24"/>
        </w:rPr>
        <w:t xml:space="preserve">Table </w:t>
      </w:r>
      <w:r w:rsidRPr="00F73F0F">
        <w:rPr>
          <w:rFonts w:eastAsia="Times New Roman"/>
          <w:b/>
          <w:bCs/>
          <w:color w:val="000000"/>
          <w:szCs w:val="24"/>
        </w:rPr>
        <w:t>1: The intervention program</w:t>
      </w:r>
      <w:r w:rsidRPr="00584AAF">
        <w:rPr>
          <w:rFonts w:eastAsia="Times New Roman"/>
          <w:b/>
          <w:bCs/>
          <w:color w:val="000000"/>
          <w:szCs w:val="24"/>
        </w:rPr>
        <w:t xml:space="preserve"> for “accessible pathways”</w:t>
      </w:r>
    </w:p>
    <w:p w:rsidR="00584AAF" w:rsidRPr="00584AAF" w:rsidRDefault="00584AAF" w:rsidP="00584AAF">
      <w:pPr>
        <w:jc w:val="center"/>
        <w:rPr>
          <w:rFonts w:eastAsia="Times New Roman"/>
          <w:szCs w:val="24"/>
        </w:rPr>
      </w:pPr>
      <w:r w:rsidRPr="00584AAF">
        <w:rPr>
          <w:rFonts w:eastAsia="Times New Roman"/>
          <w:color w:val="000000"/>
          <w:szCs w:val="24"/>
        </w:rPr>
        <w:t>(Source: Self-assessed)</w:t>
      </w:r>
    </w:p>
    <w:p w:rsidR="00584AAF" w:rsidRPr="00584AAF" w:rsidRDefault="00584AAF" w:rsidP="00584AAF">
      <w:pPr>
        <w:rPr>
          <w:rFonts w:eastAsia="Times New Roman"/>
          <w:szCs w:val="24"/>
        </w:rPr>
      </w:pPr>
      <w:r w:rsidRPr="00584AAF">
        <w:rPr>
          <w:rFonts w:eastAsia="Times New Roman"/>
          <w:b/>
          <w:bCs/>
          <w:color w:val="000000"/>
          <w:szCs w:val="24"/>
        </w:rPr>
        <w:t>Impacts of the proposed interventions </w:t>
      </w:r>
    </w:p>
    <w:p w:rsidR="00584AAF" w:rsidRPr="00584AAF" w:rsidRDefault="00584AAF" w:rsidP="00584AAF">
      <w:pPr>
        <w:rPr>
          <w:rFonts w:eastAsia="Times New Roman"/>
          <w:szCs w:val="24"/>
        </w:rPr>
      </w:pPr>
      <w:r w:rsidRPr="00584AAF">
        <w:rPr>
          <w:rFonts w:eastAsia="Times New Roman"/>
          <w:color w:val="000000"/>
          <w:szCs w:val="24"/>
        </w:rPr>
        <w:t>The proposed intervention has a diverse set of impacts around the domains like clinical, social and psychological and economic impact. For instance, the clinical impact of the intervention can be assessed with increased screening accuracy and early detection, while the empowerment can be regarded as social or psychological impacts. In this regard, Atkin (2023, p. 42) has argued that the healthcare interventions regarding health inequalities have impact upon sensitivity, connection, personal experience and facilitation of cost-effectiveness. Considering these arguments, the proposed interventions can be regarded as efficient in improving the well-being of individuals with collective implications.  </w:t>
      </w:r>
    </w:p>
    <w:p w:rsidR="00584AAF" w:rsidRPr="00584AAF" w:rsidRDefault="00584AAF" w:rsidP="00584AAF">
      <w:pPr>
        <w:rPr>
          <w:rFonts w:eastAsia="Times New Roman"/>
          <w:szCs w:val="24"/>
        </w:rPr>
      </w:pPr>
      <w:r w:rsidRPr="00584AAF">
        <w:rPr>
          <w:rFonts w:eastAsia="Times New Roman"/>
          <w:b/>
          <w:bCs/>
          <w:color w:val="000000"/>
          <w:szCs w:val="24"/>
        </w:rPr>
        <w:t>Strengths and weaknesses of the epidemiological approach</w:t>
      </w:r>
    </w:p>
    <w:p w:rsidR="00584AAF" w:rsidRPr="00584AAF" w:rsidRDefault="00584AAF" w:rsidP="00584AAF">
      <w:pPr>
        <w:rPr>
          <w:rFonts w:eastAsia="Times New Roman"/>
          <w:szCs w:val="24"/>
        </w:rPr>
      </w:pPr>
      <w:r w:rsidRPr="00584AAF">
        <w:rPr>
          <w:rFonts w:eastAsia="Times New Roman"/>
          <w:b/>
          <w:bCs/>
          <w:i/>
          <w:iCs/>
          <w:color w:val="000000"/>
          <w:szCs w:val="24"/>
        </w:rPr>
        <w:t>Strengths </w:t>
      </w:r>
    </w:p>
    <w:p w:rsidR="00584AAF" w:rsidRPr="00584AAF" w:rsidRDefault="00584AAF" w:rsidP="00584AAF">
      <w:pPr>
        <w:rPr>
          <w:rFonts w:eastAsia="Times New Roman"/>
          <w:szCs w:val="24"/>
        </w:rPr>
      </w:pPr>
      <w:r w:rsidRPr="00584AAF">
        <w:rPr>
          <w:rFonts w:eastAsia="Times New Roman"/>
          <w:color w:val="000000"/>
          <w:szCs w:val="24"/>
        </w:rPr>
        <w:t>The epidemiological approach regarding the problem of disability and health inequalities has several strengths regarding its features like data quality, temporal sequence and multi</w:t>
      </w:r>
      <w:r w:rsidRPr="00F73F0F">
        <w:rPr>
          <w:rFonts w:eastAsia="Times New Roman"/>
          <w:color w:val="000000"/>
          <w:szCs w:val="24"/>
        </w:rPr>
        <w:t>-</w:t>
      </w:r>
      <w:r w:rsidRPr="00584AAF">
        <w:rPr>
          <w:rFonts w:eastAsia="Times New Roman"/>
          <w:color w:val="000000"/>
          <w:szCs w:val="24"/>
        </w:rPr>
        <w:t>factorial analysis. For instance, the approach can allow the individuals to assess data on the basis of reasonable adjustments, better visibility of improved health outcomes and better control of the disability. In supporting this, Bitetto</w:t>
      </w:r>
      <w:r w:rsidRPr="00584AAF">
        <w:rPr>
          <w:rFonts w:eastAsia="Times New Roman"/>
          <w:i/>
          <w:iCs/>
          <w:color w:val="000000"/>
          <w:szCs w:val="24"/>
        </w:rPr>
        <w:t>et al.</w:t>
      </w:r>
      <w:r w:rsidRPr="00584AAF">
        <w:rPr>
          <w:rFonts w:eastAsia="Times New Roman"/>
          <w:color w:val="000000"/>
          <w:szCs w:val="24"/>
        </w:rPr>
        <w:t xml:space="preserve"> (2021, p. 24037) have stated that data-driven intervention with substantial epidemiological approach can impose positive outputs for program implementation and control of the information. Thus, the epidemiological approach regarding the proposed intervention has been strengthened through its control and data visibility capability.   </w:t>
      </w:r>
    </w:p>
    <w:p w:rsidR="00584AAF" w:rsidRPr="00584AAF" w:rsidRDefault="00584AAF" w:rsidP="00584AAF">
      <w:pPr>
        <w:rPr>
          <w:rFonts w:eastAsia="Times New Roman"/>
          <w:szCs w:val="24"/>
        </w:rPr>
      </w:pPr>
      <w:r w:rsidRPr="00584AAF">
        <w:rPr>
          <w:rFonts w:eastAsia="Times New Roman"/>
          <w:b/>
          <w:bCs/>
          <w:i/>
          <w:iCs/>
          <w:color w:val="000000"/>
          <w:szCs w:val="24"/>
        </w:rPr>
        <w:t>Weaknesses </w:t>
      </w:r>
    </w:p>
    <w:p w:rsidR="00584AAF" w:rsidRPr="00584AAF" w:rsidRDefault="00584AAF" w:rsidP="00584AAF">
      <w:pPr>
        <w:rPr>
          <w:rFonts w:eastAsia="Times New Roman"/>
          <w:szCs w:val="24"/>
        </w:rPr>
      </w:pPr>
      <w:r w:rsidRPr="00584AAF">
        <w:rPr>
          <w:rFonts w:eastAsia="Times New Roman"/>
          <w:color w:val="000000"/>
          <w:szCs w:val="24"/>
        </w:rPr>
        <w:t>Unlike the strengths, the epidemiological approach has certain weaknesses like selection bias, loss to follow-up and complexities. Sarri</w:t>
      </w:r>
      <w:r w:rsidRPr="00584AAF">
        <w:rPr>
          <w:rFonts w:eastAsia="Times New Roman"/>
          <w:i/>
          <w:iCs/>
          <w:color w:val="000000"/>
          <w:szCs w:val="24"/>
        </w:rPr>
        <w:t>et al.</w:t>
      </w:r>
      <w:r w:rsidRPr="00584AAF">
        <w:rPr>
          <w:rFonts w:eastAsia="Times New Roman"/>
          <w:color w:val="000000"/>
          <w:szCs w:val="24"/>
        </w:rPr>
        <w:t xml:space="preserve"> (2022, p. 110) have argued that clinical decision-making, the establishment of direct causation, measurement errors and scope for bias have been possible difficulties in conducting the epidemiological study. Thus, the epidemiological approach regarding the proposed intervention program has weaknesses regarding bias and complexities.    </w:t>
      </w:r>
    </w:p>
    <w:p w:rsidR="00584AAF" w:rsidRPr="00F73F0F" w:rsidRDefault="00584AAF" w:rsidP="0013527E">
      <w:pPr>
        <w:pStyle w:val="Heading2"/>
      </w:pPr>
      <w:bookmarkStart w:id="21" w:name="_Toc216889492"/>
      <w:r w:rsidRPr="00F73F0F">
        <w:t>Conclusion</w:t>
      </w:r>
      <w:bookmarkEnd w:id="21"/>
      <w:r w:rsidRPr="00F73F0F">
        <w:t> </w:t>
      </w:r>
    </w:p>
    <w:p w:rsidR="00584AAF" w:rsidRPr="00F73F0F" w:rsidRDefault="00584AAF" w:rsidP="00584AAF">
      <w:pPr>
        <w:rPr>
          <w:rFonts w:eastAsia="Times New Roman"/>
          <w:szCs w:val="24"/>
        </w:rPr>
      </w:pPr>
      <w:r w:rsidRPr="00584AAF">
        <w:rPr>
          <w:rFonts w:eastAsia="Times New Roman"/>
          <w:color w:val="000000"/>
          <w:szCs w:val="24"/>
        </w:rPr>
        <w:t xml:space="preserve">This epidemiological analysis regarding the problem of “disability and health inequalities” has found the interconnectedness between health intervention programs and epidemiological approach. Hence, </w:t>
      </w:r>
      <w:r w:rsidR="004A4F76">
        <w:rPr>
          <w:rFonts w:eastAsia="Times New Roman"/>
          <w:color w:val="000000"/>
          <w:szCs w:val="24"/>
        </w:rPr>
        <w:t xml:space="preserve">the findingsconclude </w:t>
      </w:r>
      <w:r w:rsidRPr="00584AAF">
        <w:rPr>
          <w:rFonts w:eastAsia="Times New Roman"/>
          <w:color w:val="000000"/>
          <w:szCs w:val="24"/>
        </w:rPr>
        <w:t>that an accessible pathways intervention program, backed by an unbiased epidemiological approach can validate positive outcomes in health equality.</w:t>
      </w:r>
    </w:p>
    <w:p w:rsidR="004A4E66" w:rsidRPr="00F73F0F" w:rsidRDefault="004A4E66">
      <w:pPr>
        <w:rPr>
          <w:b/>
          <w:bCs/>
        </w:rPr>
      </w:pPr>
      <w:r w:rsidRPr="00F73F0F">
        <w:br w:type="page"/>
      </w:r>
    </w:p>
    <w:p w:rsidR="004A4E66" w:rsidRPr="00F73F0F" w:rsidRDefault="004A4E66" w:rsidP="00584AAF">
      <w:pPr>
        <w:pStyle w:val="Heading1"/>
        <w:rPr>
          <w:lang w:val="en-GB"/>
        </w:rPr>
      </w:pPr>
      <w:bookmarkStart w:id="22" w:name="_Toc216889493"/>
      <w:r w:rsidRPr="00F73F0F">
        <w:rPr>
          <w:lang w:val="en-GB"/>
        </w:rPr>
        <w:t>References</w:t>
      </w:r>
      <w:bookmarkEnd w:id="22"/>
    </w:p>
    <w:p w:rsidR="002259AC" w:rsidRPr="002259AC" w:rsidRDefault="002259AC" w:rsidP="002259AC">
      <w:pPr>
        <w:spacing w:after="240"/>
      </w:pPr>
      <w:r w:rsidRPr="002259AC">
        <w:t xml:space="preserve">AgeUK. (2024). </w:t>
      </w:r>
      <w:r w:rsidRPr="002259AC">
        <w:rPr>
          <w:i/>
        </w:rPr>
        <w:t xml:space="preserve">New Age UK analysis finds that 28,655 older people died waiting for social care in the most recent year for which figures are available. </w:t>
      </w:r>
      <w:r w:rsidRPr="002259AC">
        <w:t xml:space="preserve"> Available at: </w:t>
      </w:r>
      <w:hyperlink r:id="rId20" w:history="1">
        <w:r w:rsidRPr="002259AC">
          <w:rPr>
            <w:rStyle w:val="Hyperlink"/>
          </w:rPr>
          <w:t>https://www.ageuk.org.uk/latest-press/articles/2024/new-age-uk-analysis-finds-that-28655-older-people-died-waiting-for-social-care-in-the-most-recent-year-for-which-figures-are-available/</w:t>
        </w:r>
      </w:hyperlink>
      <w:r w:rsidRPr="002259AC">
        <w:t xml:space="preserve"> (Accessed: 17 December 2025).</w:t>
      </w:r>
    </w:p>
    <w:p w:rsidR="002259AC" w:rsidRPr="002259AC" w:rsidRDefault="002259AC" w:rsidP="002259AC">
      <w:pPr>
        <w:spacing w:after="240"/>
      </w:pPr>
      <w:r w:rsidRPr="002259AC">
        <w:t xml:space="preserve">AgeUK. (2024). </w:t>
      </w:r>
      <w:r w:rsidRPr="002259AC">
        <w:rPr>
          <w:i/>
        </w:rPr>
        <w:t xml:space="preserve">State of Health and Care of Older People in England 2024. </w:t>
      </w:r>
      <w:r w:rsidRPr="002259AC">
        <w:t xml:space="preserve"> Available at: </w:t>
      </w:r>
      <w:hyperlink r:id="rId21" w:history="1">
        <w:r w:rsidRPr="002259AC">
          <w:rPr>
            <w:rStyle w:val="Hyperlink"/>
          </w:rPr>
          <w:t>https://www.ageuk.org.uk/discover/2024/september/state-of-health-and-care-of-older-people-in-england-2024/</w:t>
        </w:r>
      </w:hyperlink>
      <w:r w:rsidRPr="002259AC">
        <w:t xml:space="preserve"> (Accessed: 17 December 2025).</w:t>
      </w:r>
    </w:p>
    <w:p w:rsidR="002259AC" w:rsidRPr="002259AC" w:rsidRDefault="002259AC" w:rsidP="002259AC">
      <w:pPr>
        <w:pStyle w:val="Normal1"/>
        <w:spacing w:after="240"/>
      </w:pPr>
      <w:r w:rsidRPr="002259AC">
        <w:t xml:space="preserve">Atkin, K., Berghs, M. and Chattoo, S., (2023). ‘Representing disabling experiences: Rethinking quality of life when evaluating public health interventions’. </w:t>
      </w:r>
      <w:r w:rsidRPr="002259AC">
        <w:rPr>
          <w:i/>
          <w:iCs/>
        </w:rPr>
        <w:t>Politics &amp; Policy</w:t>
      </w:r>
      <w:r w:rsidRPr="002259AC">
        <w:t xml:space="preserve">, </w:t>
      </w:r>
      <w:r w:rsidRPr="002259AC">
        <w:rPr>
          <w:i/>
          <w:iCs/>
        </w:rPr>
        <w:t>51</w:t>
      </w:r>
      <w:r w:rsidRPr="002259AC">
        <w:t>(1), pp.41-58.</w:t>
      </w:r>
    </w:p>
    <w:p w:rsidR="002259AC" w:rsidRPr="002259AC" w:rsidRDefault="002259AC" w:rsidP="002259AC">
      <w:pPr>
        <w:pStyle w:val="Normal1"/>
        <w:spacing w:after="240"/>
      </w:pPr>
      <w:r w:rsidRPr="002259AC">
        <w:t xml:space="preserve">Bitetto, A., Cerchiello, P. and Mertzanis, C., (2021). ‘A data-driven approach to measuring epidemiological susceptibility risk around the world’. </w:t>
      </w:r>
      <w:r w:rsidRPr="002259AC">
        <w:rPr>
          <w:i/>
          <w:iCs/>
        </w:rPr>
        <w:t>Scientific Reports</w:t>
      </w:r>
      <w:r w:rsidRPr="002259AC">
        <w:t xml:space="preserve">, </w:t>
      </w:r>
      <w:r w:rsidRPr="002259AC">
        <w:rPr>
          <w:i/>
          <w:iCs/>
        </w:rPr>
        <w:t>11</w:t>
      </w:r>
      <w:r w:rsidRPr="002259AC">
        <w:t>(1), p.24037.</w:t>
      </w:r>
    </w:p>
    <w:p w:rsidR="002259AC" w:rsidRPr="002259AC" w:rsidRDefault="002259AC" w:rsidP="002259AC">
      <w:pPr>
        <w:spacing w:after="240"/>
      </w:pPr>
      <w:r w:rsidRPr="002259AC">
        <w:t xml:space="preserve">BMS. (2022). </w:t>
      </w:r>
      <w:r w:rsidRPr="002259AC">
        <w:rPr>
          <w:i/>
        </w:rPr>
        <w:t xml:space="preserve">The Mental Health of Older People. </w:t>
      </w:r>
      <w:r w:rsidRPr="002259AC">
        <w:t xml:space="preserve"> Available at: </w:t>
      </w:r>
      <w:hyperlink r:id="rId22" w:history="1">
        <w:r w:rsidRPr="002259AC">
          <w:rPr>
            <w:rStyle w:val="Hyperlink"/>
          </w:rPr>
          <w:t>https://cms.bps.org.uk/sites/default/files/2022-05/Revised%20Age%20Equality%20FPOP%20Sept%202020.pdf</w:t>
        </w:r>
      </w:hyperlink>
      <w:r w:rsidRPr="002259AC">
        <w:t xml:space="preserve"> (Accessed: 17 December 2025).</w:t>
      </w:r>
    </w:p>
    <w:p w:rsidR="002259AC" w:rsidRPr="002259AC" w:rsidRDefault="002259AC" w:rsidP="002259AC">
      <w:pPr>
        <w:pStyle w:val="Normal1"/>
        <w:spacing w:after="240"/>
        <w:rPr>
          <w:lang w:val="en-GB"/>
        </w:rPr>
      </w:pPr>
      <w:r w:rsidRPr="002259AC">
        <w:rPr>
          <w:lang w:val="en-GB"/>
        </w:rPr>
        <w:t xml:space="preserve">Disability Rights UK (2020) </w:t>
      </w:r>
      <w:r w:rsidRPr="002259AC">
        <w:rPr>
          <w:i/>
          <w:iCs/>
          <w:lang w:val="en-GB"/>
        </w:rPr>
        <w:t>Nearly half of everyone in poverty is either a disabled person or lives with a disabled person | Disability Rights UK</w:t>
      </w:r>
      <w:r w:rsidRPr="002259AC">
        <w:rPr>
          <w:lang w:val="en-GB"/>
        </w:rPr>
        <w:t xml:space="preserve">, </w:t>
      </w:r>
      <w:r w:rsidRPr="002259AC">
        <w:rPr>
          <w:i/>
          <w:iCs/>
          <w:lang w:val="en-GB"/>
        </w:rPr>
        <w:t>Disabilityrightsuk.org</w:t>
      </w:r>
      <w:r w:rsidRPr="002259AC">
        <w:rPr>
          <w:lang w:val="en-GB"/>
        </w:rPr>
        <w:t xml:space="preserve">. Available at: </w:t>
      </w:r>
      <w:hyperlink r:id="rId23">
        <w:r w:rsidRPr="002259AC">
          <w:rPr>
            <w:color w:val="1155CC"/>
            <w:u w:val="single"/>
            <w:lang w:val="en-GB"/>
          </w:rPr>
          <w:t>https://www.disabilityrightsuk.org/news/2020/february/nearly-half-everyone-poverty-either-disabled-person-or-lives-disabled-person?srsltid=AfmBOoo0YsOH8U5Eu-WahTGZHUt4HptH5I-IxgxVf_-_ixGn7RMUaMdT</w:t>
        </w:r>
      </w:hyperlink>
      <w:r w:rsidRPr="002259AC">
        <w:rPr>
          <w:lang w:val="en-GB"/>
        </w:rPr>
        <w:t xml:space="preserve"> (Accessed: 14 December 2025).</w:t>
      </w:r>
    </w:p>
    <w:p w:rsidR="002259AC" w:rsidRPr="002259AC" w:rsidRDefault="002259AC" w:rsidP="002259AC">
      <w:pPr>
        <w:spacing w:after="240"/>
      </w:pPr>
      <w:r w:rsidRPr="002259AC">
        <w:t xml:space="preserve">Gov.uk. (2025). </w:t>
      </w:r>
      <w:r w:rsidRPr="002259AC">
        <w:rPr>
          <w:i/>
        </w:rPr>
        <w:t xml:space="preserve">Community Life Survey 2023/24: Loneliness and support network. </w:t>
      </w:r>
      <w:r w:rsidRPr="002259AC">
        <w:t xml:space="preserve"> Available at: </w:t>
      </w:r>
      <w:hyperlink r:id="rId24" w:history="1">
        <w:r w:rsidRPr="002259AC">
          <w:rPr>
            <w:rStyle w:val="Hyperlink"/>
          </w:rPr>
          <w:t>https://www.gov.uk/government/statistics/community-life-survey-202324-annual-publication/community-life-survey-202324-loneliness-and-support-networks--2</w:t>
        </w:r>
      </w:hyperlink>
      <w:r w:rsidRPr="002259AC">
        <w:t xml:space="preserve"> (Accessed: 17 December 2025).</w:t>
      </w:r>
    </w:p>
    <w:p w:rsidR="002259AC" w:rsidRPr="002259AC" w:rsidRDefault="002259AC" w:rsidP="002259AC">
      <w:pPr>
        <w:spacing w:after="240"/>
      </w:pPr>
      <w:r w:rsidRPr="002259AC">
        <w:t xml:space="preserve">Gregory, A. (2021). </w:t>
      </w:r>
      <w:r w:rsidRPr="002259AC">
        <w:rPr>
          <w:i/>
        </w:rPr>
        <w:t>England has highest death rates of older patients in western world, study finds</w:t>
      </w:r>
      <w:r w:rsidRPr="002259AC">
        <w:t xml:space="preserve">. Available at: </w:t>
      </w:r>
      <w:hyperlink r:id="rId25" w:history="1">
        <w:r w:rsidRPr="002259AC">
          <w:rPr>
            <w:rStyle w:val="Hyperlink"/>
          </w:rPr>
          <w:t>https://www.theguardian.com/society/2021/nov/10/england-has-highest-death-rates-of-older-patients-in-western-world-study-finds</w:t>
        </w:r>
      </w:hyperlink>
      <w:r w:rsidRPr="002259AC">
        <w:t xml:space="preserve"> (Accessed: 17 December 2025).</w:t>
      </w:r>
    </w:p>
    <w:p w:rsidR="002259AC" w:rsidRPr="002259AC" w:rsidRDefault="002259AC" w:rsidP="002259AC">
      <w:pPr>
        <w:spacing w:after="240"/>
      </w:pPr>
      <w:r w:rsidRPr="002259AC">
        <w:t xml:space="preserve">Halliday, J. (2025). </w:t>
      </w:r>
      <w:r w:rsidRPr="002259AC">
        <w:rPr>
          <w:i/>
        </w:rPr>
        <w:t>Britain’s ‘medieval’ health inequality is devastating NHS, experts say</w:t>
      </w:r>
      <w:r w:rsidRPr="002259AC">
        <w:t xml:space="preserve">. Available at: </w:t>
      </w:r>
      <w:hyperlink r:id="rId26" w:history="1">
        <w:r w:rsidRPr="002259AC">
          <w:rPr>
            <w:rStyle w:val="Hyperlink"/>
          </w:rPr>
          <w:t>https://www.theguardian.com/society/2025/jun/29/britains-medieval-health-inequality-is-devastating-nhs-experts-say</w:t>
        </w:r>
      </w:hyperlink>
      <w:r w:rsidRPr="002259AC">
        <w:t xml:space="preserve"> (Accessed: 17 December 2025).</w:t>
      </w:r>
    </w:p>
    <w:p w:rsidR="002259AC" w:rsidRPr="002259AC" w:rsidRDefault="002259AC" w:rsidP="002259AC">
      <w:pPr>
        <w:pStyle w:val="Normal1"/>
        <w:spacing w:after="240"/>
      </w:pPr>
      <w:r w:rsidRPr="002259AC">
        <w:t>Hallyburton, A., (2022). ‘Diagnostic overshadowing: An evolutionary concept analysis on the misattribution of physical symptoms to pre</w:t>
      </w:r>
      <w:r w:rsidRPr="002259AC">
        <w:rPr>
          <w:rFonts w:ascii="Cambria Math" w:hAnsi="Cambria Math"/>
        </w:rPr>
        <w:t>‐</w:t>
      </w:r>
      <w:r w:rsidRPr="002259AC">
        <w:t xml:space="preserve">existing psychological illnesses’. </w:t>
      </w:r>
      <w:r w:rsidRPr="002259AC">
        <w:rPr>
          <w:i/>
          <w:iCs/>
        </w:rPr>
        <w:t>International Journal of Mental Health Nursing</w:t>
      </w:r>
      <w:r w:rsidRPr="002259AC">
        <w:t xml:space="preserve">, </w:t>
      </w:r>
      <w:r w:rsidRPr="002259AC">
        <w:rPr>
          <w:i/>
          <w:iCs/>
        </w:rPr>
        <w:t>31</w:t>
      </w:r>
      <w:r w:rsidRPr="002259AC">
        <w:t>(6), pp.1360-1372.</w:t>
      </w:r>
    </w:p>
    <w:p w:rsidR="002259AC" w:rsidRPr="002259AC" w:rsidRDefault="002259AC" w:rsidP="002259AC">
      <w:pPr>
        <w:pStyle w:val="Normal1"/>
        <w:spacing w:after="240"/>
        <w:rPr>
          <w:lang w:val="en-GB"/>
        </w:rPr>
      </w:pPr>
      <w:r w:rsidRPr="002259AC">
        <w:rPr>
          <w:lang w:val="en-GB"/>
        </w:rPr>
        <w:t xml:space="preserve">Kirk-Wade, E., Stiebahl, S. and Wong, H. (2024) </w:t>
      </w:r>
      <w:r w:rsidRPr="002259AC">
        <w:rPr>
          <w:i/>
          <w:iCs/>
          <w:lang w:val="en-GB"/>
        </w:rPr>
        <w:t>UK disability statistics: Prevalence and life experiences</w:t>
      </w:r>
      <w:r w:rsidRPr="002259AC">
        <w:rPr>
          <w:lang w:val="en-GB"/>
        </w:rPr>
        <w:t xml:space="preserve">, </w:t>
      </w:r>
      <w:r w:rsidRPr="002259AC">
        <w:rPr>
          <w:i/>
          <w:iCs/>
          <w:lang w:val="en-GB"/>
        </w:rPr>
        <w:t>House of Common Library</w:t>
      </w:r>
      <w:r w:rsidRPr="002259AC">
        <w:rPr>
          <w:lang w:val="en-GB"/>
        </w:rPr>
        <w:t xml:space="preserve">, pp. 1–44. </w:t>
      </w:r>
    </w:p>
    <w:p w:rsidR="002259AC" w:rsidRPr="002259AC" w:rsidRDefault="002259AC" w:rsidP="002259AC">
      <w:pPr>
        <w:pStyle w:val="Normal1"/>
        <w:spacing w:after="240"/>
        <w:rPr>
          <w:lang w:val="en-GB"/>
        </w:rPr>
      </w:pPr>
      <w:r w:rsidRPr="002259AC">
        <w:rPr>
          <w:lang w:val="en-GB"/>
        </w:rPr>
        <w:t xml:space="preserve">NHS (2021) </w:t>
      </w:r>
      <w:r w:rsidRPr="002259AC">
        <w:rPr>
          <w:i/>
          <w:iCs/>
          <w:lang w:val="en-GB"/>
        </w:rPr>
        <w:t>Learning Disabilities Mortality Review (LeDeR) Annual Report January 2020 to March 2021 Learning from deaths of people with a learning disability</w:t>
      </w:r>
      <w:r w:rsidRPr="002259AC">
        <w:rPr>
          <w:lang w:val="en-GB"/>
        </w:rPr>
        <w:t xml:space="preserve">, </w:t>
      </w:r>
      <w:r w:rsidRPr="002259AC">
        <w:rPr>
          <w:i/>
          <w:iCs/>
          <w:lang w:val="en-GB"/>
        </w:rPr>
        <w:t>NHS</w:t>
      </w:r>
      <w:r w:rsidRPr="002259AC">
        <w:rPr>
          <w:lang w:val="en-GB"/>
        </w:rPr>
        <w:t xml:space="preserve">. Available at: </w:t>
      </w:r>
      <w:hyperlink r:id="rId27">
        <w:r w:rsidRPr="002259AC">
          <w:rPr>
            <w:color w:val="1155CC"/>
            <w:u w:val="single"/>
            <w:lang w:val="en-GB"/>
          </w:rPr>
          <w:t>https://bnssghealthiertogether.org.uk/wp-content/uploads/2024/10/LeDeR_annual_report_20_21.pdf</w:t>
        </w:r>
      </w:hyperlink>
      <w:r w:rsidRPr="002259AC">
        <w:rPr>
          <w:lang w:val="en-GB"/>
        </w:rPr>
        <w:t xml:space="preserve"> (Accessed: 17 December 2025).</w:t>
      </w:r>
    </w:p>
    <w:p w:rsidR="002259AC" w:rsidRPr="002259AC" w:rsidRDefault="002259AC" w:rsidP="002259AC">
      <w:pPr>
        <w:pStyle w:val="Normal1"/>
        <w:spacing w:after="240"/>
        <w:rPr>
          <w:lang w:val="en-GB"/>
        </w:rPr>
      </w:pPr>
      <w:r w:rsidRPr="002259AC">
        <w:rPr>
          <w:lang w:val="en-GB"/>
        </w:rPr>
        <w:t xml:space="preserve">NHS England (2022) </w:t>
      </w:r>
      <w:r w:rsidRPr="002259AC">
        <w:rPr>
          <w:i/>
          <w:iCs/>
          <w:lang w:val="en-GB"/>
        </w:rPr>
        <w:t>NHS England» Learning from lives and deaths – People with a learning disability and autistic people (LeDeR)</w:t>
      </w:r>
      <w:r w:rsidRPr="002259AC">
        <w:rPr>
          <w:lang w:val="en-GB"/>
        </w:rPr>
        <w:t xml:space="preserve">, </w:t>
      </w:r>
      <w:r w:rsidRPr="002259AC">
        <w:rPr>
          <w:i/>
          <w:iCs/>
          <w:lang w:val="en-GB"/>
        </w:rPr>
        <w:t>www.england.nhs.uk</w:t>
      </w:r>
      <w:r w:rsidRPr="002259AC">
        <w:rPr>
          <w:lang w:val="en-GB"/>
        </w:rPr>
        <w:t xml:space="preserve">. Available at: </w:t>
      </w:r>
      <w:hyperlink r:id="rId28">
        <w:r w:rsidRPr="002259AC">
          <w:rPr>
            <w:color w:val="1155CC"/>
            <w:u w:val="single"/>
            <w:lang w:val="en-GB"/>
          </w:rPr>
          <w:t>https://www.england.nhs.uk/learning-disabilities/improving-health/learning-from-lives-and-deaths/</w:t>
        </w:r>
      </w:hyperlink>
      <w:r w:rsidRPr="002259AC">
        <w:rPr>
          <w:lang w:val="en-GB"/>
        </w:rPr>
        <w:t xml:space="preserve"> (Accessed: 17 December 2025).</w:t>
      </w:r>
    </w:p>
    <w:p w:rsidR="002259AC" w:rsidRPr="002259AC" w:rsidRDefault="002259AC" w:rsidP="002259AC">
      <w:pPr>
        <w:spacing w:after="240"/>
      </w:pPr>
      <w:r w:rsidRPr="002259AC">
        <w:t xml:space="preserve">NHS. (2022). </w:t>
      </w:r>
      <w:r w:rsidRPr="002259AC">
        <w:rPr>
          <w:i/>
        </w:rPr>
        <w:t xml:space="preserve">Adult Psychiatric Morbidity Survey: Survey of Mental Health and Wellbeing, England, 2023/4. </w:t>
      </w:r>
      <w:r w:rsidRPr="002259AC">
        <w:t xml:space="preserve"> Available at: </w:t>
      </w:r>
      <w:hyperlink r:id="rId29" w:anchor="1-2-definitions-and-assessments" w:history="1">
        <w:r w:rsidRPr="002259AC">
          <w:rPr>
            <w:rStyle w:val="Hyperlink"/>
          </w:rPr>
          <w:t>https://digital.nhs.uk/data-and-information/publications/statistical/adult-psychiatric-morbidity-survey/survey-of-mental-health-and-wellbeing-england-2023-24/common-mental-health-conditions#1-2-definitions-and-assessments</w:t>
        </w:r>
      </w:hyperlink>
      <w:r w:rsidRPr="002259AC">
        <w:t xml:space="preserve"> (Accessed: 17 December 2025).</w:t>
      </w:r>
    </w:p>
    <w:p w:rsidR="002259AC" w:rsidRPr="002259AC" w:rsidRDefault="002259AC" w:rsidP="002259AC">
      <w:pPr>
        <w:spacing w:after="240"/>
      </w:pPr>
      <w:r w:rsidRPr="002259AC">
        <w:t xml:space="preserve">Owen, M. (2025). </w:t>
      </w:r>
      <w:r w:rsidRPr="002259AC">
        <w:rPr>
          <w:i/>
        </w:rPr>
        <w:t>How does London's housing crisis affect the UK economy?</w:t>
      </w:r>
      <w:r w:rsidRPr="002259AC">
        <w:t xml:space="preserve"> Available at: </w:t>
      </w:r>
      <w:hyperlink r:id="rId30" w:history="1">
        <w:r w:rsidRPr="002259AC">
          <w:rPr>
            <w:rStyle w:val="Hyperlink"/>
          </w:rPr>
          <w:t>https://www.bbc.com/news/articles/c1k0lyy7wvdo</w:t>
        </w:r>
      </w:hyperlink>
      <w:r w:rsidRPr="002259AC">
        <w:t xml:space="preserve"> (Accessed: 17 December 2025).</w:t>
      </w:r>
    </w:p>
    <w:p w:rsidR="002259AC" w:rsidRPr="002259AC" w:rsidRDefault="002259AC" w:rsidP="002259AC">
      <w:pPr>
        <w:pStyle w:val="Normal1"/>
        <w:spacing w:after="240"/>
        <w:rPr>
          <w:lang w:val="en-GB"/>
        </w:rPr>
      </w:pPr>
      <w:r w:rsidRPr="002259AC">
        <w:rPr>
          <w:lang w:val="en-GB"/>
        </w:rPr>
        <w:t xml:space="preserve">Pezzin, L.E., Bogner, H.R., Kurichi, J.E., Kwong, P.L., Streim, J.E., Xie, D., Na, L. and Hennessy, S. (2018) ‘Preventable hospitalizations, barriers to care, and disability’, </w:t>
      </w:r>
      <w:r w:rsidRPr="002259AC">
        <w:rPr>
          <w:i/>
          <w:iCs/>
          <w:lang w:val="en-GB"/>
        </w:rPr>
        <w:t>Medicine</w:t>
      </w:r>
      <w:r w:rsidRPr="002259AC">
        <w:rPr>
          <w:lang w:val="en-GB"/>
        </w:rPr>
        <w:t xml:space="preserve">, 97(19), p. e0691. </w:t>
      </w:r>
    </w:p>
    <w:p w:rsidR="002259AC" w:rsidRPr="002259AC" w:rsidRDefault="002259AC" w:rsidP="002259AC">
      <w:pPr>
        <w:pStyle w:val="Normal1"/>
        <w:spacing w:after="240"/>
      </w:pPr>
      <w:r w:rsidRPr="002259AC">
        <w:t xml:space="preserve">Sarri, G., Patorno, E., Yuan, H., Guo, J.J., Bennett, D., Wen, X., Zullo, A.R., Largent, J., Panaccio, M., Gokhale, M. and Moga, D.C., (2022). ‘Framework for the synthesis of non-randomised studies and randomised controlled trials: a guidance on conducting a systematic review and meta-analysis for healthcare decision making’. </w:t>
      </w:r>
      <w:r w:rsidRPr="002259AC">
        <w:rPr>
          <w:i/>
          <w:iCs/>
        </w:rPr>
        <w:t>BMJ evidence-based medicine</w:t>
      </w:r>
      <w:r w:rsidRPr="002259AC">
        <w:t xml:space="preserve">, </w:t>
      </w:r>
      <w:r w:rsidRPr="002259AC">
        <w:rPr>
          <w:i/>
          <w:iCs/>
        </w:rPr>
        <w:t>27</w:t>
      </w:r>
      <w:r w:rsidRPr="002259AC">
        <w:t>(2), pp.109-119.</w:t>
      </w:r>
    </w:p>
    <w:p w:rsidR="002259AC" w:rsidRPr="002259AC" w:rsidRDefault="002259AC" w:rsidP="002259AC">
      <w:pPr>
        <w:spacing w:after="240"/>
      </w:pPr>
      <w:r w:rsidRPr="002259AC">
        <w:t xml:space="preserve">Schlepper, L. and Dodsworth, E. (2023). </w:t>
      </w:r>
      <w:r w:rsidRPr="002259AC">
        <w:rPr>
          <w:i/>
        </w:rPr>
        <w:t>The decline of publicly funded social care for older adults</w:t>
      </w:r>
      <w:r w:rsidRPr="002259AC">
        <w:t xml:space="preserve">. Available at: </w:t>
      </w:r>
      <w:hyperlink r:id="rId31" w:history="1">
        <w:r w:rsidRPr="002259AC">
          <w:rPr>
            <w:rStyle w:val="Hyperlink"/>
          </w:rPr>
          <w:t>https://www.nuffieldtrust.org.uk/resource/the-decline-of-publicly-funded-social-care-for-older-adults</w:t>
        </w:r>
      </w:hyperlink>
      <w:r w:rsidRPr="002259AC">
        <w:t xml:space="preserve"> (Accessed: 17 December 2025).</w:t>
      </w:r>
    </w:p>
    <w:p w:rsidR="002259AC" w:rsidRPr="002259AC" w:rsidRDefault="002259AC" w:rsidP="002259AC">
      <w:pPr>
        <w:pStyle w:val="Normal1"/>
        <w:spacing w:after="240"/>
        <w:rPr>
          <w:lang w:val="en-GB"/>
        </w:rPr>
      </w:pPr>
      <w:r w:rsidRPr="002259AC">
        <w:rPr>
          <w:lang w:val="en-GB"/>
        </w:rPr>
        <w:t xml:space="preserve">Shumway, J., Ellis, J., Stephens, A., Lucia, B., Gilbert, R. and AniaZylbersztejn (2024) ‘Hospital-recorded chronic health conditions in children with and without Down syndrome in England: a national cohort of births from 2003 to 2019’, </w:t>
      </w:r>
      <w:r w:rsidRPr="002259AC">
        <w:rPr>
          <w:i/>
          <w:iCs/>
          <w:lang w:val="en-GB"/>
        </w:rPr>
        <w:t>Archives of Disease in Childhood</w:t>
      </w:r>
      <w:r w:rsidRPr="002259AC">
        <w:rPr>
          <w:lang w:val="en-GB"/>
        </w:rPr>
        <w:t xml:space="preserve">, 1(1), p. archdischild-327532. </w:t>
      </w:r>
    </w:p>
    <w:p w:rsidR="002259AC" w:rsidRPr="002259AC" w:rsidRDefault="002259AC" w:rsidP="002259AC">
      <w:pPr>
        <w:spacing w:after="240"/>
      </w:pPr>
      <w:r w:rsidRPr="002259AC">
        <w:t xml:space="preserve">UK Parliament. (2024). </w:t>
      </w:r>
      <w:r w:rsidRPr="002259AC">
        <w:rPr>
          <w:i/>
        </w:rPr>
        <w:t xml:space="preserve">Mental health statistics: prevalence, services and funding in England. </w:t>
      </w:r>
      <w:r w:rsidRPr="002259AC">
        <w:t xml:space="preserve"> Available at: </w:t>
      </w:r>
      <w:hyperlink r:id="rId32" w:history="1">
        <w:r w:rsidRPr="002259AC">
          <w:rPr>
            <w:rStyle w:val="Hyperlink"/>
          </w:rPr>
          <w:t>https://commonslibrary.parliament.uk/research-briefings/sn06988/</w:t>
        </w:r>
      </w:hyperlink>
      <w:r w:rsidRPr="002259AC">
        <w:t xml:space="preserve"> (Accessed: 17 December 2025).</w:t>
      </w:r>
    </w:p>
    <w:p w:rsidR="002259AC" w:rsidRPr="002259AC" w:rsidRDefault="002259AC" w:rsidP="002259AC">
      <w:pPr>
        <w:spacing w:after="240"/>
      </w:pPr>
      <w:r w:rsidRPr="002259AC">
        <w:t xml:space="preserve">UK Parliament. (2025). </w:t>
      </w:r>
      <w:r w:rsidRPr="002259AC">
        <w:rPr>
          <w:i/>
        </w:rPr>
        <w:t xml:space="preserve">Loneliness and isolation in elderly and vulnerable people. </w:t>
      </w:r>
      <w:r w:rsidRPr="002259AC">
        <w:t xml:space="preserve"> Available at: </w:t>
      </w:r>
      <w:hyperlink r:id="rId33" w:history="1">
        <w:r w:rsidRPr="002259AC">
          <w:rPr>
            <w:rStyle w:val="Hyperlink"/>
          </w:rPr>
          <w:t>https://researchbriefings.files.parliament.uk/documents/CDP-2023-0215/CDP-2023-0215.pdf</w:t>
        </w:r>
      </w:hyperlink>
      <w:r w:rsidRPr="002259AC">
        <w:t xml:space="preserve"> (Accessed: 17 December 2025).</w:t>
      </w:r>
    </w:p>
    <w:p w:rsidR="002259AC" w:rsidRPr="002259AC" w:rsidRDefault="002259AC" w:rsidP="002259AC">
      <w:pPr>
        <w:spacing w:after="240"/>
      </w:pPr>
      <w:r w:rsidRPr="002259AC">
        <w:t xml:space="preserve">UK Parliament. (2025). </w:t>
      </w:r>
      <w:r w:rsidRPr="002259AC">
        <w:rPr>
          <w:i/>
        </w:rPr>
        <w:t xml:space="preserve">Poverty in the UK: Statistics. </w:t>
      </w:r>
      <w:r w:rsidRPr="002259AC">
        <w:t xml:space="preserve"> Available at: </w:t>
      </w:r>
      <w:hyperlink r:id="rId34" w:history="1">
        <w:r w:rsidRPr="002259AC">
          <w:rPr>
            <w:rStyle w:val="Hyperlink"/>
          </w:rPr>
          <w:t>https://researchbriefings.files.parliament.uk/documents/SN07096/SN07096.pdf</w:t>
        </w:r>
      </w:hyperlink>
      <w:r w:rsidRPr="002259AC">
        <w:t xml:space="preserve"> (Accessed: 17 December 2025).</w:t>
      </w:r>
    </w:p>
    <w:p w:rsidR="002259AC" w:rsidRDefault="002259AC" w:rsidP="002259AC">
      <w:pPr>
        <w:pStyle w:val="Normal1"/>
        <w:spacing w:after="240"/>
        <w:rPr>
          <w:lang w:val="en-GB"/>
        </w:rPr>
      </w:pPr>
    </w:p>
    <w:p w:rsidR="009905D0" w:rsidRPr="00F73F0F" w:rsidRDefault="009905D0" w:rsidP="004A4E66">
      <w:pPr>
        <w:pStyle w:val="Normal1"/>
        <w:spacing w:after="200"/>
        <w:rPr>
          <w:lang w:val="en-GB"/>
        </w:rPr>
      </w:pPr>
    </w:p>
    <w:p w:rsidR="004A4E66" w:rsidRPr="00F73F0F" w:rsidRDefault="004A4E66" w:rsidP="004A4E66">
      <w:pPr>
        <w:pStyle w:val="Normal1"/>
        <w:spacing w:after="200"/>
        <w:rPr>
          <w:b/>
          <w:lang w:val="en-GB"/>
        </w:rPr>
      </w:pPr>
    </w:p>
    <w:sectPr w:rsidR="004A4E66" w:rsidRPr="00F73F0F" w:rsidSect="00BB3775">
      <w:footerReference w:type="default" r:id="rId35"/>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7F8D" w:rsidRDefault="00367F8D" w:rsidP="00BB3775">
      <w:pPr>
        <w:spacing w:line="240" w:lineRule="auto"/>
      </w:pPr>
      <w:r>
        <w:separator/>
      </w:r>
    </w:p>
  </w:endnote>
  <w:endnote w:type="continuationSeparator" w:id="0">
    <w:p w:rsidR="00367F8D" w:rsidRDefault="00367F8D" w:rsidP="00BB3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B262D3C-BF2C-438B-AD9A-496B8AD590D5}"/>
  </w:font>
  <w:font w:name="Calibri">
    <w:panose1 w:val="020F0502020204030204"/>
    <w:charset w:val="00"/>
    <w:family w:val="swiss"/>
    <w:pitch w:val="variable"/>
    <w:sig w:usb0="E4002EFF" w:usb1="C200247B" w:usb2="00000009" w:usb3="00000000" w:csb0="000001FF" w:csb1="00000000"/>
    <w:embedRegular r:id="rId2" w:fontKey="{3D3685F1-D20A-46E5-971F-FAE235290592}"/>
    <w:embedBold r:id="rId3" w:fontKey="{8B669964-4A9C-4623-9BFD-845715241233}"/>
  </w:font>
  <w:font w:name="Cambria">
    <w:panose1 w:val="02040503050406030204"/>
    <w:charset w:val="00"/>
    <w:family w:val="roman"/>
    <w:pitch w:val="variable"/>
    <w:sig w:usb0="E00006FF" w:usb1="420024FF" w:usb2="02000000" w:usb3="00000000" w:csb0="0000019F" w:csb1="00000000"/>
    <w:embedRegular r:id="rId4" w:fontKey="{A89AB217-EA7E-46D5-B8DB-EE4F079AC8DF}"/>
  </w:font>
  <w:font w:name="Cambria Math">
    <w:panose1 w:val="02040503050406030204"/>
    <w:charset w:val="00"/>
    <w:family w:val="roman"/>
    <w:pitch w:val="variable"/>
    <w:sig w:usb0="E00006FF" w:usb1="420024FF" w:usb2="02000000" w:usb3="00000000" w:csb0="0000019F" w:csb1="00000000"/>
    <w:embedRegular r:id="rId5" w:fontKey="{23A7014C-44A5-4385-99B3-D52E2DBDBE9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249719"/>
      <w:docPartObj>
        <w:docPartGallery w:val="Page Numbers (Bottom of Page)"/>
        <w:docPartUnique/>
      </w:docPartObj>
    </w:sdtPr>
    <w:sdtEndPr/>
    <w:sdtContent>
      <w:p w:rsidR="00BB3775" w:rsidRDefault="007A5F07">
        <w:pPr>
          <w:pStyle w:val="Footer"/>
          <w:jc w:val="right"/>
        </w:pPr>
        <w:r>
          <w:fldChar w:fldCharType="begin"/>
        </w:r>
        <w:r w:rsidR="008A76A3">
          <w:instrText xml:space="preserve"> PAGE   \* MERGEFORMAT </w:instrText>
        </w:r>
        <w:r>
          <w:fldChar w:fldCharType="separate"/>
        </w:r>
        <w:r w:rsidR="00367F8D">
          <w:rPr>
            <w:noProof/>
          </w:rPr>
          <w:t>1</w:t>
        </w:r>
        <w:r>
          <w:rPr>
            <w:noProof/>
          </w:rPr>
          <w:fldChar w:fldCharType="end"/>
        </w:r>
      </w:p>
    </w:sdtContent>
  </w:sdt>
  <w:p w:rsidR="00BB3775" w:rsidRDefault="00BB37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7F8D" w:rsidRDefault="00367F8D" w:rsidP="00BB3775">
      <w:pPr>
        <w:spacing w:line="240" w:lineRule="auto"/>
      </w:pPr>
      <w:r>
        <w:separator/>
      </w:r>
    </w:p>
  </w:footnote>
  <w:footnote w:type="continuationSeparator" w:id="0">
    <w:p w:rsidR="00367F8D" w:rsidRDefault="00367F8D" w:rsidP="00BB377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8D5339"/>
    <w:multiLevelType w:val="multilevel"/>
    <w:tmpl w:val="0C4A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D0A5956"/>
    <w:multiLevelType w:val="multilevel"/>
    <w:tmpl w:val="DCA4F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041740D"/>
    <w:multiLevelType w:val="multilevel"/>
    <w:tmpl w:val="CE728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CD41649"/>
    <w:multiLevelType w:val="multilevel"/>
    <w:tmpl w:val="5BDA3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D7B2DD0"/>
    <w:multiLevelType w:val="multilevel"/>
    <w:tmpl w:val="00E0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066898"/>
    <w:rsid w:val="00063251"/>
    <w:rsid w:val="00066898"/>
    <w:rsid w:val="00073EEB"/>
    <w:rsid w:val="000742CA"/>
    <w:rsid w:val="000A7760"/>
    <w:rsid w:val="000B45C6"/>
    <w:rsid w:val="000D26DE"/>
    <w:rsid w:val="0013527E"/>
    <w:rsid w:val="001B08AE"/>
    <w:rsid w:val="001B1A11"/>
    <w:rsid w:val="002259AC"/>
    <w:rsid w:val="00367F8D"/>
    <w:rsid w:val="003E38CB"/>
    <w:rsid w:val="00457EEB"/>
    <w:rsid w:val="004A4E66"/>
    <w:rsid w:val="004A4F76"/>
    <w:rsid w:val="004A57B7"/>
    <w:rsid w:val="004A5CED"/>
    <w:rsid w:val="004C73ED"/>
    <w:rsid w:val="00534921"/>
    <w:rsid w:val="005504D2"/>
    <w:rsid w:val="00557220"/>
    <w:rsid w:val="0057774B"/>
    <w:rsid w:val="00584AAF"/>
    <w:rsid w:val="0059638F"/>
    <w:rsid w:val="005E2BCC"/>
    <w:rsid w:val="00645538"/>
    <w:rsid w:val="00685890"/>
    <w:rsid w:val="006B060D"/>
    <w:rsid w:val="00726D33"/>
    <w:rsid w:val="00731097"/>
    <w:rsid w:val="0077220E"/>
    <w:rsid w:val="00775DD6"/>
    <w:rsid w:val="00777C0E"/>
    <w:rsid w:val="007A5F07"/>
    <w:rsid w:val="00814921"/>
    <w:rsid w:val="0086355D"/>
    <w:rsid w:val="008A76A3"/>
    <w:rsid w:val="008B582D"/>
    <w:rsid w:val="008F603F"/>
    <w:rsid w:val="009058B1"/>
    <w:rsid w:val="00920D8D"/>
    <w:rsid w:val="009309F6"/>
    <w:rsid w:val="009905D0"/>
    <w:rsid w:val="009C456B"/>
    <w:rsid w:val="009D77B5"/>
    <w:rsid w:val="00AC6D0A"/>
    <w:rsid w:val="00AD53B3"/>
    <w:rsid w:val="00B200E0"/>
    <w:rsid w:val="00BB0C72"/>
    <w:rsid w:val="00BB3775"/>
    <w:rsid w:val="00C105AB"/>
    <w:rsid w:val="00C30B32"/>
    <w:rsid w:val="00CD7615"/>
    <w:rsid w:val="00D02739"/>
    <w:rsid w:val="00D508FE"/>
    <w:rsid w:val="00D87533"/>
    <w:rsid w:val="00DB6516"/>
    <w:rsid w:val="00DE0C75"/>
    <w:rsid w:val="00DF2542"/>
    <w:rsid w:val="00E21023"/>
    <w:rsid w:val="00EC101C"/>
    <w:rsid w:val="00F545F5"/>
    <w:rsid w:val="00F6476E"/>
    <w:rsid w:val="00F73F0F"/>
    <w:rsid w:val="00F84D89"/>
    <w:rsid w:val="00F943A7"/>
    <w:rsid w:val="00FD3F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7C2B8F1-DD8F-490A-86F4-8807FD59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4921"/>
    <w:rPr>
      <w:lang w:val="en-GB"/>
    </w:rPr>
  </w:style>
  <w:style w:type="paragraph" w:styleId="Heading1">
    <w:name w:val="heading 1"/>
    <w:basedOn w:val="Normal1"/>
    <w:next w:val="Normal1"/>
    <w:rsid w:val="00584AAF"/>
    <w:pPr>
      <w:keepNext/>
      <w:keepLines/>
      <w:spacing w:before="120" w:after="120"/>
      <w:outlineLvl w:val="0"/>
    </w:pPr>
    <w:rPr>
      <w:b/>
      <w:bCs/>
    </w:rPr>
  </w:style>
  <w:style w:type="paragraph" w:styleId="Heading2">
    <w:name w:val="heading 2"/>
    <w:basedOn w:val="Normal1"/>
    <w:next w:val="Normal1"/>
    <w:rsid w:val="003E38CB"/>
    <w:pPr>
      <w:keepNext/>
      <w:keepLines/>
      <w:spacing w:before="120" w:after="120"/>
      <w:outlineLvl w:val="1"/>
    </w:pPr>
    <w:rPr>
      <w:b/>
      <w:bCs/>
    </w:rPr>
  </w:style>
  <w:style w:type="paragraph" w:styleId="Heading3">
    <w:name w:val="heading 3"/>
    <w:basedOn w:val="Normal1"/>
    <w:next w:val="Normal1"/>
    <w:rsid w:val="00066898"/>
    <w:pPr>
      <w:keepNext/>
      <w:keepLines/>
      <w:spacing w:before="320" w:after="80"/>
      <w:outlineLvl w:val="2"/>
    </w:pPr>
    <w:rPr>
      <w:color w:val="434343"/>
      <w:sz w:val="28"/>
      <w:szCs w:val="28"/>
    </w:rPr>
  </w:style>
  <w:style w:type="paragraph" w:styleId="Heading4">
    <w:name w:val="heading 4"/>
    <w:basedOn w:val="Normal1"/>
    <w:next w:val="Normal1"/>
    <w:rsid w:val="00066898"/>
    <w:pPr>
      <w:keepNext/>
      <w:keepLines/>
      <w:spacing w:before="280" w:after="80"/>
      <w:outlineLvl w:val="3"/>
    </w:pPr>
    <w:rPr>
      <w:color w:val="666666"/>
      <w:sz w:val="24"/>
      <w:szCs w:val="24"/>
    </w:rPr>
  </w:style>
  <w:style w:type="paragraph" w:styleId="Heading5">
    <w:name w:val="heading 5"/>
    <w:basedOn w:val="Normal1"/>
    <w:next w:val="Normal1"/>
    <w:rsid w:val="00066898"/>
    <w:pPr>
      <w:keepNext/>
      <w:keepLines/>
      <w:spacing w:before="240" w:after="80"/>
      <w:outlineLvl w:val="4"/>
    </w:pPr>
    <w:rPr>
      <w:color w:val="666666"/>
    </w:rPr>
  </w:style>
  <w:style w:type="paragraph" w:styleId="Heading6">
    <w:name w:val="heading 6"/>
    <w:basedOn w:val="Normal1"/>
    <w:next w:val="Normal1"/>
    <w:rsid w:val="00066898"/>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66898"/>
    <w:tblPr>
      <w:tblCellMar>
        <w:top w:w="100" w:type="dxa"/>
        <w:left w:w="100" w:type="dxa"/>
        <w:bottom w:w="100" w:type="dxa"/>
        <w:right w:w="100" w:type="dxa"/>
      </w:tblCellMar>
    </w:tblPr>
  </w:style>
  <w:style w:type="paragraph" w:customStyle="1" w:styleId="Normal1">
    <w:name w:val="Normal1"/>
    <w:rsid w:val="00066898"/>
  </w:style>
  <w:style w:type="paragraph" w:styleId="Title">
    <w:name w:val="Title"/>
    <w:basedOn w:val="Normal1"/>
    <w:next w:val="Normal1"/>
    <w:rsid w:val="00066898"/>
    <w:pPr>
      <w:keepNext/>
      <w:keepLines/>
      <w:spacing w:after="60"/>
    </w:pPr>
    <w:rPr>
      <w:sz w:val="52"/>
      <w:szCs w:val="52"/>
    </w:rPr>
  </w:style>
  <w:style w:type="paragraph" w:styleId="Subtitle">
    <w:name w:val="Subtitle"/>
    <w:basedOn w:val="Normal1"/>
    <w:next w:val="Normal1"/>
    <w:rsid w:val="0006689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66898"/>
    <w:pPr>
      <w:spacing w:line="240" w:lineRule="auto"/>
    </w:pPr>
    <w:rPr>
      <w:sz w:val="20"/>
      <w:szCs w:val="20"/>
    </w:rPr>
  </w:style>
  <w:style w:type="character" w:customStyle="1" w:styleId="CommentTextChar">
    <w:name w:val="Comment Text Char"/>
    <w:basedOn w:val="DefaultParagraphFont"/>
    <w:link w:val="CommentText"/>
    <w:uiPriority w:val="99"/>
    <w:semiHidden/>
    <w:rsid w:val="00066898"/>
    <w:rPr>
      <w:sz w:val="20"/>
      <w:szCs w:val="20"/>
    </w:rPr>
  </w:style>
  <w:style w:type="character" w:styleId="CommentReference">
    <w:name w:val="annotation reference"/>
    <w:basedOn w:val="DefaultParagraphFont"/>
    <w:uiPriority w:val="99"/>
    <w:semiHidden/>
    <w:unhideWhenUsed/>
    <w:rsid w:val="00066898"/>
    <w:rPr>
      <w:sz w:val="16"/>
      <w:szCs w:val="16"/>
    </w:rPr>
  </w:style>
  <w:style w:type="paragraph" w:styleId="BalloonText">
    <w:name w:val="Balloon Text"/>
    <w:basedOn w:val="Normal"/>
    <w:link w:val="BalloonTextChar"/>
    <w:uiPriority w:val="99"/>
    <w:semiHidden/>
    <w:unhideWhenUsed/>
    <w:rsid w:val="00F545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5F5"/>
    <w:rPr>
      <w:rFonts w:ascii="Tahoma" w:hAnsi="Tahoma" w:cs="Tahoma"/>
      <w:sz w:val="16"/>
      <w:szCs w:val="16"/>
    </w:rPr>
  </w:style>
  <w:style w:type="paragraph" w:styleId="DocumentMap">
    <w:name w:val="Document Map"/>
    <w:basedOn w:val="Normal"/>
    <w:link w:val="DocumentMapChar"/>
    <w:uiPriority w:val="99"/>
    <w:semiHidden/>
    <w:unhideWhenUsed/>
    <w:rsid w:val="00F545F5"/>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545F5"/>
    <w:rPr>
      <w:rFonts w:ascii="Tahoma" w:hAnsi="Tahoma" w:cs="Tahoma"/>
      <w:sz w:val="16"/>
      <w:szCs w:val="16"/>
    </w:rPr>
  </w:style>
  <w:style w:type="paragraph" w:styleId="Header">
    <w:name w:val="header"/>
    <w:basedOn w:val="Normal"/>
    <w:link w:val="HeaderChar"/>
    <w:uiPriority w:val="99"/>
    <w:semiHidden/>
    <w:unhideWhenUsed/>
    <w:rsid w:val="00BB37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3775"/>
    <w:rPr>
      <w:lang w:val="en-GB"/>
    </w:rPr>
  </w:style>
  <w:style w:type="paragraph" w:styleId="Footer">
    <w:name w:val="footer"/>
    <w:basedOn w:val="Normal"/>
    <w:link w:val="FooterChar"/>
    <w:uiPriority w:val="99"/>
    <w:unhideWhenUsed/>
    <w:rsid w:val="00BB3775"/>
    <w:pPr>
      <w:tabs>
        <w:tab w:val="center" w:pos="4680"/>
        <w:tab w:val="right" w:pos="9360"/>
      </w:tabs>
      <w:spacing w:line="240" w:lineRule="auto"/>
    </w:pPr>
  </w:style>
  <w:style w:type="character" w:customStyle="1" w:styleId="FooterChar">
    <w:name w:val="Footer Char"/>
    <w:basedOn w:val="DefaultParagraphFont"/>
    <w:link w:val="Footer"/>
    <w:uiPriority w:val="99"/>
    <w:rsid w:val="00BB3775"/>
    <w:rPr>
      <w:lang w:val="en-GB"/>
    </w:rPr>
  </w:style>
  <w:style w:type="paragraph" w:styleId="TOCHeading">
    <w:name w:val="TOC Heading"/>
    <w:basedOn w:val="Heading1"/>
    <w:next w:val="Normal"/>
    <w:uiPriority w:val="39"/>
    <w:unhideWhenUsed/>
    <w:qFormat/>
    <w:rsid w:val="00557220"/>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557220"/>
    <w:pPr>
      <w:spacing w:after="100"/>
    </w:pPr>
  </w:style>
  <w:style w:type="paragraph" w:styleId="TOC2">
    <w:name w:val="toc 2"/>
    <w:basedOn w:val="Normal"/>
    <w:next w:val="Normal"/>
    <w:autoRedefine/>
    <w:uiPriority w:val="39"/>
    <w:unhideWhenUsed/>
    <w:rsid w:val="00557220"/>
    <w:pPr>
      <w:spacing w:after="100"/>
      <w:ind w:left="220"/>
    </w:pPr>
  </w:style>
  <w:style w:type="character" w:styleId="Hyperlink">
    <w:name w:val="Hyperlink"/>
    <w:basedOn w:val="DefaultParagraphFont"/>
    <w:uiPriority w:val="99"/>
    <w:unhideWhenUsed/>
    <w:rsid w:val="00557220"/>
    <w:rPr>
      <w:color w:val="0000FF" w:themeColor="hyperlink"/>
      <w:u w:val="single"/>
    </w:rPr>
  </w:style>
  <w:style w:type="paragraph" w:styleId="NormalWeb">
    <w:name w:val="Normal (Web)"/>
    <w:basedOn w:val="Normal"/>
    <w:uiPriority w:val="99"/>
    <w:unhideWhenUsed/>
    <w:rsid w:val="00584AAF"/>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customStyle="1" w:styleId="Normal2">
    <w:name w:val="Normal2"/>
    <w:rsid w:val="004A5CED"/>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0D26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7946257">
      <w:bodyDiv w:val="1"/>
      <w:marLeft w:val="0"/>
      <w:marRight w:val="0"/>
      <w:marTop w:val="0"/>
      <w:marBottom w:val="0"/>
      <w:divBdr>
        <w:top w:val="none" w:sz="0" w:space="0" w:color="auto"/>
        <w:left w:val="none" w:sz="0" w:space="0" w:color="auto"/>
        <w:bottom w:val="none" w:sz="0" w:space="0" w:color="auto"/>
        <w:right w:val="none" w:sz="0" w:space="0" w:color="auto"/>
      </w:divBdr>
    </w:div>
    <w:div w:id="981472096">
      <w:bodyDiv w:val="1"/>
      <w:marLeft w:val="0"/>
      <w:marRight w:val="0"/>
      <w:marTop w:val="0"/>
      <w:marBottom w:val="0"/>
      <w:divBdr>
        <w:top w:val="none" w:sz="0" w:space="0" w:color="auto"/>
        <w:left w:val="none" w:sz="0" w:space="0" w:color="auto"/>
        <w:bottom w:val="none" w:sz="0" w:space="0" w:color="auto"/>
        <w:right w:val="none" w:sz="0" w:space="0" w:color="auto"/>
      </w:divBdr>
    </w:div>
    <w:div w:id="1560089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guardian.com/society/2025/jun/29/britains-medieval-health-inequality-is-devastating-nhs-experts-say" TargetMode="External"/><Relationship Id="rId21" Type="http://schemas.openxmlformats.org/officeDocument/2006/relationships/hyperlink" Target="https://www.ageuk.org.uk/discover/2024/september/state-of-health-and-care-of-older-people-in-england-2024/" TargetMode="External"/><Relationship Id="rId34" Type="http://schemas.openxmlformats.org/officeDocument/2006/relationships/hyperlink" Target="https://researchbriefings.files.parliament.uk/documents/SN07096/SN07096.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eguardian.com/society/2021/nov/10/england-has-highest-death-rates-of-older-patients-in-western-world-study-finds" TargetMode="External"/><Relationship Id="rId33" Type="http://schemas.openxmlformats.org/officeDocument/2006/relationships/hyperlink" Target="https://researchbriefings.files.parliament.uk/documents/CDP-2023-0215/CDP-2023-0215.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geuk.org.uk/latest-press/articles/2024/new-age-uk-analysis-finds-that-28655-older-people-died-waiting-for-social-care-in-the-most-recent-year-for-which-figures-are-available/" TargetMode="External"/><Relationship Id="rId29" Type="http://schemas.openxmlformats.org/officeDocument/2006/relationships/hyperlink" Target="https://digital.nhs.uk/data-and-information/publications/statistical/adult-psychiatric-morbidity-survey/survey-of-mental-health-and-wellbeing-england-2023-24/common-mental-health-condi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statistics/community-life-survey-202324-annual-publication/community-life-survey-202324-loneliness-and-support-networks--2" TargetMode="External"/><Relationship Id="rId32" Type="http://schemas.openxmlformats.org/officeDocument/2006/relationships/hyperlink" Target="https://commonslibrary.parliament.uk/research-briefings/sn0698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disabilityrightsuk.org/news/2020/february/nearly-half-everyone-poverty-either-disabled-person-or-lives-disabled-person?srsltid=AfmBOoo0YsOH8U5Eu-WahTGZHUt4HptH5I-IxgxVf_-_ixGn7RMUaMdT" TargetMode="External"/><Relationship Id="rId28" Type="http://schemas.openxmlformats.org/officeDocument/2006/relationships/hyperlink" Target="https://www.england.nhs.uk/learning-disabilities/improving-health/learning-from-lives-and-death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nuffieldtrust.org.uk/resource/the-decline-of-publicly-funded-social-care-for-older-adul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ms.bps.org.uk/sites/default/files/2022-05/Revised%20Age%20Equality%20FPOP%20Sept%202020.pdf" TargetMode="External"/><Relationship Id="rId27" Type="http://schemas.openxmlformats.org/officeDocument/2006/relationships/hyperlink" Target="https://bnssghealthiertogether.org.uk/wp-content/uploads/2024/10/LeDeR_annual_report_20_21.pdf" TargetMode="External"/><Relationship Id="rId30" Type="http://schemas.openxmlformats.org/officeDocument/2006/relationships/hyperlink" Target="https://www.bbc.com/news/articles/c1k0lyy7wvdo"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615EDE-5D0E-4144-AE36-1E502A495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19</Pages>
  <Words>4453</Words>
  <Characters>25387</Characters>
  <Application>Microsoft Office Word</Application>
  <DocSecurity>0</DocSecurity>
  <Lines>211</Lines>
  <Paragraphs>59</Paragraphs>
  <ScaleCrop>false</ScaleCrop>
  <Company/>
  <LinksUpToDate>false</LinksUpToDate>
  <CharactersWithSpaces>29781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2</cp:revision>
  <dcterms:created xsi:type="dcterms:W3CDTF">2025-12-17T11:22:00Z</dcterms:created>
  <dcterms:modified xsi:type="dcterms:W3CDTF">2025-12-19T11:59:00Z</dcterms:modified>
</cp:coreProperties>
</file>