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72C183" w14:textId="2885380E" w:rsidR="003A2B79" w:rsidRDefault="002046CC" w:rsidP="00BC6A7A">
      <w:pPr>
        <w:jc w:val="center"/>
        <w:rPr>
          <w:sz w:val="48"/>
          <w:szCs w:val="48"/>
        </w:rPr>
      </w:pPr>
      <w:r>
        <w:rPr>
          <w:noProof/>
        </w:rPr>
        <w:drawing>
          <wp:anchor distT="0" distB="0" distL="114300" distR="114300" simplePos="0" relativeHeight="251658240" behindDoc="0" locked="0" layoutInCell="1" allowOverlap="1" wp14:anchorId="28DB8D4D" wp14:editId="2402DCA7">
            <wp:simplePos x="0" y="0"/>
            <wp:positionH relativeFrom="column">
              <wp:posOffset>1276985</wp:posOffset>
            </wp:positionH>
            <wp:positionV relativeFrom="paragraph">
              <wp:posOffset>188323</wp:posOffset>
            </wp:positionV>
            <wp:extent cx="3163570" cy="1581785"/>
            <wp:effectExtent l="0" t="0" r="0" b="5715"/>
            <wp:wrapNone/>
            <wp:docPr id="98171605" name="Picture 1" descr="เรียนต่อมหาวิทยาลัยอังกฤษ –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เรียนต่อมหาวิทยาลัยอังกฤษ – University of Wales Trinity Saint David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63570" cy="158178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"https://i0.wp.com/theoneplanetlife.com/wp-content/uploads/2019/06/UWTSD-logo.jpg" \* MERGEFORMATINET </w:instrText>
      </w:r>
      <w:r>
        <w:fldChar w:fldCharType="separate"/>
      </w:r>
      <w:r>
        <w:fldChar w:fldCharType="end"/>
      </w:r>
    </w:p>
    <w:p w14:paraId="0BA33E14" w14:textId="3DB02434" w:rsidR="003A2B79" w:rsidRDefault="003A2B79" w:rsidP="00BC6A7A">
      <w:pPr>
        <w:jc w:val="center"/>
        <w:rPr>
          <w:sz w:val="48"/>
          <w:szCs w:val="48"/>
        </w:rPr>
      </w:pPr>
    </w:p>
    <w:p w14:paraId="7EE23FA8" w14:textId="76AA54FE" w:rsidR="002046CC" w:rsidRDefault="002046CC" w:rsidP="00BC6A7A">
      <w:pPr>
        <w:jc w:val="center"/>
        <w:rPr>
          <w:sz w:val="48"/>
          <w:szCs w:val="48"/>
        </w:rPr>
      </w:pPr>
    </w:p>
    <w:p w14:paraId="2B9AC395" w14:textId="240B5ABF" w:rsidR="002046CC" w:rsidRDefault="002046CC" w:rsidP="00BC6A7A">
      <w:pPr>
        <w:jc w:val="center"/>
        <w:rPr>
          <w:b/>
          <w:bCs/>
          <w:sz w:val="48"/>
          <w:szCs w:val="48"/>
        </w:rPr>
      </w:pPr>
    </w:p>
    <w:p w14:paraId="5CF527F1" w14:textId="77777777" w:rsidR="002046CC" w:rsidRDefault="002046CC" w:rsidP="00BC6A7A">
      <w:pPr>
        <w:jc w:val="center"/>
        <w:rPr>
          <w:b/>
          <w:bCs/>
          <w:sz w:val="48"/>
          <w:szCs w:val="48"/>
        </w:rPr>
      </w:pPr>
    </w:p>
    <w:p w14:paraId="62FA0CB4" w14:textId="2FE0C513" w:rsidR="002046CC" w:rsidRPr="0010077F" w:rsidRDefault="00BC6A7A" w:rsidP="0010077F">
      <w:pPr>
        <w:jc w:val="center"/>
        <w:rPr>
          <w:rFonts w:ascii="Times New Roman" w:hAnsi="Times New Roman" w:cs="Times New Roman"/>
          <w:b/>
          <w:bCs/>
          <w:sz w:val="48"/>
          <w:szCs w:val="48"/>
        </w:rPr>
      </w:pPr>
      <w:r w:rsidRPr="0010077F">
        <w:rPr>
          <w:rFonts w:ascii="Times New Roman" w:hAnsi="Times New Roman" w:cs="Times New Roman"/>
          <w:b/>
          <w:bCs/>
          <w:sz w:val="48"/>
          <w:szCs w:val="48"/>
        </w:rPr>
        <w:t>Strategic Management Report</w:t>
      </w:r>
    </w:p>
    <w:p w14:paraId="7ACF2696" w14:textId="1027A407" w:rsidR="00BC6A7A" w:rsidRPr="0010077F" w:rsidRDefault="002046CC" w:rsidP="0010077F">
      <w:pPr>
        <w:jc w:val="center"/>
        <w:rPr>
          <w:rFonts w:ascii="Times New Roman" w:hAnsi="Times New Roman" w:cs="Times New Roman"/>
          <w:b/>
          <w:bCs/>
          <w:i/>
          <w:iCs/>
          <w:sz w:val="48"/>
          <w:szCs w:val="48"/>
        </w:rPr>
      </w:pPr>
      <w:r w:rsidRPr="0010077F">
        <w:rPr>
          <w:rFonts w:ascii="Times New Roman" w:hAnsi="Times New Roman" w:cs="Times New Roman"/>
          <w:b/>
          <w:bCs/>
          <w:i/>
          <w:iCs/>
          <w:sz w:val="48"/>
          <w:szCs w:val="48"/>
        </w:rPr>
        <w:t>Vodafone Three</w:t>
      </w:r>
      <w:r w:rsidR="00BC6A7A" w:rsidRPr="0010077F">
        <w:rPr>
          <w:rFonts w:ascii="Times New Roman" w:hAnsi="Times New Roman" w:cs="Times New Roman"/>
          <w:b/>
          <w:bCs/>
          <w:i/>
          <w:iCs/>
          <w:sz w:val="48"/>
          <w:szCs w:val="48"/>
        </w:rPr>
        <w:t xml:space="preserve"> UK</w:t>
      </w:r>
    </w:p>
    <w:p w14:paraId="087644D5" w14:textId="527B0E2A" w:rsidR="003A2B79" w:rsidRPr="0010077F" w:rsidRDefault="003A2B79" w:rsidP="0010077F">
      <w:pPr>
        <w:jc w:val="center"/>
        <w:rPr>
          <w:rFonts w:ascii="Times New Roman" w:hAnsi="Times New Roman" w:cs="Times New Roman"/>
        </w:rPr>
      </w:pPr>
    </w:p>
    <w:p w14:paraId="5295C32D" w14:textId="0FF97303" w:rsidR="003A2B79" w:rsidRPr="0010077F" w:rsidRDefault="003A2B79" w:rsidP="0010077F">
      <w:pPr>
        <w:jc w:val="center"/>
        <w:rPr>
          <w:rFonts w:ascii="Times New Roman" w:hAnsi="Times New Roman" w:cs="Times New Roman"/>
        </w:rPr>
      </w:pPr>
    </w:p>
    <w:p w14:paraId="41A25B57" w14:textId="77777777" w:rsidR="003A2B79" w:rsidRPr="0010077F" w:rsidRDefault="003A2B79" w:rsidP="0010077F">
      <w:pPr>
        <w:jc w:val="center"/>
        <w:rPr>
          <w:rFonts w:ascii="Times New Roman" w:hAnsi="Times New Roman" w:cs="Times New Roman"/>
        </w:rPr>
      </w:pPr>
    </w:p>
    <w:p w14:paraId="4D4F8DF4" w14:textId="77777777" w:rsidR="002046CC" w:rsidRPr="0010077F" w:rsidRDefault="002046CC" w:rsidP="0010077F">
      <w:pPr>
        <w:jc w:val="center"/>
        <w:rPr>
          <w:rFonts w:ascii="Times New Roman" w:hAnsi="Times New Roman" w:cs="Times New Roman"/>
        </w:rPr>
      </w:pPr>
    </w:p>
    <w:p w14:paraId="7696723C" w14:textId="77777777" w:rsidR="002046CC" w:rsidRPr="0010077F" w:rsidRDefault="002046CC" w:rsidP="0010077F">
      <w:pPr>
        <w:jc w:val="center"/>
        <w:rPr>
          <w:rFonts w:ascii="Times New Roman" w:hAnsi="Times New Roman" w:cs="Times New Roman"/>
        </w:rPr>
      </w:pPr>
    </w:p>
    <w:p w14:paraId="72F07CFB" w14:textId="77777777" w:rsidR="002046CC" w:rsidRPr="0010077F" w:rsidRDefault="002046CC" w:rsidP="0010077F">
      <w:pPr>
        <w:jc w:val="center"/>
        <w:rPr>
          <w:rFonts w:ascii="Times New Roman" w:hAnsi="Times New Roman" w:cs="Times New Roman"/>
        </w:rPr>
      </w:pPr>
    </w:p>
    <w:p w14:paraId="5DE6F9FC" w14:textId="77777777" w:rsidR="002046CC" w:rsidRPr="0010077F" w:rsidRDefault="002046CC" w:rsidP="0010077F">
      <w:pPr>
        <w:jc w:val="center"/>
        <w:rPr>
          <w:rFonts w:ascii="Times New Roman" w:hAnsi="Times New Roman" w:cs="Times New Roman"/>
        </w:rPr>
      </w:pPr>
    </w:p>
    <w:p w14:paraId="0731CF2F" w14:textId="77777777" w:rsidR="002046CC" w:rsidRPr="0010077F" w:rsidRDefault="002046CC" w:rsidP="0010077F">
      <w:pPr>
        <w:jc w:val="center"/>
        <w:rPr>
          <w:rFonts w:ascii="Times New Roman" w:hAnsi="Times New Roman" w:cs="Times New Roman"/>
        </w:rPr>
      </w:pPr>
    </w:p>
    <w:p w14:paraId="3C22EEE3" w14:textId="77777777" w:rsidR="002046CC" w:rsidRPr="0010077F" w:rsidRDefault="002046CC" w:rsidP="0010077F">
      <w:pPr>
        <w:jc w:val="center"/>
        <w:rPr>
          <w:rFonts w:ascii="Times New Roman" w:hAnsi="Times New Roman" w:cs="Times New Roman"/>
        </w:rPr>
      </w:pPr>
    </w:p>
    <w:p w14:paraId="04C42423" w14:textId="77777777" w:rsidR="002046CC" w:rsidRPr="0010077F" w:rsidRDefault="002046CC" w:rsidP="0010077F">
      <w:pPr>
        <w:jc w:val="center"/>
        <w:rPr>
          <w:rFonts w:ascii="Times New Roman" w:hAnsi="Times New Roman" w:cs="Times New Roman"/>
        </w:rPr>
      </w:pPr>
    </w:p>
    <w:p w14:paraId="6F74C74F" w14:textId="77777777" w:rsidR="002046CC" w:rsidRPr="0010077F" w:rsidRDefault="002046CC" w:rsidP="0010077F">
      <w:pPr>
        <w:jc w:val="center"/>
        <w:rPr>
          <w:rFonts w:ascii="Times New Roman" w:hAnsi="Times New Roman" w:cs="Times New Roman"/>
        </w:rPr>
      </w:pPr>
    </w:p>
    <w:p w14:paraId="795EEE2B" w14:textId="77777777" w:rsidR="002046CC" w:rsidRPr="0010077F" w:rsidRDefault="002046CC" w:rsidP="0010077F">
      <w:pPr>
        <w:jc w:val="center"/>
        <w:rPr>
          <w:rFonts w:ascii="Times New Roman" w:hAnsi="Times New Roman" w:cs="Times New Roman"/>
        </w:rPr>
      </w:pPr>
    </w:p>
    <w:p w14:paraId="060194C3" w14:textId="566D7EB2" w:rsidR="003A2B79" w:rsidRPr="0010077F" w:rsidRDefault="003A2B79" w:rsidP="0010077F">
      <w:pPr>
        <w:jc w:val="center"/>
        <w:rPr>
          <w:rFonts w:ascii="Times New Roman" w:hAnsi="Times New Roman" w:cs="Times New Roman"/>
        </w:rPr>
      </w:pPr>
      <w:r w:rsidRPr="0010077F">
        <w:rPr>
          <w:rFonts w:ascii="Times New Roman" w:hAnsi="Times New Roman" w:cs="Times New Roman"/>
          <w:b/>
          <w:bCs/>
        </w:rPr>
        <w:t>Student:</w:t>
      </w:r>
      <w:r w:rsidRPr="0010077F">
        <w:rPr>
          <w:rFonts w:ascii="Times New Roman" w:hAnsi="Times New Roman" w:cs="Times New Roman"/>
        </w:rPr>
        <w:t xml:space="preserve"> Tamara Sofia Sanches Tavares</w:t>
      </w:r>
    </w:p>
    <w:p w14:paraId="05B4A7ED" w14:textId="77777777" w:rsidR="003A2B79" w:rsidRPr="0010077F" w:rsidRDefault="003A2B79" w:rsidP="0010077F">
      <w:pPr>
        <w:jc w:val="center"/>
        <w:rPr>
          <w:rFonts w:ascii="Times New Roman" w:hAnsi="Times New Roman" w:cs="Times New Roman"/>
        </w:rPr>
      </w:pPr>
      <w:r w:rsidRPr="0010077F">
        <w:rPr>
          <w:rFonts w:ascii="Times New Roman" w:hAnsi="Times New Roman" w:cs="Times New Roman"/>
          <w:b/>
          <w:bCs/>
        </w:rPr>
        <w:t>Module:</w:t>
      </w:r>
      <w:r w:rsidRPr="0010077F">
        <w:rPr>
          <w:rFonts w:ascii="Times New Roman" w:hAnsi="Times New Roman" w:cs="Times New Roman"/>
        </w:rPr>
        <w:t xml:space="preserve"> Strategic Management for Business</w:t>
      </w:r>
    </w:p>
    <w:p w14:paraId="7E9AF394" w14:textId="77777777" w:rsidR="003A2B79" w:rsidRPr="0010077F" w:rsidRDefault="003A2B79" w:rsidP="0010077F">
      <w:pPr>
        <w:jc w:val="center"/>
        <w:rPr>
          <w:rFonts w:ascii="Times New Roman" w:hAnsi="Times New Roman" w:cs="Times New Roman"/>
        </w:rPr>
      </w:pPr>
      <w:r w:rsidRPr="0010077F">
        <w:rPr>
          <w:rFonts w:ascii="Times New Roman" w:hAnsi="Times New Roman" w:cs="Times New Roman"/>
          <w:b/>
          <w:bCs/>
        </w:rPr>
        <w:t>Module code:</w:t>
      </w:r>
      <w:r w:rsidRPr="0010077F">
        <w:rPr>
          <w:rFonts w:ascii="Times New Roman" w:hAnsi="Times New Roman" w:cs="Times New Roman"/>
        </w:rPr>
        <w:t xml:space="preserve"> LCLM 6001</w:t>
      </w:r>
    </w:p>
    <w:p w14:paraId="4FD7B3F1" w14:textId="232CF6C2" w:rsidR="00BC6A7A" w:rsidRPr="0010077F" w:rsidRDefault="003A2B79" w:rsidP="0010077F">
      <w:pPr>
        <w:jc w:val="center"/>
        <w:rPr>
          <w:rFonts w:ascii="Times New Roman" w:hAnsi="Times New Roman" w:cs="Times New Roman"/>
        </w:rPr>
      </w:pPr>
      <w:r w:rsidRPr="0010077F">
        <w:rPr>
          <w:rFonts w:ascii="Times New Roman" w:hAnsi="Times New Roman" w:cs="Times New Roman"/>
          <w:b/>
          <w:bCs/>
        </w:rPr>
        <w:t>Lecturer:</w:t>
      </w:r>
      <w:r w:rsidRPr="0010077F">
        <w:rPr>
          <w:rFonts w:ascii="Times New Roman" w:hAnsi="Times New Roman" w:cs="Times New Roman"/>
        </w:rPr>
        <w:t xml:space="preserve"> Dr Faizu Edu </w:t>
      </w:r>
    </w:p>
    <w:sdt>
      <w:sdtPr>
        <w:rPr>
          <w:rFonts w:ascii="Times New Roman" w:eastAsiaTheme="minorHAnsi" w:hAnsi="Times New Roman" w:cs="Times New Roman"/>
          <w:b w:val="0"/>
          <w:bCs w:val="0"/>
          <w:color w:val="auto"/>
          <w:kern w:val="2"/>
          <w:sz w:val="24"/>
          <w:szCs w:val="24"/>
          <w:lang w:val="en-GB"/>
          <w14:ligatures w14:val="standardContextual"/>
        </w:rPr>
        <w:id w:val="-211653820"/>
        <w:docPartObj>
          <w:docPartGallery w:val="Table of Contents"/>
          <w:docPartUnique/>
        </w:docPartObj>
      </w:sdtPr>
      <w:sdtEndPr>
        <w:rPr>
          <w:noProof/>
        </w:rPr>
      </w:sdtEndPr>
      <w:sdtContent>
        <w:p w14:paraId="57C8ED41" w14:textId="4AC4AF58" w:rsidR="00BC6A7A" w:rsidRPr="0010077F" w:rsidRDefault="00BC6A7A" w:rsidP="0010077F">
          <w:pPr>
            <w:pStyle w:val="TOCHeading"/>
            <w:jc w:val="both"/>
            <w:rPr>
              <w:rFonts w:ascii="Times New Roman" w:hAnsi="Times New Roman" w:cs="Times New Roman"/>
            </w:rPr>
          </w:pPr>
          <w:r w:rsidRPr="0010077F">
            <w:rPr>
              <w:rFonts w:ascii="Times New Roman" w:hAnsi="Times New Roman" w:cs="Times New Roman"/>
            </w:rPr>
            <w:t>Table of Contents</w:t>
          </w:r>
        </w:p>
        <w:p w14:paraId="09908AF8" w14:textId="0FF2DB0D" w:rsidR="003F7CB4" w:rsidRDefault="00BC6A7A">
          <w:pPr>
            <w:pStyle w:val="TOC1"/>
            <w:tabs>
              <w:tab w:val="left" w:pos="480"/>
              <w:tab w:val="right" w:leader="dot" w:pos="9016"/>
            </w:tabs>
            <w:rPr>
              <w:rFonts w:eastAsiaTheme="minorEastAsia"/>
              <w:b w:val="0"/>
              <w:bCs w:val="0"/>
              <w:i w:val="0"/>
              <w:iCs w:val="0"/>
              <w:noProof/>
              <w:lang w:eastAsia="en-GB"/>
            </w:rPr>
          </w:pPr>
          <w:r w:rsidRPr="0010077F">
            <w:rPr>
              <w:rFonts w:ascii="Times New Roman" w:hAnsi="Times New Roman" w:cs="Times New Roman"/>
              <w:b w:val="0"/>
              <w:bCs w:val="0"/>
            </w:rPr>
            <w:fldChar w:fldCharType="begin"/>
          </w:r>
          <w:r w:rsidRPr="0010077F">
            <w:rPr>
              <w:rFonts w:ascii="Times New Roman" w:hAnsi="Times New Roman" w:cs="Times New Roman"/>
            </w:rPr>
            <w:instrText xml:space="preserve"> TOC \o "1-3" \h \z \u </w:instrText>
          </w:r>
          <w:r w:rsidRPr="0010077F">
            <w:rPr>
              <w:rFonts w:ascii="Times New Roman" w:hAnsi="Times New Roman" w:cs="Times New Roman"/>
              <w:b w:val="0"/>
              <w:bCs w:val="0"/>
            </w:rPr>
            <w:fldChar w:fldCharType="separate"/>
          </w:r>
          <w:hyperlink w:anchor="_Toc237434233" w:history="1">
            <w:r w:rsidR="003F7CB4" w:rsidRPr="00610B21">
              <w:rPr>
                <w:rStyle w:val="Hyperlink"/>
                <w:rFonts w:ascii="Times New Roman" w:hAnsi="Times New Roman" w:cs="Times New Roman"/>
                <w:noProof/>
              </w:rPr>
              <w:t>1.</w:t>
            </w:r>
            <w:r w:rsidR="003F7CB4">
              <w:rPr>
                <w:rFonts w:eastAsiaTheme="minorEastAsia"/>
                <w:b w:val="0"/>
                <w:bCs w:val="0"/>
                <w:i w:val="0"/>
                <w:iCs w:val="0"/>
                <w:noProof/>
                <w:lang w:eastAsia="en-GB"/>
              </w:rPr>
              <w:tab/>
            </w:r>
            <w:r w:rsidR="003F7CB4" w:rsidRPr="00610B21">
              <w:rPr>
                <w:rStyle w:val="Hyperlink"/>
                <w:rFonts w:ascii="Times New Roman" w:hAnsi="Times New Roman" w:cs="Times New Roman"/>
                <w:noProof/>
              </w:rPr>
              <w:t>Introduction</w:t>
            </w:r>
            <w:r w:rsidR="003F7CB4">
              <w:rPr>
                <w:noProof/>
                <w:webHidden/>
              </w:rPr>
              <w:tab/>
            </w:r>
            <w:r w:rsidR="003F7CB4">
              <w:rPr>
                <w:noProof/>
                <w:webHidden/>
              </w:rPr>
              <w:fldChar w:fldCharType="begin"/>
            </w:r>
            <w:r w:rsidR="003F7CB4">
              <w:rPr>
                <w:noProof/>
                <w:webHidden/>
              </w:rPr>
              <w:instrText xml:space="preserve"> PAGEREF _Toc237434233 \h </w:instrText>
            </w:r>
            <w:r w:rsidR="003F7CB4">
              <w:rPr>
                <w:noProof/>
                <w:webHidden/>
              </w:rPr>
            </w:r>
            <w:r w:rsidR="003F7CB4">
              <w:rPr>
                <w:noProof/>
                <w:webHidden/>
              </w:rPr>
              <w:fldChar w:fldCharType="separate"/>
            </w:r>
            <w:r w:rsidR="003F7CB4">
              <w:rPr>
                <w:noProof/>
                <w:webHidden/>
              </w:rPr>
              <w:t>3</w:t>
            </w:r>
            <w:r w:rsidR="003F7CB4">
              <w:rPr>
                <w:noProof/>
                <w:webHidden/>
              </w:rPr>
              <w:fldChar w:fldCharType="end"/>
            </w:r>
          </w:hyperlink>
        </w:p>
        <w:p w14:paraId="09300A23" w14:textId="513704E8" w:rsidR="003F7CB4" w:rsidRDefault="003F7CB4">
          <w:pPr>
            <w:pStyle w:val="TOC1"/>
            <w:tabs>
              <w:tab w:val="left" w:pos="480"/>
              <w:tab w:val="right" w:leader="dot" w:pos="9016"/>
            </w:tabs>
            <w:rPr>
              <w:rFonts w:eastAsiaTheme="minorEastAsia"/>
              <w:b w:val="0"/>
              <w:bCs w:val="0"/>
              <w:i w:val="0"/>
              <w:iCs w:val="0"/>
              <w:noProof/>
              <w:lang w:eastAsia="en-GB"/>
            </w:rPr>
          </w:pPr>
          <w:hyperlink w:anchor="_Toc237434234" w:history="1">
            <w:r w:rsidRPr="00610B21">
              <w:rPr>
                <w:rStyle w:val="Hyperlink"/>
                <w:rFonts w:ascii="Times New Roman" w:hAnsi="Times New Roman" w:cs="Times New Roman"/>
                <w:noProof/>
              </w:rPr>
              <w:t>2.</w:t>
            </w:r>
            <w:r>
              <w:rPr>
                <w:rFonts w:eastAsiaTheme="minorEastAsia"/>
                <w:b w:val="0"/>
                <w:bCs w:val="0"/>
                <w:i w:val="0"/>
                <w:iCs w:val="0"/>
                <w:noProof/>
                <w:lang w:eastAsia="en-GB"/>
              </w:rPr>
              <w:tab/>
            </w:r>
            <w:r w:rsidRPr="00610B21">
              <w:rPr>
                <w:rStyle w:val="Hyperlink"/>
                <w:rFonts w:ascii="Times New Roman" w:hAnsi="Times New Roman" w:cs="Times New Roman"/>
                <w:noProof/>
              </w:rPr>
              <w:t>Evaluation of current Market Situation</w:t>
            </w:r>
            <w:r>
              <w:rPr>
                <w:noProof/>
                <w:webHidden/>
              </w:rPr>
              <w:tab/>
            </w:r>
            <w:r>
              <w:rPr>
                <w:noProof/>
                <w:webHidden/>
              </w:rPr>
              <w:fldChar w:fldCharType="begin"/>
            </w:r>
            <w:r>
              <w:rPr>
                <w:noProof/>
                <w:webHidden/>
              </w:rPr>
              <w:instrText xml:space="preserve"> PAGEREF _Toc237434234 \h </w:instrText>
            </w:r>
            <w:r>
              <w:rPr>
                <w:noProof/>
                <w:webHidden/>
              </w:rPr>
            </w:r>
            <w:r>
              <w:rPr>
                <w:noProof/>
                <w:webHidden/>
              </w:rPr>
              <w:fldChar w:fldCharType="separate"/>
            </w:r>
            <w:r>
              <w:rPr>
                <w:noProof/>
                <w:webHidden/>
              </w:rPr>
              <w:t>4</w:t>
            </w:r>
            <w:r>
              <w:rPr>
                <w:noProof/>
                <w:webHidden/>
              </w:rPr>
              <w:fldChar w:fldCharType="end"/>
            </w:r>
          </w:hyperlink>
        </w:p>
        <w:p w14:paraId="1301A37B" w14:textId="6D1FE81A"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35" w:history="1">
            <w:r w:rsidRPr="00610B21">
              <w:rPr>
                <w:rStyle w:val="Hyperlink"/>
                <w:rFonts w:ascii="Times New Roman" w:hAnsi="Times New Roman" w:cs="Times New Roman"/>
                <w:noProof/>
              </w:rPr>
              <w:t>2.1</w:t>
            </w:r>
            <w:r>
              <w:rPr>
                <w:rFonts w:eastAsiaTheme="minorEastAsia"/>
                <w:b w:val="0"/>
                <w:bCs w:val="0"/>
                <w:noProof/>
                <w:sz w:val="24"/>
                <w:szCs w:val="24"/>
                <w:lang w:eastAsia="en-GB"/>
              </w:rPr>
              <w:tab/>
            </w:r>
            <w:r w:rsidRPr="00610B21">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_Toc237434235 \h </w:instrText>
            </w:r>
            <w:r>
              <w:rPr>
                <w:noProof/>
                <w:webHidden/>
              </w:rPr>
            </w:r>
            <w:r>
              <w:rPr>
                <w:noProof/>
                <w:webHidden/>
              </w:rPr>
              <w:fldChar w:fldCharType="separate"/>
            </w:r>
            <w:r>
              <w:rPr>
                <w:noProof/>
                <w:webHidden/>
              </w:rPr>
              <w:t>4</w:t>
            </w:r>
            <w:r>
              <w:rPr>
                <w:noProof/>
                <w:webHidden/>
              </w:rPr>
              <w:fldChar w:fldCharType="end"/>
            </w:r>
          </w:hyperlink>
        </w:p>
        <w:p w14:paraId="40E95317" w14:textId="42F2F536"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36" w:history="1">
            <w:r w:rsidRPr="00610B21">
              <w:rPr>
                <w:rStyle w:val="Hyperlink"/>
                <w:rFonts w:ascii="Times New Roman" w:hAnsi="Times New Roman" w:cs="Times New Roman"/>
                <w:noProof/>
              </w:rPr>
              <w:t>2.2</w:t>
            </w:r>
            <w:r>
              <w:rPr>
                <w:rFonts w:eastAsiaTheme="minorEastAsia"/>
                <w:b w:val="0"/>
                <w:bCs w:val="0"/>
                <w:noProof/>
                <w:sz w:val="24"/>
                <w:szCs w:val="24"/>
                <w:lang w:eastAsia="en-GB"/>
              </w:rPr>
              <w:tab/>
            </w:r>
            <w:r w:rsidRPr="00610B21">
              <w:rPr>
                <w:rStyle w:val="Hyperlink"/>
                <w:rFonts w:ascii="Times New Roman" w:hAnsi="Times New Roman" w:cs="Times New Roman"/>
                <w:noProof/>
              </w:rPr>
              <w:t>Porter’s five Forces</w:t>
            </w:r>
            <w:r>
              <w:rPr>
                <w:noProof/>
                <w:webHidden/>
              </w:rPr>
              <w:tab/>
            </w:r>
            <w:r>
              <w:rPr>
                <w:noProof/>
                <w:webHidden/>
              </w:rPr>
              <w:fldChar w:fldCharType="begin"/>
            </w:r>
            <w:r>
              <w:rPr>
                <w:noProof/>
                <w:webHidden/>
              </w:rPr>
              <w:instrText xml:space="preserve"> PAGEREF _Toc237434236 \h </w:instrText>
            </w:r>
            <w:r>
              <w:rPr>
                <w:noProof/>
                <w:webHidden/>
              </w:rPr>
            </w:r>
            <w:r>
              <w:rPr>
                <w:noProof/>
                <w:webHidden/>
              </w:rPr>
              <w:fldChar w:fldCharType="separate"/>
            </w:r>
            <w:r>
              <w:rPr>
                <w:noProof/>
                <w:webHidden/>
              </w:rPr>
              <w:t>6</w:t>
            </w:r>
            <w:r>
              <w:rPr>
                <w:noProof/>
                <w:webHidden/>
              </w:rPr>
              <w:fldChar w:fldCharType="end"/>
            </w:r>
          </w:hyperlink>
        </w:p>
        <w:p w14:paraId="5225760A" w14:textId="493CF780" w:rsidR="003F7CB4" w:rsidRDefault="003F7CB4">
          <w:pPr>
            <w:pStyle w:val="TOC3"/>
            <w:tabs>
              <w:tab w:val="right" w:leader="dot" w:pos="9016"/>
            </w:tabs>
            <w:rPr>
              <w:rFonts w:eastAsiaTheme="minorEastAsia"/>
              <w:noProof/>
              <w:sz w:val="24"/>
              <w:szCs w:val="24"/>
              <w:lang w:eastAsia="en-GB"/>
            </w:rPr>
          </w:pPr>
          <w:hyperlink w:anchor="_Toc237434237" w:history="1">
            <w:r w:rsidRPr="00610B21">
              <w:rPr>
                <w:rStyle w:val="Hyperlink"/>
                <w:rFonts w:ascii="Times New Roman" w:eastAsia="Times New Roman" w:hAnsi="Times New Roman" w:cs="Times New Roman"/>
                <w:b/>
                <w:bCs/>
                <w:noProof/>
                <w:kern w:val="0"/>
                <w:lang w:eastAsia="en-GB"/>
                <w14:ligatures w14:val="none"/>
              </w:rPr>
              <w:t>Competitive rivalry</w:t>
            </w:r>
            <w:r>
              <w:rPr>
                <w:noProof/>
                <w:webHidden/>
              </w:rPr>
              <w:tab/>
            </w:r>
            <w:r>
              <w:rPr>
                <w:noProof/>
                <w:webHidden/>
              </w:rPr>
              <w:fldChar w:fldCharType="begin"/>
            </w:r>
            <w:r>
              <w:rPr>
                <w:noProof/>
                <w:webHidden/>
              </w:rPr>
              <w:instrText xml:space="preserve"> PAGEREF _Toc237434237 \h </w:instrText>
            </w:r>
            <w:r>
              <w:rPr>
                <w:noProof/>
                <w:webHidden/>
              </w:rPr>
            </w:r>
            <w:r>
              <w:rPr>
                <w:noProof/>
                <w:webHidden/>
              </w:rPr>
              <w:fldChar w:fldCharType="separate"/>
            </w:r>
            <w:r>
              <w:rPr>
                <w:noProof/>
                <w:webHidden/>
              </w:rPr>
              <w:t>6</w:t>
            </w:r>
            <w:r>
              <w:rPr>
                <w:noProof/>
                <w:webHidden/>
              </w:rPr>
              <w:fldChar w:fldCharType="end"/>
            </w:r>
          </w:hyperlink>
        </w:p>
        <w:p w14:paraId="022E51ED" w14:textId="05CC13C3" w:rsidR="003F7CB4" w:rsidRDefault="003F7CB4">
          <w:pPr>
            <w:pStyle w:val="TOC3"/>
            <w:tabs>
              <w:tab w:val="right" w:leader="dot" w:pos="9016"/>
            </w:tabs>
            <w:rPr>
              <w:rFonts w:eastAsiaTheme="minorEastAsia"/>
              <w:noProof/>
              <w:sz w:val="24"/>
              <w:szCs w:val="24"/>
              <w:lang w:eastAsia="en-GB"/>
            </w:rPr>
          </w:pPr>
          <w:hyperlink w:anchor="_Toc237434238" w:history="1">
            <w:r w:rsidRPr="00610B21">
              <w:rPr>
                <w:rStyle w:val="Hyperlink"/>
                <w:rFonts w:ascii="Times New Roman" w:eastAsia="Times New Roman" w:hAnsi="Times New Roman" w:cs="Times New Roman"/>
                <w:b/>
                <w:bCs/>
                <w:noProof/>
                <w:kern w:val="0"/>
                <w:lang w:eastAsia="en-GB"/>
                <w14:ligatures w14:val="none"/>
              </w:rPr>
              <w:t>Bargaining power of buyers</w:t>
            </w:r>
            <w:r>
              <w:rPr>
                <w:noProof/>
                <w:webHidden/>
              </w:rPr>
              <w:tab/>
            </w:r>
            <w:r>
              <w:rPr>
                <w:noProof/>
                <w:webHidden/>
              </w:rPr>
              <w:fldChar w:fldCharType="begin"/>
            </w:r>
            <w:r>
              <w:rPr>
                <w:noProof/>
                <w:webHidden/>
              </w:rPr>
              <w:instrText xml:space="preserve"> PAGEREF _Toc237434238 \h </w:instrText>
            </w:r>
            <w:r>
              <w:rPr>
                <w:noProof/>
                <w:webHidden/>
              </w:rPr>
            </w:r>
            <w:r>
              <w:rPr>
                <w:noProof/>
                <w:webHidden/>
              </w:rPr>
              <w:fldChar w:fldCharType="separate"/>
            </w:r>
            <w:r>
              <w:rPr>
                <w:noProof/>
                <w:webHidden/>
              </w:rPr>
              <w:t>7</w:t>
            </w:r>
            <w:r>
              <w:rPr>
                <w:noProof/>
                <w:webHidden/>
              </w:rPr>
              <w:fldChar w:fldCharType="end"/>
            </w:r>
          </w:hyperlink>
        </w:p>
        <w:p w14:paraId="4609A0FA" w14:textId="1486F428" w:rsidR="003F7CB4" w:rsidRDefault="003F7CB4">
          <w:pPr>
            <w:pStyle w:val="TOC3"/>
            <w:tabs>
              <w:tab w:val="right" w:leader="dot" w:pos="9016"/>
            </w:tabs>
            <w:rPr>
              <w:rFonts w:eastAsiaTheme="minorEastAsia"/>
              <w:noProof/>
              <w:sz w:val="24"/>
              <w:szCs w:val="24"/>
              <w:lang w:eastAsia="en-GB"/>
            </w:rPr>
          </w:pPr>
          <w:hyperlink w:anchor="_Toc237434239" w:history="1">
            <w:r w:rsidRPr="00610B21">
              <w:rPr>
                <w:rStyle w:val="Hyperlink"/>
                <w:rFonts w:ascii="Times New Roman" w:eastAsia="Times New Roman" w:hAnsi="Times New Roman" w:cs="Times New Roman"/>
                <w:b/>
                <w:bCs/>
                <w:noProof/>
                <w:kern w:val="0"/>
                <w:lang w:eastAsia="en-GB"/>
                <w14:ligatures w14:val="none"/>
              </w:rPr>
              <w:t>Bargaining power of suppliers</w:t>
            </w:r>
            <w:r>
              <w:rPr>
                <w:noProof/>
                <w:webHidden/>
              </w:rPr>
              <w:tab/>
            </w:r>
            <w:r>
              <w:rPr>
                <w:noProof/>
                <w:webHidden/>
              </w:rPr>
              <w:fldChar w:fldCharType="begin"/>
            </w:r>
            <w:r>
              <w:rPr>
                <w:noProof/>
                <w:webHidden/>
              </w:rPr>
              <w:instrText xml:space="preserve"> PAGEREF _Toc237434239 \h </w:instrText>
            </w:r>
            <w:r>
              <w:rPr>
                <w:noProof/>
                <w:webHidden/>
              </w:rPr>
            </w:r>
            <w:r>
              <w:rPr>
                <w:noProof/>
                <w:webHidden/>
              </w:rPr>
              <w:fldChar w:fldCharType="separate"/>
            </w:r>
            <w:r>
              <w:rPr>
                <w:noProof/>
                <w:webHidden/>
              </w:rPr>
              <w:t>7</w:t>
            </w:r>
            <w:r>
              <w:rPr>
                <w:noProof/>
                <w:webHidden/>
              </w:rPr>
              <w:fldChar w:fldCharType="end"/>
            </w:r>
          </w:hyperlink>
        </w:p>
        <w:p w14:paraId="7A717348" w14:textId="032F69F9" w:rsidR="003F7CB4" w:rsidRDefault="003F7CB4">
          <w:pPr>
            <w:pStyle w:val="TOC3"/>
            <w:tabs>
              <w:tab w:val="right" w:leader="dot" w:pos="9016"/>
            </w:tabs>
            <w:rPr>
              <w:rFonts w:eastAsiaTheme="minorEastAsia"/>
              <w:noProof/>
              <w:sz w:val="24"/>
              <w:szCs w:val="24"/>
              <w:lang w:eastAsia="en-GB"/>
            </w:rPr>
          </w:pPr>
          <w:hyperlink w:anchor="_Toc237434240" w:history="1">
            <w:r w:rsidRPr="00610B21">
              <w:rPr>
                <w:rStyle w:val="Hyperlink"/>
                <w:rFonts w:ascii="Times New Roman" w:eastAsia="Times New Roman" w:hAnsi="Times New Roman" w:cs="Times New Roman"/>
                <w:b/>
                <w:bCs/>
                <w:noProof/>
                <w:kern w:val="0"/>
                <w:lang w:eastAsia="en-GB"/>
                <w14:ligatures w14:val="none"/>
              </w:rPr>
              <w:t>Threat of new entrants</w:t>
            </w:r>
            <w:r>
              <w:rPr>
                <w:noProof/>
                <w:webHidden/>
              </w:rPr>
              <w:tab/>
            </w:r>
            <w:r>
              <w:rPr>
                <w:noProof/>
                <w:webHidden/>
              </w:rPr>
              <w:fldChar w:fldCharType="begin"/>
            </w:r>
            <w:r>
              <w:rPr>
                <w:noProof/>
                <w:webHidden/>
              </w:rPr>
              <w:instrText xml:space="preserve"> PAGEREF _Toc237434240 \h </w:instrText>
            </w:r>
            <w:r>
              <w:rPr>
                <w:noProof/>
                <w:webHidden/>
              </w:rPr>
            </w:r>
            <w:r>
              <w:rPr>
                <w:noProof/>
                <w:webHidden/>
              </w:rPr>
              <w:fldChar w:fldCharType="separate"/>
            </w:r>
            <w:r>
              <w:rPr>
                <w:noProof/>
                <w:webHidden/>
              </w:rPr>
              <w:t>7</w:t>
            </w:r>
            <w:r>
              <w:rPr>
                <w:noProof/>
                <w:webHidden/>
              </w:rPr>
              <w:fldChar w:fldCharType="end"/>
            </w:r>
          </w:hyperlink>
        </w:p>
        <w:p w14:paraId="6D60878A" w14:textId="410EF49D" w:rsidR="003F7CB4" w:rsidRDefault="003F7CB4">
          <w:pPr>
            <w:pStyle w:val="TOC3"/>
            <w:tabs>
              <w:tab w:val="right" w:leader="dot" w:pos="9016"/>
            </w:tabs>
            <w:rPr>
              <w:rFonts w:eastAsiaTheme="minorEastAsia"/>
              <w:noProof/>
              <w:sz w:val="24"/>
              <w:szCs w:val="24"/>
              <w:lang w:eastAsia="en-GB"/>
            </w:rPr>
          </w:pPr>
          <w:hyperlink w:anchor="_Toc237434241" w:history="1">
            <w:r w:rsidRPr="00610B21">
              <w:rPr>
                <w:rStyle w:val="Hyperlink"/>
                <w:rFonts w:ascii="Times New Roman" w:eastAsia="Times New Roman" w:hAnsi="Times New Roman" w:cs="Times New Roman"/>
                <w:b/>
                <w:bCs/>
                <w:noProof/>
                <w:kern w:val="0"/>
                <w:lang w:eastAsia="en-GB"/>
                <w14:ligatures w14:val="none"/>
              </w:rPr>
              <w:t>Threat of substitutes</w:t>
            </w:r>
            <w:r>
              <w:rPr>
                <w:noProof/>
                <w:webHidden/>
              </w:rPr>
              <w:tab/>
            </w:r>
            <w:r>
              <w:rPr>
                <w:noProof/>
                <w:webHidden/>
              </w:rPr>
              <w:fldChar w:fldCharType="begin"/>
            </w:r>
            <w:r>
              <w:rPr>
                <w:noProof/>
                <w:webHidden/>
              </w:rPr>
              <w:instrText xml:space="preserve"> PAGEREF _Toc237434241 \h </w:instrText>
            </w:r>
            <w:r>
              <w:rPr>
                <w:noProof/>
                <w:webHidden/>
              </w:rPr>
            </w:r>
            <w:r>
              <w:rPr>
                <w:noProof/>
                <w:webHidden/>
              </w:rPr>
              <w:fldChar w:fldCharType="separate"/>
            </w:r>
            <w:r>
              <w:rPr>
                <w:noProof/>
                <w:webHidden/>
              </w:rPr>
              <w:t>7</w:t>
            </w:r>
            <w:r>
              <w:rPr>
                <w:noProof/>
                <w:webHidden/>
              </w:rPr>
              <w:fldChar w:fldCharType="end"/>
            </w:r>
          </w:hyperlink>
        </w:p>
        <w:p w14:paraId="2B3CB909" w14:textId="09AC09DC"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42" w:history="1">
            <w:r w:rsidRPr="00610B21">
              <w:rPr>
                <w:rStyle w:val="Hyperlink"/>
                <w:rFonts w:ascii="Times New Roman" w:hAnsi="Times New Roman" w:cs="Times New Roman"/>
                <w:noProof/>
              </w:rPr>
              <w:t>2.3</w:t>
            </w:r>
            <w:r>
              <w:rPr>
                <w:rFonts w:eastAsiaTheme="minorEastAsia"/>
                <w:b w:val="0"/>
                <w:bCs w:val="0"/>
                <w:noProof/>
                <w:sz w:val="24"/>
                <w:szCs w:val="24"/>
                <w:lang w:eastAsia="en-GB"/>
              </w:rPr>
              <w:tab/>
            </w:r>
            <w:r w:rsidRPr="00610B21">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_Toc237434242 \h </w:instrText>
            </w:r>
            <w:r>
              <w:rPr>
                <w:noProof/>
                <w:webHidden/>
              </w:rPr>
            </w:r>
            <w:r>
              <w:rPr>
                <w:noProof/>
                <w:webHidden/>
              </w:rPr>
              <w:fldChar w:fldCharType="separate"/>
            </w:r>
            <w:r>
              <w:rPr>
                <w:noProof/>
                <w:webHidden/>
              </w:rPr>
              <w:t>8</w:t>
            </w:r>
            <w:r>
              <w:rPr>
                <w:noProof/>
                <w:webHidden/>
              </w:rPr>
              <w:fldChar w:fldCharType="end"/>
            </w:r>
          </w:hyperlink>
        </w:p>
        <w:p w14:paraId="53936A81" w14:textId="13FB48A9" w:rsidR="003F7CB4" w:rsidRDefault="003F7CB4">
          <w:pPr>
            <w:pStyle w:val="TOC1"/>
            <w:tabs>
              <w:tab w:val="left" w:pos="480"/>
              <w:tab w:val="right" w:leader="dot" w:pos="9016"/>
            </w:tabs>
            <w:rPr>
              <w:rFonts w:eastAsiaTheme="minorEastAsia"/>
              <w:b w:val="0"/>
              <w:bCs w:val="0"/>
              <w:i w:val="0"/>
              <w:iCs w:val="0"/>
              <w:noProof/>
              <w:lang w:eastAsia="en-GB"/>
            </w:rPr>
          </w:pPr>
          <w:hyperlink w:anchor="_Toc237434243" w:history="1">
            <w:r w:rsidRPr="00610B21">
              <w:rPr>
                <w:rStyle w:val="Hyperlink"/>
                <w:rFonts w:ascii="Times New Roman" w:hAnsi="Times New Roman" w:cs="Times New Roman"/>
                <w:noProof/>
              </w:rPr>
              <w:t>3.</w:t>
            </w:r>
            <w:r>
              <w:rPr>
                <w:rFonts w:eastAsiaTheme="minorEastAsia"/>
                <w:b w:val="0"/>
                <w:bCs w:val="0"/>
                <w:i w:val="0"/>
                <w:iCs w:val="0"/>
                <w:noProof/>
                <w:lang w:eastAsia="en-GB"/>
              </w:rPr>
              <w:tab/>
            </w:r>
            <w:r w:rsidRPr="00610B21">
              <w:rPr>
                <w:rStyle w:val="Hyperlink"/>
                <w:rFonts w:ascii="Times New Roman" w:hAnsi="Times New Roman" w:cs="Times New Roman"/>
                <w:noProof/>
              </w:rPr>
              <w:t>Strategic Grown Options</w:t>
            </w:r>
            <w:r>
              <w:rPr>
                <w:noProof/>
                <w:webHidden/>
              </w:rPr>
              <w:tab/>
            </w:r>
            <w:r>
              <w:rPr>
                <w:noProof/>
                <w:webHidden/>
              </w:rPr>
              <w:fldChar w:fldCharType="begin"/>
            </w:r>
            <w:r>
              <w:rPr>
                <w:noProof/>
                <w:webHidden/>
              </w:rPr>
              <w:instrText xml:space="preserve"> PAGEREF _Toc237434243 \h </w:instrText>
            </w:r>
            <w:r>
              <w:rPr>
                <w:noProof/>
                <w:webHidden/>
              </w:rPr>
            </w:r>
            <w:r>
              <w:rPr>
                <w:noProof/>
                <w:webHidden/>
              </w:rPr>
              <w:fldChar w:fldCharType="separate"/>
            </w:r>
            <w:r>
              <w:rPr>
                <w:noProof/>
                <w:webHidden/>
              </w:rPr>
              <w:t>8</w:t>
            </w:r>
            <w:r>
              <w:rPr>
                <w:noProof/>
                <w:webHidden/>
              </w:rPr>
              <w:fldChar w:fldCharType="end"/>
            </w:r>
          </w:hyperlink>
        </w:p>
        <w:p w14:paraId="5969C7B4" w14:textId="0AE2A0D7"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44" w:history="1">
            <w:r w:rsidRPr="00610B21">
              <w:rPr>
                <w:rStyle w:val="Hyperlink"/>
                <w:rFonts w:ascii="Times New Roman" w:hAnsi="Times New Roman" w:cs="Times New Roman"/>
                <w:noProof/>
              </w:rPr>
              <w:t>3.1</w:t>
            </w:r>
            <w:r>
              <w:rPr>
                <w:rFonts w:eastAsiaTheme="minorEastAsia"/>
                <w:b w:val="0"/>
                <w:bCs w:val="0"/>
                <w:noProof/>
                <w:sz w:val="24"/>
                <w:szCs w:val="24"/>
                <w:lang w:eastAsia="en-GB"/>
              </w:rPr>
              <w:tab/>
            </w:r>
            <w:r w:rsidRPr="00610B21">
              <w:rPr>
                <w:rStyle w:val="Hyperlink"/>
                <w:rFonts w:ascii="Times New Roman" w:hAnsi="Times New Roman" w:cs="Times New Roman"/>
                <w:noProof/>
              </w:rPr>
              <w:t>Ansoff Matrix</w:t>
            </w:r>
            <w:r>
              <w:rPr>
                <w:noProof/>
                <w:webHidden/>
              </w:rPr>
              <w:tab/>
            </w:r>
            <w:r>
              <w:rPr>
                <w:noProof/>
                <w:webHidden/>
              </w:rPr>
              <w:fldChar w:fldCharType="begin"/>
            </w:r>
            <w:r>
              <w:rPr>
                <w:noProof/>
                <w:webHidden/>
              </w:rPr>
              <w:instrText xml:space="preserve"> PAGEREF _Toc237434244 \h </w:instrText>
            </w:r>
            <w:r>
              <w:rPr>
                <w:noProof/>
                <w:webHidden/>
              </w:rPr>
            </w:r>
            <w:r>
              <w:rPr>
                <w:noProof/>
                <w:webHidden/>
              </w:rPr>
              <w:fldChar w:fldCharType="separate"/>
            </w:r>
            <w:r>
              <w:rPr>
                <w:noProof/>
                <w:webHidden/>
              </w:rPr>
              <w:t>8</w:t>
            </w:r>
            <w:r>
              <w:rPr>
                <w:noProof/>
                <w:webHidden/>
              </w:rPr>
              <w:fldChar w:fldCharType="end"/>
            </w:r>
          </w:hyperlink>
        </w:p>
        <w:p w14:paraId="4A1F335C" w14:textId="625799F0" w:rsidR="003F7CB4" w:rsidRDefault="003F7CB4">
          <w:pPr>
            <w:pStyle w:val="TOC3"/>
            <w:tabs>
              <w:tab w:val="right" w:leader="dot" w:pos="9016"/>
            </w:tabs>
            <w:rPr>
              <w:rFonts w:eastAsiaTheme="minorEastAsia"/>
              <w:noProof/>
              <w:sz w:val="24"/>
              <w:szCs w:val="24"/>
              <w:lang w:eastAsia="en-GB"/>
            </w:rPr>
          </w:pPr>
          <w:hyperlink w:anchor="_Toc237434245" w:history="1">
            <w:r w:rsidRPr="00610B21">
              <w:rPr>
                <w:rStyle w:val="Hyperlink"/>
                <w:rFonts w:ascii="Times New Roman" w:eastAsia="Times New Roman" w:hAnsi="Times New Roman" w:cs="Times New Roman"/>
                <w:b/>
                <w:bCs/>
                <w:noProof/>
                <w:kern w:val="0"/>
                <w:lang w:eastAsia="en-GB"/>
                <w14:ligatures w14:val="none"/>
              </w:rPr>
              <w:t>Market penetration</w:t>
            </w:r>
            <w:r>
              <w:rPr>
                <w:noProof/>
                <w:webHidden/>
              </w:rPr>
              <w:tab/>
            </w:r>
            <w:r>
              <w:rPr>
                <w:noProof/>
                <w:webHidden/>
              </w:rPr>
              <w:fldChar w:fldCharType="begin"/>
            </w:r>
            <w:r>
              <w:rPr>
                <w:noProof/>
                <w:webHidden/>
              </w:rPr>
              <w:instrText xml:space="preserve"> PAGEREF _Toc237434245 \h </w:instrText>
            </w:r>
            <w:r>
              <w:rPr>
                <w:noProof/>
                <w:webHidden/>
              </w:rPr>
            </w:r>
            <w:r>
              <w:rPr>
                <w:noProof/>
                <w:webHidden/>
              </w:rPr>
              <w:fldChar w:fldCharType="separate"/>
            </w:r>
            <w:r>
              <w:rPr>
                <w:noProof/>
                <w:webHidden/>
              </w:rPr>
              <w:t>9</w:t>
            </w:r>
            <w:r>
              <w:rPr>
                <w:noProof/>
                <w:webHidden/>
              </w:rPr>
              <w:fldChar w:fldCharType="end"/>
            </w:r>
          </w:hyperlink>
        </w:p>
        <w:p w14:paraId="2A022AA3" w14:textId="44582E8B" w:rsidR="003F7CB4" w:rsidRDefault="003F7CB4">
          <w:pPr>
            <w:pStyle w:val="TOC3"/>
            <w:tabs>
              <w:tab w:val="right" w:leader="dot" w:pos="9016"/>
            </w:tabs>
            <w:rPr>
              <w:rFonts w:eastAsiaTheme="minorEastAsia"/>
              <w:noProof/>
              <w:sz w:val="24"/>
              <w:szCs w:val="24"/>
              <w:lang w:eastAsia="en-GB"/>
            </w:rPr>
          </w:pPr>
          <w:hyperlink w:anchor="_Toc237434246" w:history="1">
            <w:r w:rsidRPr="00610B21">
              <w:rPr>
                <w:rStyle w:val="Hyperlink"/>
                <w:rFonts w:ascii="Times New Roman" w:eastAsia="Times New Roman" w:hAnsi="Times New Roman" w:cs="Times New Roman"/>
                <w:b/>
                <w:bCs/>
                <w:noProof/>
                <w:kern w:val="0"/>
                <w:lang w:eastAsia="en-GB"/>
                <w14:ligatures w14:val="none"/>
              </w:rPr>
              <w:t>Market development</w:t>
            </w:r>
            <w:r>
              <w:rPr>
                <w:noProof/>
                <w:webHidden/>
              </w:rPr>
              <w:tab/>
            </w:r>
            <w:r>
              <w:rPr>
                <w:noProof/>
                <w:webHidden/>
              </w:rPr>
              <w:fldChar w:fldCharType="begin"/>
            </w:r>
            <w:r>
              <w:rPr>
                <w:noProof/>
                <w:webHidden/>
              </w:rPr>
              <w:instrText xml:space="preserve"> PAGEREF _Toc237434246 \h </w:instrText>
            </w:r>
            <w:r>
              <w:rPr>
                <w:noProof/>
                <w:webHidden/>
              </w:rPr>
            </w:r>
            <w:r>
              <w:rPr>
                <w:noProof/>
                <w:webHidden/>
              </w:rPr>
              <w:fldChar w:fldCharType="separate"/>
            </w:r>
            <w:r>
              <w:rPr>
                <w:noProof/>
                <w:webHidden/>
              </w:rPr>
              <w:t>9</w:t>
            </w:r>
            <w:r>
              <w:rPr>
                <w:noProof/>
                <w:webHidden/>
              </w:rPr>
              <w:fldChar w:fldCharType="end"/>
            </w:r>
          </w:hyperlink>
        </w:p>
        <w:p w14:paraId="302A7D5E" w14:textId="0AE90E17" w:rsidR="003F7CB4" w:rsidRDefault="003F7CB4">
          <w:pPr>
            <w:pStyle w:val="TOC3"/>
            <w:tabs>
              <w:tab w:val="right" w:leader="dot" w:pos="9016"/>
            </w:tabs>
            <w:rPr>
              <w:rFonts w:eastAsiaTheme="minorEastAsia"/>
              <w:noProof/>
              <w:sz w:val="24"/>
              <w:szCs w:val="24"/>
              <w:lang w:eastAsia="en-GB"/>
            </w:rPr>
          </w:pPr>
          <w:hyperlink w:anchor="_Toc237434247" w:history="1">
            <w:r w:rsidRPr="00610B21">
              <w:rPr>
                <w:rStyle w:val="Hyperlink"/>
                <w:rFonts w:ascii="Times New Roman" w:eastAsia="Times New Roman" w:hAnsi="Times New Roman" w:cs="Times New Roman"/>
                <w:b/>
                <w:bCs/>
                <w:noProof/>
                <w:kern w:val="0"/>
                <w:lang w:eastAsia="en-GB"/>
                <w14:ligatures w14:val="none"/>
              </w:rPr>
              <w:t>Product development</w:t>
            </w:r>
            <w:r>
              <w:rPr>
                <w:noProof/>
                <w:webHidden/>
              </w:rPr>
              <w:tab/>
            </w:r>
            <w:r>
              <w:rPr>
                <w:noProof/>
                <w:webHidden/>
              </w:rPr>
              <w:fldChar w:fldCharType="begin"/>
            </w:r>
            <w:r>
              <w:rPr>
                <w:noProof/>
                <w:webHidden/>
              </w:rPr>
              <w:instrText xml:space="preserve"> PAGEREF _Toc237434247 \h </w:instrText>
            </w:r>
            <w:r>
              <w:rPr>
                <w:noProof/>
                <w:webHidden/>
              </w:rPr>
            </w:r>
            <w:r>
              <w:rPr>
                <w:noProof/>
                <w:webHidden/>
              </w:rPr>
              <w:fldChar w:fldCharType="separate"/>
            </w:r>
            <w:r>
              <w:rPr>
                <w:noProof/>
                <w:webHidden/>
              </w:rPr>
              <w:t>9</w:t>
            </w:r>
            <w:r>
              <w:rPr>
                <w:noProof/>
                <w:webHidden/>
              </w:rPr>
              <w:fldChar w:fldCharType="end"/>
            </w:r>
          </w:hyperlink>
        </w:p>
        <w:p w14:paraId="691843EE" w14:textId="697DD92B" w:rsidR="003F7CB4" w:rsidRDefault="003F7CB4">
          <w:pPr>
            <w:pStyle w:val="TOC3"/>
            <w:tabs>
              <w:tab w:val="right" w:leader="dot" w:pos="9016"/>
            </w:tabs>
            <w:rPr>
              <w:rFonts w:eastAsiaTheme="minorEastAsia"/>
              <w:noProof/>
              <w:sz w:val="24"/>
              <w:szCs w:val="24"/>
              <w:lang w:eastAsia="en-GB"/>
            </w:rPr>
          </w:pPr>
          <w:hyperlink w:anchor="_Toc237434248" w:history="1">
            <w:r w:rsidRPr="00610B21">
              <w:rPr>
                <w:rStyle w:val="Hyperlink"/>
                <w:rFonts w:ascii="Times New Roman" w:eastAsia="Times New Roman" w:hAnsi="Times New Roman" w:cs="Times New Roman"/>
                <w:b/>
                <w:bCs/>
                <w:noProof/>
                <w:kern w:val="0"/>
                <w:lang w:eastAsia="en-GB"/>
                <w14:ligatures w14:val="none"/>
              </w:rPr>
              <w:t>Diversification</w:t>
            </w:r>
            <w:r>
              <w:rPr>
                <w:noProof/>
                <w:webHidden/>
              </w:rPr>
              <w:tab/>
            </w:r>
            <w:r>
              <w:rPr>
                <w:noProof/>
                <w:webHidden/>
              </w:rPr>
              <w:fldChar w:fldCharType="begin"/>
            </w:r>
            <w:r>
              <w:rPr>
                <w:noProof/>
                <w:webHidden/>
              </w:rPr>
              <w:instrText xml:space="preserve"> PAGEREF _Toc237434248 \h </w:instrText>
            </w:r>
            <w:r>
              <w:rPr>
                <w:noProof/>
                <w:webHidden/>
              </w:rPr>
            </w:r>
            <w:r>
              <w:rPr>
                <w:noProof/>
                <w:webHidden/>
              </w:rPr>
              <w:fldChar w:fldCharType="separate"/>
            </w:r>
            <w:r>
              <w:rPr>
                <w:noProof/>
                <w:webHidden/>
              </w:rPr>
              <w:t>9</w:t>
            </w:r>
            <w:r>
              <w:rPr>
                <w:noProof/>
                <w:webHidden/>
              </w:rPr>
              <w:fldChar w:fldCharType="end"/>
            </w:r>
          </w:hyperlink>
        </w:p>
        <w:p w14:paraId="62F2F7EC" w14:textId="74078C5D"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49" w:history="1">
            <w:r w:rsidRPr="00610B21">
              <w:rPr>
                <w:rStyle w:val="Hyperlink"/>
                <w:rFonts w:ascii="Times New Roman" w:hAnsi="Times New Roman" w:cs="Times New Roman"/>
                <w:noProof/>
              </w:rPr>
              <w:t>3.2</w:t>
            </w:r>
            <w:r>
              <w:rPr>
                <w:rFonts w:eastAsiaTheme="minorEastAsia"/>
                <w:b w:val="0"/>
                <w:bCs w:val="0"/>
                <w:noProof/>
                <w:sz w:val="24"/>
                <w:szCs w:val="24"/>
                <w:lang w:eastAsia="en-GB"/>
              </w:rPr>
              <w:tab/>
            </w:r>
            <w:r w:rsidRPr="00610B21">
              <w:rPr>
                <w:rStyle w:val="Hyperlink"/>
                <w:rFonts w:ascii="Times New Roman" w:hAnsi="Times New Roman" w:cs="Times New Roman"/>
                <w:noProof/>
              </w:rPr>
              <w:t>Porter’s Generic Strategies</w:t>
            </w:r>
            <w:r>
              <w:rPr>
                <w:noProof/>
                <w:webHidden/>
              </w:rPr>
              <w:tab/>
            </w:r>
            <w:r>
              <w:rPr>
                <w:noProof/>
                <w:webHidden/>
              </w:rPr>
              <w:fldChar w:fldCharType="begin"/>
            </w:r>
            <w:r>
              <w:rPr>
                <w:noProof/>
                <w:webHidden/>
              </w:rPr>
              <w:instrText xml:space="preserve"> PAGEREF _Toc237434249 \h </w:instrText>
            </w:r>
            <w:r>
              <w:rPr>
                <w:noProof/>
                <w:webHidden/>
              </w:rPr>
            </w:r>
            <w:r>
              <w:rPr>
                <w:noProof/>
                <w:webHidden/>
              </w:rPr>
              <w:fldChar w:fldCharType="separate"/>
            </w:r>
            <w:r>
              <w:rPr>
                <w:noProof/>
                <w:webHidden/>
              </w:rPr>
              <w:t>10</w:t>
            </w:r>
            <w:r>
              <w:rPr>
                <w:noProof/>
                <w:webHidden/>
              </w:rPr>
              <w:fldChar w:fldCharType="end"/>
            </w:r>
          </w:hyperlink>
        </w:p>
        <w:p w14:paraId="1E1DF93F" w14:textId="0F51ED9D" w:rsidR="003F7CB4" w:rsidRDefault="003F7CB4">
          <w:pPr>
            <w:pStyle w:val="TOC3"/>
            <w:tabs>
              <w:tab w:val="right" w:leader="dot" w:pos="9016"/>
            </w:tabs>
            <w:rPr>
              <w:rFonts w:eastAsiaTheme="minorEastAsia"/>
              <w:noProof/>
              <w:sz w:val="24"/>
              <w:szCs w:val="24"/>
              <w:lang w:eastAsia="en-GB"/>
            </w:rPr>
          </w:pPr>
          <w:hyperlink w:anchor="_Toc237434250" w:history="1">
            <w:r w:rsidRPr="00610B21">
              <w:rPr>
                <w:rStyle w:val="Hyperlink"/>
                <w:rFonts w:ascii="Times New Roman" w:eastAsia="Times New Roman" w:hAnsi="Times New Roman" w:cs="Times New Roman"/>
                <w:b/>
                <w:bCs/>
                <w:noProof/>
                <w:kern w:val="0"/>
                <w:lang w:eastAsia="en-GB"/>
                <w14:ligatures w14:val="none"/>
              </w:rPr>
              <w:t>Cost leadership</w:t>
            </w:r>
            <w:r>
              <w:rPr>
                <w:noProof/>
                <w:webHidden/>
              </w:rPr>
              <w:tab/>
            </w:r>
            <w:r>
              <w:rPr>
                <w:noProof/>
                <w:webHidden/>
              </w:rPr>
              <w:fldChar w:fldCharType="begin"/>
            </w:r>
            <w:r>
              <w:rPr>
                <w:noProof/>
                <w:webHidden/>
              </w:rPr>
              <w:instrText xml:space="preserve"> PAGEREF _Toc237434250 \h </w:instrText>
            </w:r>
            <w:r>
              <w:rPr>
                <w:noProof/>
                <w:webHidden/>
              </w:rPr>
            </w:r>
            <w:r>
              <w:rPr>
                <w:noProof/>
                <w:webHidden/>
              </w:rPr>
              <w:fldChar w:fldCharType="separate"/>
            </w:r>
            <w:r>
              <w:rPr>
                <w:noProof/>
                <w:webHidden/>
              </w:rPr>
              <w:t>10</w:t>
            </w:r>
            <w:r>
              <w:rPr>
                <w:noProof/>
                <w:webHidden/>
              </w:rPr>
              <w:fldChar w:fldCharType="end"/>
            </w:r>
          </w:hyperlink>
        </w:p>
        <w:p w14:paraId="7EEF9790" w14:textId="3108D98B" w:rsidR="003F7CB4" w:rsidRDefault="003F7CB4">
          <w:pPr>
            <w:pStyle w:val="TOC3"/>
            <w:tabs>
              <w:tab w:val="right" w:leader="dot" w:pos="9016"/>
            </w:tabs>
            <w:rPr>
              <w:rFonts w:eastAsiaTheme="minorEastAsia"/>
              <w:noProof/>
              <w:sz w:val="24"/>
              <w:szCs w:val="24"/>
              <w:lang w:eastAsia="en-GB"/>
            </w:rPr>
          </w:pPr>
          <w:hyperlink w:anchor="_Toc237434251" w:history="1">
            <w:r w:rsidRPr="00610B21">
              <w:rPr>
                <w:rStyle w:val="Hyperlink"/>
                <w:rFonts w:ascii="Times New Roman" w:eastAsia="Times New Roman" w:hAnsi="Times New Roman" w:cs="Times New Roman"/>
                <w:b/>
                <w:bCs/>
                <w:noProof/>
                <w:kern w:val="0"/>
                <w:lang w:eastAsia="en-GB"/>
                <w14:ligatures w14:val="none"/>
              </w:rPr>
              <w:t>Differentiation</w:t>
            </w:r>
            <w:r>
              <w:rPr>
                <w:noProof/>
                <w:webHidden/>
              </w:rPr>
              <w:tab/>
            </w:r>
            <w:r>
              <w:rPr>
                <w:noProof/>
                <w:webHidden/>
              </w:rPr>
              <w:fldChar w:fldCharType="begin"/>
            </w:r>
            <w:r>
              <w:rPr>
                <w:noProof/>
                <w:webHidden/>
              </w:rPr>
              <w:instrText xml:space="preserve"> PAGEREF _Toc237434251 \h </w:instrText>
            </w:r>
            <w:r>
              <w:rPr>
                <w:noProof/>
                <w:webHidden/>
              </w:rPr>
            </w:r>
            <w:r>
              <w:rPr>
                <w:noProof/>
                <w:webHidden/>
              </w:rPr>
              <w:fldChar w:fldCharType="separate"/>
            </w:r>
            <w:r>
              <w:rPr>
                <w:noProof/>
                <w:webHidden/>
              </w:rPr>
              <w:t>10</w:t>
            </w:r>
            <w:r>
              <w:rPr>
                <w:noProof/>
                <w:webHidden/>
              </w:rPr>
              <w:fldChar w:fldCharType="end"/>
            </w:r>
          </w:hyperlink>
        </w:p>
        <w:p w14:paraId="48965990" w14:textId="643A7875" w:rsidR="003F7CB4" w:rsidRDefault="003F7CB4">
          <w:pPr>
            <w:pStyle w:val="TOC3"/>
            <w:tabs>
              <w:tab w:val="right" w:leader="dot" w:pos="9016"/>
            </w:tabs>
            <w:rPr>
              <w:rFonts w:eastAsiaTheme="minorEastAsia"/>
              <w:noProof/>
              <w:sz w:val="24"/>
              <w:szCs w:val="24"/>
              <w:lang w:eastAsia="en-GB"/>
            </w:rPr>
          </w:pPr>
          <w:hyperlink w:anchor="_Toc237434252" w:history="1">
            <w:r w:rsidRPr="00610B21">
              <w:rPr>
                <w:rStyle w:val="Hyperlink"/>
                <w:rFonts w:ascii="Times New Roman" w:eastAsia="Times New Roman" w:hAnsi="Times New Roman" w:cs="Times New Roman"/>
                <w:b/>
                <w:bCs/>
                <w:noProof/>
                <w:kern w:val="0"/>
                <w:lang w:eastAsia="en-GB"/>
                <w14:ligatures w14:val="none"/>
              </w:rPr>
              <w:t>Focus strategy</w:t>
            </w:r>
            <w:r>
              <w:rPr>
                <w:noProof/>
                <w:webHidden/>
              </w:rPr>
              <w:tab/>
            </w:r>
            <w:r>
              <w:rPr>
                <w:noProof/>
                <w:webHidden/>
              </w:rPr>
              <w:fldChar w:fldCharType="begin"/>
            </w:r>
            <w:r>
              <w:rPr>
                <w:noProof/>
                <w:webHidden/>
              </w:rPr>
              <w:instrText xml:space="preserve"> PAGEREF _Toc237434252 \h </w:instrText>
            </w:r>
            <w:r>
              <w:rPr>
                <w:noProof/>
                <w:webHidden/>
              </w:rPr>
            </w:r>
            <w:r>
              <w:rPr>
                <w:noProof/>
                <w:webHidden/>
              </w:rPr>
              <w:fldChar w:fldCharType="separate"/>
            </w:r>
            <w:r>
              <w:rPr>
                <w:noProof/>
                <w:webHidden/>
              </w:rPr>
              <w:t>10</w:t>
            </w:r>
            <w:r>
              <w:rPr>
                <w:noProof/>
                <w:webHidden/>
              </w:rPr>
              <w:fldChar w:fldCharType="end"/>
            </w:r>
          </w:hyperlink>
        </w:p>
        <w:p w14:paraId="4AF6B284" w14:textId="5E88989C"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53" w:history="1">
            <w:r w:rsidRPr="00610B21">
              <w:rPr>
                <w:rStyle w:val="Hyperlink"/>
                <w:rFonts w:ascii="Times New Roman" w:hAnsi="Times New Roman" w:cs="Times New Roman"/>
                <w:noProof/>
              </w:rPr>
              <w:t>3.3</w:t>
            </w:r>
            <w:r>
              <w:rPr>
                <w:rFonts w:eastAsiaTheme="minorEastAsia"/>
                <w:b w:val="0"/>
                <w:bCs w:val="0"/>
                <w:noProof/>
                <w:sz w:val="24"/>
                <w:szCs w:val="24"/>
                <w:lang w:eastAsia="en-GB"/>
              </w:rPr>
              <w:tab/>
            </w:r>
            <w:r w:rsidRPr="00610B21">
              <w:rPr>
                <w:rStyle w:val="Hyperlink"/>
                <w:rFonts w:ascii="Times New Roman" w:hAnsi="Times New Roman" w:cs="Times New Roman"/>
                <w:noProof/>
              </w:rPr>
              <w:t>Recommended Strategy</w:t>
            </w:r>
            <w:r>
              <w:rPr>
                <w:noProof/>
                <w:webHidden/>
              </w:rPr>
              <w:tab/>
            </w:r>
            <w:r>
              <w:rPr>
                <w:noProof/>
                <w:webHidden/>
              </w:rPr>
              <w:fldChar w:fldCharType="begin"/>
            </w:r>
            <w:r>
              <w:rPr>
                <w:noProof/>
                <w:webHidden/>
              </w:rPr>
              <w:instrText xml:space="preserve"> PAGEREF _Toc237434253 \h </w:instrText>
            </w:r>
            <w:r>
              <w:rPr>
                <w:noProof/>
                <w:webHidden/>
              </w:rPr>
            </w:r>
            <w:r>
              <w:rPr>
                <w:noProof/>
                <w:webHidden/>
              </w:rPr>
              <w:fldChar w:fldCharType="separate"/>
            </w:r>
            <w:r>
              <w:rPr>
                <w:noProof/>
                <w:webHidden/>
              </w:rPr>
              <w:t>10</w:t>
            </w:r>
            <w:r>
              <w:rPr>
                <w:noProof/>
                <w:webHidden/>
              </w:rPr>
              <w:fldChar w:fldCharType="end"/>
            </w:r>
          </w:hyperlink>
        </w:p>
        <w:p w14:paraId="752B5D8C" w14:textId="547359B2" w:rsidR="003F7CB4" w:rsidRDefault="003F7CB4">
          <w:pPr>
            <w:pStyle w:val="TOC1"/>
            <w:tabs>
              <w:tab w:val="left" w:pos="480"/>
              <w:tab w:val="right" w:leader="dot" w:pos="9016"/>
            </w:tabs>
            <w:rPr>
              <w:rFonts w:eastAsiaTheme="minorEastAsia"/>
              <w:b w:val="0"/>
              <w:bCs w:val="0"/>
              <w:i w:val="0"/>
              <w:iCs w:val="0"/>
              <w:noProof/>
              <w:lang w:eastAsia="en-GB"/>
            </w:rPr>
          </w:pPr>
          <w:hyperlink w:anchor="_Toc237434254" w:history="1">
            <w:r w:rsidRPr="00610B21">
              <w:rPr>
                <w:rStyle w:val="Hyperlink"/>
                <w:rFonts w:ascii="Times New Roman" w:hAnsi="Times New Roman" w:cs="Times New Roman"/>
                <w:noProof/>
              </w:rPr>
              <w:t>4.</w:t>
            </w:r>
            <w:r>
              <w:rPr>
                <w:rFonts w:eastAsiaTheme="minorEastAsia"/>
                <w:b w:val="0"/>
                <w:bCs w:val="0"/>
                <w:i w:val="0"/>
                <w:iCs w:val="0"/>
                <w:noProof/>
                <w:lang w:eastAsia="en-GB"/>
              </w:rPr>
              <w:tab/>
            </w:r>
            <w:r w:rsidRPr="00610B21">
              <w:rPr>
                <w:rStyle w:val="Hyperlink"/>
                <w:rFonts w:ascii="Times New Roman" w:hAnsi="Times New Roman" w:cs="Times New Roman"/>
                <w:noProof/>
              </w:rPr>
              <w:t>Strategy Evaluation</w:t>
            </w:r>
            <w:r>
              <w:rPr>
                <w:noProof/>
                <w:webHidden/>
              </w:rPr>
              <w:tab/>
            </w:r>
            <w:r>
              <w:rPr>
                <w:noProof/>
                <w:webHidden/>
              </w:rPr>
              <w:fldChar w:fldCharType="begin"/>
            </w:r>
            <w:r>
              <w:rPr>
                <w:noProof/>
                <w:webHidden/>
              </w:rPr>
              <w:instrText xml:space="preserve"> PAGEREF _Toc237434254 \h </w:instrText>
            </w:r>
            <w:r>
              <w:rPr>
                <w:noProof/>
                <w:webHidden/>
              </w:rPr>
            </w:r>
            <w:r>
              <w:rPr>
                <w:noProof/>
                <w:webHidden/>
              </w:rPr>
              <w:fldChar w:fldCharType="separate"/>
            </w:r>
            <w:r>
              <w:rPr>
                <w:noProof/>
                <w:webHidden/>
              </w:rPr>
              <w:t>11</w:t>
            </w:r>
            <w:r>
              <w:rPr>
                <w:noProof/>
                <w:webHidden/>
              </w:rPr>
              <w:fldChar w:fldCharType="end"/>
            </w:r>
          </w:hyperlink>
        </w:p>
        <w:p w14:paraId="1BB0BDC5" w14:textId="3737F7EC"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55" w:history="1">
            <w:r w:rsidRPr="00610B21">
              <w:rPr>
                <w:rStyle w:val="Hyperlink"/>
                <w:rFonts w:ascii="Times New Roman" w:hAnsi="Times New Roman" w:cs="Times New Roman"/>
                <w:noProof/>
              </w:rPr>
              <w:t>4.1</w:t>
            </w:r>
            <w:r>
              <w:rPr>
                <w:rFonts w:eastAsiaTheme="minorEastAsia"/>
                <w:b w:val="0"/>
                <w:bCs w:val="0"/>
                <w:noProof/>
                <w:sz w:val="24"/>
                <w:szCs w:val="24"/>
                <w:lang w:eastAsia="en-GB"/>
              </w:rPr>
              <w:tab/>
            </w:r>
            <w:r w:rsidRPr="00610B21">
              <w:rPr>
                <w:rStyle w:val="Hyperlink"/>
                <w:rFonts w:ascii="Times New Roman" w:hAnsi="Times New Roman" w:cs="Times New Roman"/>
                <w:noProof/>
              </w:rPr>
              <w:t>SFA Framework</w:t>
            </w:r>
            <w:r>
              <w:rPr>
                <w:noProof/>
                <w:webHidden/>
              </w:rPr>
              <w:tab/>
            </w:r>
            <w:r>
              <w:rPr>
                <w:noProof/>
                <w:webHidden/>
              </w:rPr>
              <w:fldChar w:fldCharType="begin"/>
            </w:r>
            <w:r>
              <w:rPr>
                <w:noProof/>
                <w:webHidden/>
              </w:rPr>
              <w:instrText xml:space="preserve"> PAGEREF _Toc237434255 \h </w:instrText>
            </w:r>
            <w:r>
              <w:rPr>
                <w:noProof/>
                <w:webHidden/>
              </w:rPr>
            </w:r>
            <w:r>
              <w:rPr>
                <w:noProof/>
                <w:webHidden/>
              </w:rPr>
              <w:fldChar w:fldCharType="separate"/>
            </w:r>
            <w:r>
              <w:rPr>
                <w:noProof/>
                <w:webHidden/>
              </w:rPr>
              <w:t>11</w:t>
            </w:r>
            <w:r>
              <w:rPr>
                <w:noProof/>
                <w:webHidden/>
              </w:rPr>
              <w:fldChar w:fldCharType="end"/>
            </w:r>
          </w:hyperlink>
        </w:p>
        <w:p w14:paraId="666CF66C" w14:textId="15990B8E" w:rsidR="003F7CB4" w:rsidRDefault="003F7CB4">
          <w:pPr>
            <w:pStyle w:val="TOC3"/>
            <w:tabs>
              <w:tab w:val="right" w:leader="dot" w:pos="9016"/>
            </w:tabs>
            <w:rPr>
              <w:rFonts w:eastAsiaTheme="minorEastAsia"/>
              <w:noProof/>
              <w:sz w:val="24"/>
              <w:szCs w:val="24"/>
              <w:lang w:eastAsia="en-GB"/>
            </w:rPr>
          </w:pPr>
          <w:hyperlink w:anchor="_Toc237434256" w:history="1">
            <w:r w:rsidRPr="00610B21">
              <w:rPr>
                <w:rStyle w:val="Hyperlink"/>
                <w:rFonts w:ascii="Times New Roman" w:eastAsia="Times New Roman" w:hAnsi="Times New Roman" w:cs="Times New Roman"/>
                <w:b/>
                <w:bCs/>
                <w:noProof/>
                <w:kern w:val="0"/>
                <w:lang w:eastAsia="en-GB"/>
                <w14:ligatures w14:val="none"/>
              </w:rPr>
              <w:t>Suitability</w:t>
            </w:r>
            <w:r>
              <w:rPr>
                <w:noProof/>
                <w:webHidden/>
              </w:rPr>
              <w:tab/>
            </w:r>
            <w:r>
              <w:rPr>
                <w:noProof/>
                <w:webHidden/>
              </w:rPr>
              <w:fldChar w:fldCharType="begin"/>
            </w:r>
            <w:r>
              <w:rPr>
                <w:noProof/>
                <w:webHidden/>
              </w:rPr>
              <w:instrText xml:space="preserve"> PAGEREF _Toc237434256 \h </w:instrText>
            </w:r>
            <w:r>
              <w:rPr>
                <w:noProof/>
                <w:webHidden/>
              </w:rPr>
            </w:r>
            <w:r>
              <w:rPr>
                <w:noProof/>
                <w:webHidden/>
              </w:rPr>
              <w:fldChar w:fldCharType="separate"/>
            </w:r>
            <w:r>
              <w:rPr>
                <w:noProof/>
                <w:webHidden/>
              </w:rPr>
              <w:t>11</w:t>
            </w:r>
            <w:r>
              <w:rPr>
                <w:noProof/>
                <w:webHidden/>
              </w:rPr>
              <w:fldChar w:fldCharType="end"/>
            </w:r>
          </w:hyperlink>
        </w:p>
        <w:p w14:paraId="7D366E7D" w14:textId="2C78A0E1" w:rsidR="003F7CB4" w:rsidRDefault="003F7CB4">
          <w:pPr>
            <w:pStyle w:val="TOC3"/>
            <w:tabs>
              <w:tab w:val="right" w:leader="dot" w:pos="9016"/>
            </w:tabs>
            <w:rPr>
              <w:rFonts w:eastAsiaTheme="minorEastAsia"/>
              <w:noProof/>
              <w:sz w:val="24"/>
              <w:szCs w:val="24"/>
              <w:lang w:eastAsia="en-GB"/>
            </w:rPr>
          </w:pPr>
          <w:hyperlink w:anchor="_Toc237434257" w:history="1">
            <w:r w:rsidRPr="00610B21">
              <w:rPr>
                <w:rStyle w:val="Hyperlink"/>
                <w:rFonts w:ascii="Times New Roman" w:eastAsia="Times New Roman" w:hAnsi="Times New Roman" w:cs="Times New Roman"/>
                <w:b/>
                <w:bCs/>
                <w:noProof/>
                <w:kern w:val="0"/>
                <w:lang w:eastAsia="en-GB"/>
                <w14:ligatures w14:val="none"/>
              </w:rPr>
              <w:t>Feasibility</w:t>
            </w:r>
            <w:r>
              <w:rPr>
                <w:noProof/>
                <w:webHidden/>
              </w:rPr>
              <w:tab/>
            </w:r>
            <w:r>
              <w:rPr>
                <w:noProof/>
                <w:webHidden/>
              </w:rPr>
              <w:fldChar w:fldCharType="begin"/>
            </w:r>
            <w:r>
              <w:rPr>
                <w:noProof/>
                <w:webHidden/>
              </w:rPr>
              <w:instrText xml:space="preserve"> PAGEREF _Toc237434257 \h </w:instrText>
            </w:r>
            <w:r>
              <w:rPr>
                <w:noProof/>
                <w:webHidden/>
              </w:rPr>
            </w:r>
            <w:r>
              <w:rPr>
                <w:noProof/>
                <w:webHidden/>
              </w:rPr>
              <w:fldChar w:fldCharType="separate"/>
            </w:r>
            <w:r>
              <w:rPr>
                <w:noProof/>
                <w:webHidden/>
              </w:rPr>
              <w:t>12</w:t>
            </w:r>
            <w:r>
              <w:rPr>
                <w:noProof/>
                <w:webHidden/>
              </w:rPr>
              <w:fldChar w:fldCharType="end"/>
            </w:r>
          </w:hyperlink>
        </w:p>
        <w:p w14:paraId="2C39A8C6" w14:textId="3924FD95" w:rsidR="003F7CB4" w:rsidRDefault="003F7CB4">
          <w:pPr>
            <w:pStyle w:val="TOC3"/>
            <w:tabs>
              <w:tab w:val="right" w:leader="dot" w:pos="9016"/>
            </w:tabs>
            <w:rPr>
              <w:rFonts w:eastAsiaTheme="minorEastAsia"/>
              <w:noProof/>
              <w:sz w:val="24"/>
              <w:szCs w:val="24"/>
              <w:lang w:eastAsia="en-GB"/>
            </w:rPr>
          </w:pPr>
          <w:hyperlink w:anchor="_Toc237434258" w:history="1">
            <w:r w:rsidRPr="00610B21">
              <w:rPr>
                <w:rStyle w:val="Hyperlink"/>
                <w:rFonts w:ascii="Times New Roman" w:eastAsia="Times New Roman" w:hAnsi="Times New Roman" w:cs="Times New Roman"/>
                <w:b/>
                <w:bCs/>
                <w:noProof/>
                <w:kern w:val="0"/>
                <w:lang w:eastAsia="en-GB"/>
                <w14:ligatures w14:val="none"/>
              </w:rPr>
              <w:t>Acceptability</w:t>
            </w:r>
            <w:r>
              <w:rPr>
                <w:noProof/>
                <w:webHidden/>
              </w:rPr>
              <w:tab/>
            </w:r>
            <w:r>
              <w:rPr>
                <w:noProof/>
                <w:webHidden/>
              </w:rPr>
              <w:fldChar w:fldCharType="begin"/>
            </w:r>
            <w:r>
              <w:rPr>
                <w:noProof/>
                <w:webHidden/>
              </w:rPr>
              <w:instrText xml:space="preserve"> PAGEREF _Toc237434258 \h </w:instrText>
            </w:r>
            <w:r>
              <w:rPr>
                <w:noProof/>
                <w:webHidden/>
              </w:rPr>
            </w:r>
            <w:r>
              <w:rPr>
                <w:noProof/>
                <w:webHidden/>
              </w:rPr>
              <w:fldChar w:fldCharType="separate"/>
            </w:r>
            <w:r>
              <w:rPr>
                <w:noProof/>
                <w:webHidden/>
              </w:rPr>
              <w:t>12</w:t>
            </w:r>
            <w:r>
              <w:rPr>
                <w:noProof/>
                <w:webHidden/>
              </w:rPr>
              <w:fldChar w:fldCharType="end"/>
            </w:r>
          </w:hyperlink>
        </w:p>
        <w:p w14:paraId="3B0C750B" w14:textId="1E614671" w:rsidR="003F7CB4" w:rsidRDefault="003F7CB4">
          <w:pPr>
            <w:pStyle w:val="TOC1"/>
            <w:tabs>
              <w:tab w:val="left" w:pos="480"/>
              <w:tab w:val="right" w:leader="dot" w:pos="9016"/>
            </w:tabs>
            <w:rPr>
              <w:rFonts w:eastAsiaTheme="minorEastAsia"/>
              <w:b w:val="0"/>
              <w:bCs w:val="0"/>
              <w:i w:val="0"/>
              <w:iCs w:val="0"/>
              <w:noProof/>
              <w:lang w:eastAsia="en-GB"/>
            </w:rPr>
          </w:pPr>
          <w:hyperlink w:anchor="_Toc237434259" w:history="1">
            <w:r w:rsidRPr="00610B21">
              <w:rPr>
                <w:rStyle w:val="Hyperlink"/>
                <w:rFonts w:ascii="Times New Roman" w:hAnsi="Times New Roman" w:cs="Times New Roman"/>
                <w:noProof/>
              </w:rPr>
              <w:t>5.</w:t>
            </w:r>
            <w:r>
              <w:rPr>
                <w:rFonts w:eastAsiaTheme="minorEastAsia"/>
                <w:b w:val="0"/>
                <w:bCs w:val="0"/>
                <w:i w:val="0"/>
                <w:iCs w:val="0"/>
                <w:noProof/>
                <w:lang w:eastAsia="en-GB"/>
              </w:rPr>
              <w:tab/>
            </w:r>
            <w:r w:rsidRPr="00610B21">
              <w:rPr>
                <w:rStyle w:val="Hyperlink"/>
                <w:rFonts w:ascii="Times New Roman" w:hAnsi="Times New Roman" w:cs="Times New Roman"/>
                <w:noProof/>
              </w:rPr>
              <w:t>Stakeholder analysis</w:t>
            </w:r>
            <w:r>
              <w:rPr>
                <w:noProof/>
                <w:webHidden/>
              </w:rPr>
              <w:tab/>
            </w:r>
            <w:r>
              <w:rPr>
                <w:noProof/>
                <w:webHidden/>
              </w:rPr>
              <w:fldChar w:fldCharType="begin"/>
            </w:r>
            <w:r>
              <w:rPr>
                <w:noProof/>
                <w:webHidden/>
              </w:rPr>
              <w:instrText xml:space="preserve"> PAGEREF _Toc237434259 \h </w:instrText>
            </w:r>
            <w:r>
              <w:rPr>
                <w:noProof/>
                <w:webHidden/>
              </w:rPr>
            </w:r>
            <w:r>
              <w:rPr>
                <w:noProof/>
                <w:webHidden/>
              </w:rPr>
              <w:fldChar w:fldCharType="separate"/>
            </w:r>
            <w:r>
              <w:rPr>
                <w:noProof/>
                <w:webHidden/>
              </w:rPr>
              <w:t>12</w:t>
            </w:r>
            <w:r>
              <w:rPr>
                <w:noProof/>
                <w:webHidden/>
              </w:rPr>
              <w:fldChar w:fldCharType="end"/>
            </w:r>
          </w:hyperlink>
        </w:p>
        <w:p w14:paraId="67F2FAEA" w14:textId="42F5BA93"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60" w:history="1">
            <w:r w:rsidRPr="00610B21">
              <w:rPr>
                <w:rStyle w:val="Hyperlink"/>
                <w:rFonts w:ascii="Times New Roman" w:hAnsi="Times New Roman" w:cs="Times New Roman"/>
                <w:noProof/>
              </w:rPr>
              <w:t>5.1</w:t>
            </w:r>
            <w:r>
              <w:rPr>
                <w:rFonts w:eastAsiaTheme="minorEastAsia"/>
                <w:b w:val="0"/>
                <w:bCs w:val="0"/>
                <w:noProof/>
                <w:sz w:val="24"/>
                <w:szCs w:val="24"/>
                <w:lang w:eastAsia="en-GB"/>
              </w:rPr>
              <w:tab/>
            </w:r>
            <w:r w:rsidRPr="00610B21">
              <w:rPr>
                <w:rStyle w:val="Hyperlink"/>
                <w:rFonts w:ascii="Times New Roman" w:hAnsi="Times New Roman" w:cs="Times New Roman"/>
                <w:noProof/>
              </w:rPr>
              <w:t>Mendelow’s matrix</w:t>
            </w:r>
            <w:r>
              <w:rPr>
                <w:noProof/>
                <w:webHidden/>
              </w:rPr>
              <w:tab/>
            </w:r>
            <w:r>
              <w:rPr>
                <w:noProof/>
                <w:webHidden/>
              </w:rPr>
              <w:fldChar w:fldCharType="begin"/>
            </w:r>
            <w:r>
              <w:rPr>
                <w:noProof/>
                <w:webHidden/>
              </w:rPr>
              <w:instrText xml:space="preserve"> PAGEREF _Toc237434260 \h </w:instrText>
            </w:r>
            <w:r>
              <w:rPr>
                <w:noProof/>
                <w:webHidden/>
              </w:rPr>
            </w:r>
            <w:r>
              <w:rPr>
                <w:noProof/>
                <w:webHidden/>
              </w:rPr>
              <w:fldChar w:fldCharType="separate"/>
            </w:r>
            <w:r>
              <w:rPr>
                <w:noProof/>
                <w:webHidden/>
              </w:rPr>
              <w:t>13</w:t>
            </w:r>
            <w:r>
              <w:rPr>
                <w:noProof/>
                <w:webHidden/>
              </w:rPr>
              <w:fldChar w:fldCharType="end"/>
            </w:r>
          </w:hyperlink>
        </w:p>
        <w:p w14:paraId="6F90CDA1" w14:textId="6546BBC4"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61" w:history="1">
            <w:r w:rsidRPr="00610B21">
              <w:rPr>
                <w:rStyle w:val="Hyperlink"/>
                <w:rFonts w:ascii="Times New Roman" w:hAnsi="Times New Roman" w:cs="Times New Roman"/>
                <w:noProof/>
              </w:rPr>
              <w:t>5.2</w:t>
            </w:r>
            <w:r>
              <w:rPr>
                <w:rFonts w:eastAsiaTheme="minorEastAsia"/>
                <w:b w:val="0"/>
                <w:bCs w:val="0"/>
                <w:noProof/>
                <w:sz w:val="24"/>
                <w:szCs w:val="24"/>
                <w:lang w:eastAsia="en-GB"/>
              </w:rPr>
              <w:tab/>
            </w:r>
            <w:r w:rsidRPr="00610B21">
              <w:rPr>
                <w:rStyle w:val="Hyperlink"/>
                <w:rFonts w:ascii="Times New Roman" w:hAnsi="Times New Roman" w:cs="Times New Roman"/>
                <w:noProof/>
              </w:rPr>
              <w:t>Stakeholder Engagement plan</w:t>
            </w:r>
            <w:r>
              <w:rPr>
                <w:noProof/>
                <w:webHidden/>
              </w:rPr>
              <w:tab/>
            </w:r>
            <w:r>
              <w:rPr>
                <w:noProof/>
                <w:webHidden/>
              </w:rPr>
              <w:fldChar w:fldCharType="begin"/>
            </w:r>
            <w:r>
              <w:rPr>
                <w:noProof/>
                <w:webHidden/>
              </w:rPr>
              <w:instrText xml:space="preserve"> PAGEREF _Toc237434261 \h </w:instrText>
            </w:r>
            <w:r>
              <w:rPr>
                <w:noProof/>
                <w:webHidden/>
              </w:rPr>
            </w:r>
            <w:r>
              <w:rPr>
                <w:noProof/>
                <w:webHidden/>
              </w:rPr>
              <w:fldChar w:fldCharType="separate"/>
            </w:r>
            <w:r>
              <w:rPr>
                <w:noProof/>
                <w:webHidden/>
              </w:rPr>
              <w:t>13</w:t>
            </w:r>
            <w:r>
              <w:rPr>
                <w:noProof/>
                <w:webHidden/>
              </w:rPr>
              <w:fldChar w:fldCharType="end"/>
            </w:r>
          </w:hyperlink>
        </w:p>
        <w:p w14:paraId="212D8589" w14:textId="01BD654A" w:rsidR="003F7CB4" w:rsidRDefault="003F7CB4">
          <w:pPr>
            <w:pStyle w:val="TOC1"/>
            <w:tabs>
              <w:tab w:val="left" w:pos="480"/>
              <w:tab w:val="right" w:leader="dot" w:pos="9016"/>
            </w:tabs>
            <w:rPr>
              <w:rFonts w:eastAsiaTheme="minorEastAsia"/>
              <w:b w:val="0"/>
              <w:bCs w:val="0"/>
              <w:i w:val="0"/>
              <w:iCs w:val="0"/>
              <w:noProof/>
              <w:lang w:eastAsia="en-GB"/>
            </w:rPr>
          </w:pPr>
          <w:hyperlink w:anchor="_Toc237434262" w:history="1">
            <w:r w:rsidRPr="00610B21">
              <w:rPr>
                <w:rStyle w:val="Hyperlink"/>
                <w:rFonts w:ascii="Times New Roman" w:hAnsi="Times New Roman" w:cs="Times New Roman"/>
                <w:noProof/>
              </w:rPr>
              <w:t>6.</w:t>
            </w:r>
            <w:r>
              <w:rPr>
                <w:rFonts w:eastAsiaTheme="minorEastAsia"/>
                <w:b w:val="0"/>
                <w:bCs w:val="0"/>
                <w:i w:val="0"/>
                <w:iCs w:val="0"/>
                <w:noProof/>
                <w:lang w:eastAsia="en-GB"/>
              </w:rPr>
              <w:tab/>
            </w:r>
            <w:r w:rsidRPr="00610B21">
              <w:rPr>
                <w:rStyle w:val="Hyperlink"/>
                <w:rFonts w:ascii="Times New Roman" w:hAnsi="Times New Roman" w:cs="Times New Roman"/>
                <w:noProof/>
              </w:rPr>
              <w:t>Implementation and Monitoring</w:t>
            </w:r>
            <w:r>
              <w:rPr>
                <w:noProof/>
                <w:webHidden/>
              </w:rPr>
              <w:tab/>
            </w:r>
            <w:r>
              <w:rPr>
                <w:noProof/>
                <w:webHidden/>
              </w:rPr>
              <w:fldChar w:fldCharType="begin"/>
            </w:r>
            <w:r>
              <w:rPr>
                <w:noProof/>
                <w:webHidden/>
              </w:rPr>
              <w:instrText xml:space="preserve"> PAGEREF _Toc237434262 \h </w:instrText>
            </w:r>
            <w:r>
              <w:rPr>
                <w:noProof/>
                <w:webHidden/>
              </w:rPr>
            </w:r>
            <w:r>
              <w:rPr>
                <w:noProof/>
                <w:webHidden/>
              </w:rPr>
              <w:fldChar w:fldCharType="separate"/>
            </w:r>
            <w:r>
              <w:rPr>
                <w:noProof/>
                <w:webHidden/>
              </w:rPr>
              <w:t>14</w:t>
            </w:r>
            <w:r>
              <w:rPr>
                <w:noProof/>
                <w:webHidden/>
              </w:rPr>
              <w:fldChar w:fldCharType="end"/>
            </w:r>
          </w:hyperlink>
        </w:p>
        <w:p w14:paraId="6A68AFC2" w14:textId="076D852F"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63" w:history="1">
            <w:r w:rsidRPr="00610B21">
              <w:rPr>
                <w:rStyle w:val="Hyperlink"/>
                <w:rFonts w:ascii="Times New Roman" w:hAnsi="Times New Roman" w:cs="Times New Roman"/>
                <w:noProof/>
              </w:rPr>
              <w:t>6.1</w:t>
            </w:r>
            <w:r>
              <w:rPr>
                <w:rFonts w:eastAsiaTheme="minorEastAsia"/>
                <w:b w:val="0"/>
                <w:bCs w:val="0"/>
                <w:noProof/>
                <w:sz w:val="24"/>
                <w:szCs w:val="24"/>
                <w:lang w:eastAsia="en-GB"/>
              </w:rPr>
              <w:tab/>
            </w:r>
            <w:r w:rsidRPr="00610B21">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_Toc237434263 \h </w:instrText>
            </w:r>
            <w:r>
              <w:rPr>
                <w:noProof/>
                <w:webHidden/>
              </w:rPr>
            </w:r>
            <w:r>
              <w:rPr>
                <w:noProof/>
                <w:webHidden/>
              </w:rPr>
              <w:fldChar w:fldCharType="separate"/>
            </w:r>
            <w:r>
              <w:rPr>
                <w:noProof/>
                <w:webHidden/>
              </w:rPr>
              <w:t>14</w:t>
            </w:r>
            <w:r>
              <w:rPr>
                <w:noProof/>
                <w:webHidden/>
              </w:rPr>
              <w:fldChar w:fldCharType="end"/>
            </w:r>
          </w:hyperlink>
        </w:p>
        <w:p w14:paraId="4D2BA142" w14:textId="4D98E466"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64" w:history="1">
            <w:r w:rsidRPr="00610B21">
              <w:rPr>
                <w:rStyle w:val="Hyperlink"/>
                <w:rFonts w:ascii="Times New Roman" w:hAnsi="Times New Roman" w:cs="Times New Roman"/>
                <w:noProof/>
              </w:rPr>
              <w:t>6.2</w:t>
            </w:r>
            <w:r>
              <w:rPr>
                <w:rFonts w:eastAsiaTheme="minorEastAsia"/>
                <w:b w:val="0"/>
                <w:bCs w:val="0"/>
                <w:noProof/>
                <w:sz w:val="24"/>
                <w:szCs w:val="24"/>
                <w:lang w:eastAsia="en-GB"/>
              </w:rPr>
              <w:tab/>
            </w:r>
            <w:r w:rsidRPr="00610B21">
              <w:rPr>
                <w:rStyle w:val="Hyperlink"/>
                <w:rFonts w:ascii="Times New Roman" w:hAnsi="Times New Roman" w:cs="Times New Roman"/>
                <w:noProof/>
              </w:rPr>
              <w:t>Timeline</w:t>
            </w:r>
            <w:r>
              <w:rPr>
                <w:noProof/>
                <w:webHidden/>
              </w:rPr>
              <w:tab/>
            </w:r>
            <w:r>
              <w:rPr>
                <w:noProof/>
                <w:webHidden/>
              </w:rPr>
              <w:fldChar w:fldCharType="begin"/>
            </w:r>
            <w:r>
              <w:rPr>
                <w:noProof/>
                <w:webHidden/>
              </w:rPr>
              <w:instrText xml:space="preserve"> PAGEREF _Toc237434264 \h </w:instrText>
            </w:r>
            <w:r>
              <w:rPr>
                <w:noProof/>
                <w:webHidden/>
              </w:rPr>
            </w:r>
            <w:r>
              <w:rPr>
                <w:noProof/>
                <w:webHidden/>
              </w:rPr>
              <w:fldChar w:fldCharType="separate"/>
            </w:r>
            <w:r>
              <w:rPr>
                <w:noProof/>
                <w:webHidden/>
              </w:rPr>
              <w:t>14</w:t>
            </w:r>
            <w:r>
              <w:rPr>
                <w:noProof/>
                <w:webHidden/>
              </w:rPr>
              <w:fldChar w:fldCharType="end"/>
            </w:r>
          </w:hyperlink>
        </w:p>
        <w:p w14:paraId="1DD63D84" w14:textId="0BC6D5E0" w:rsidR="003F7CB4" w:rsidRDefault="003F7CB4">
          <w:pPr>
            <w:pStyle w:val="TOC2"/>
            <w:tabs>
              <w:tab w:val="left" w:pos="960"/>
              <w:tab w:val="right" w:leader="dot" w:pos="9016"/>
            </w:tabs>
            <w:rPr>
              <w:rFonts w:eastAsiaTheme="minorEastAsia"/>
              <w:b w:val="0"/>
              <w:bCs w:val="0"/>
              <w:noProof/>
              <w:sz w:val="24"/>
              <w:szCs w:val="24"/>
              <w:lang w:eastAsia="en-GB"/>
            </w:rPr>
          </w:pPr>
          <w:hyperlink w:anchor="_Toc237434265" w:history="1">
            <w:r w:rsidRPr="00610B21">
              <w:rPr>
                <w:rStyle w:val="Hyperlink"/>
                <w:rFonts w:ascii="Times New Roman" w:hAnsi="Times New Roman" w:cs="Times New Roman"/>
                <w:noProof/>
              </w:rPr>
              <w:t>6.3</w:t>
            </w:r>
            <w:r>
              <w:rPr>
                <w:rFonts w:eastAsiaTheme="minorEastAsia"/>
                <w:b w:val="0"/>
                <w:bCs w:val="0"/>
                <w:noProof/>
                <w:sz w:val="24"/>
                <w:szCs w:val="24"/>
                <w:lang w:eastAsia="en-GB"/>
              </w:rPr>
              <w:tab/>
            </w:r>
            <w:r w:rsidRPr="00610B21">
              <w:rPr>
                <w:rStyle w:val="Hyperlink"/>
                <w:rFonts w:ascii="Times New Roman" w:hAnsi="Times New Roman" w:cs="Times New Roman"/>
                <w:noProof/>
              </w:rPr>
              <w:t>KPIs</w:t>
            </w:r>
            <w:r>
              <w:rPr>
                <w:noProof/>
                <w:webHidden/>
              </w:rPr>
              <w:tab/>
            </w:r>
            <w:r>
              <w:rPr>
                <w:noProof/>
                <w:webHidden/>
              </w:rPr>
              <w:fldChar w:fldCharType="begin"/>
            </w:r>
            <w:r>
              <w:rPr>
                <w:noProof/>
                <w:webHidden/>
              </w:rPr>
              <w:instrText xml:space="preserve"> PAGEREF _Toc237434265 \h </w:instrText>
            </w:r>
            <w:r>
              <w:rPr>
                <w:noProof/>
                <w:webHidden/>
              </w:rPr>
            </w:r>
            <w:r>
              <w:rPr>
                <w:noProof/>
                <w:webHidden/>
              </w:rPr>
              <w:fldChar w:fldCharType="separate"/>
            </w:r>
            <w:r>
              <w:rPr>
                <w:noProof/>
                <w:webHidden/>
              </w:rPr>
              <w:t>15</w:t>
            </w:r>
            <w:r>
              <w:rPr>
                <w:noProof/>
                <w:webHidden/>
              </w:rPr>
              <w:fldChar w:fldCharType="end"/>
            </w:r>
          </w:hyperlink>
        </w:p>
        <w:p w14:paraId="3F02B0F1" w14:textId="4DA3772E" w:rsidR="003F7CB4" w:rsidRDefault="003F7CB4">
          <w:pPr>
            <w:pStyle w:val="TOC1"/>
            <w:tabs>
              <w:tab w:val="left" w:pos="480"/>
              <w:tab w:val="right" w:leader="dot" w:pos="9016"/>
            </w:tabs>
            <w:rPr>
              <w:rFonts w:eastAsiaTheme="minorEastAsia"/>
              <w:b w:val="0"/>
              <w:bCs w:val="0"/>
              <w:i w:val="0"/>
              <w:iCs w:val="0"/>
              <w:noProof/>
              <w:lang w:eastAsia="en-GB"/>
            </w:rPr>
          </w:pPr>
          <w:hyperlink w:anchor="_Toc237434266" w:history="1">
            <w:r w:rsidRPr="00610B21">
              <w:rPr>
                <w:rStyle w:val="Hyperlink"/>
                <w:rFonts w:ascii="Times New Roman" w:hAnsi="Times New Roman" w:cs="Times New Roman"/>
                <w:noProof/>
              </w:rPr>
              <w:t>7.</w:t>
            </w:r>
            <w:r>
              <w:rPr>
                <w:rFonts w:eastAsiaTheme="minorEastAsia"/>
                <w:b w:val="0"/>
                <w:bCs w:val="0"/>
                <w:i w:val="0"/>
                <w:iCs w:val="0"/>
                <w:noProof/>
                <w:lang w:eastAsia="en-GB"/>
              </w:rPr>
              <w:tab/>
            </w:r>
            <w:r w:rsidRPr="00610B2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_Toc237434266 \h </w:instrText>
            </w:r>
            <w:r>
              <w:rPr>
                <w:noProof/>
                <w:webHidden/>
              </w:rPr>
            </w:r>
            <w:r>
              <w:rPr>
                <w:noProof/>
                <w:webHidden/>
              </w:rPr>
              <w:fldChar w:fldCharType="separate"/>
            </w:r>
            <w:r>
              <w:rPr>
                <w:noProof/>
                <w:webHidden/>
              </w:rPr>
              <w:t>16</w:t>
            </w:r>
            <w:r>
              <w:rPr>
                <w:noProof/>
                <w:webHidden/>
              </w:rPr>
              <w:fldChar w:fldCharType="end"/>
            </w:r>
          </w:hyperlink>
        </w:p>
        <w:p w14:paraId="654AEC09" w14:textId="4B1D3A42" w:rsidR="003F7CB4" w:rsidRDefault="003F7CB4">
          <w:pPr>
            <w:pStyle w:val="TOC1"/>
            <w:tabs>
              <w:tab w:val="left" w:pos="480"/>
              <w:tab w:val="right" w:leader="dot" w:pos="9016"/>
            </w:tabs>
            <w:rPr>
              <w:rFonts w:eastAsiaTheme="minorEastAsia"/>
              <w:b w:val="0"/>
              <w:bCs w:val="0"/>
              <w:i w:val="0"/>
              <w:iCs w:val="0"/>
              <w:noProof/>
              <w:lang w:eastAsia="en-GB"/>
            </w:rPr>
          </w:pPr>
          <w:hyperlink w:anchor="_Toc237434267" w:history="1">
            <w:r w:rsidRPr="00610B21">
              <w:rPr>
                <w:rStyle w:val="Hyperlink"/>
                <w:rFonts w:ascii="Times New Roman" w:hAnsi="Times New Roman" w:cs="Times New Roman"/>
                <w:noProof/>
              </w:rPr>
              <w:t>8.</w:t>
            </w:r>
            <w:r>
              <w:rPr>
                <w:rFonts w:eastAsiaTheme="minorEastAsia"/>
                <w:b w:val="0"/>
                <w:bCs w:val="0"/>
                <w:i w:val="0"/>
                <w:iCs w:val="0"/>
                <w:noProof/>
                <w:lang w:eastAsia="en-GB"/>
              </w:rPr>
              <w:tab/>
            </w:r>
            <w:r w:rsidRPr="00610B2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_Toc237434267 \h </w:instrText>
            </w:r>
            <w:r>
              <w:rPr>
                <w:noProof/>
                <w:webHidden/>
              </w:rPr>
            </w:r>
            <w:r>
              <w:rPr>
                <w:noProof/>
                <w:webHidden/>
              </w:rPr>
              <w:fldChar w:fldCharType="separate"/>
            </w:r>
            <w:r>
              <w:rPr>
                <w:noProof/>
                <w:webHidden/>
              </w:rPr>
              <w:t>17</w:t>
            </w:r>
            <w:r>
              <w:rPr>
                <w:noProof/>
                <w:webHidden/>
              </w:rPr>
              <w:fldChar w:fldCharType="end"/>
            </w:r>
          </w:hyperlink>
        </w:p>
        <w:p w14:paraId="5242C668" w14:textId="064DF0FC" w:rsidR="00BC6A7A" w:rsidRPr="0010077F" w:rsidRDefault="00BC6A7A" w:rsidP="0010077F">
          <w:pPr>
            <w:jc w:val="both"/>
            <w:rPr>
              <w:rFonts w:ascii="Times New Roman" w:hAnsi="Times New Roman" w:cs="Times New Roman"/>
            </w:rPr>
          </w:pPr>
          <w:r w:rsidRPr="0010077F">
            <w:rPr>
              <w:rFonts w:ascii="Times New Roman" w:hAnsi="Times New Roman" w:cs="Times New Roman"/>
              <w:b/>
              <w:bCs/>
              <w:noProof/>
            </w:rPr>
            <w:fldChar w:fldCharType="end"/>
          </w:r>
        </w:p>
      </w:sdtContent>
    </w:sdt>
    <w:p w14:paraId="0B910875" w14:textId="586F694A" w:rsidR="00BC6A7A" w:rsidRPr="0010077F" w:rsidRDefault="00BC6A7A" w:rsidP="0010077F">
      <w:pPr>
        <w:pStyle w:val="Heading1"/>
        <w:numPr>
          <w:ilvl w:val="0"/>
          <w:numId w:val="4"/>
        </w:numPr>
        <w:jc w:val="both"/>
        <w:rPr>
          <w:rFonts w:ascii="Times New Roman" w:hAnsi="Times New Roman" w:cs="Times New Roman"/>
        </w:rPr>
      </w:pPr>
      <w:r w:rsidRPr="0010077F">
        <w:rPr>
          <w:rFonts w:ascii="Times New Roman" w:hAnsi="Times New Roman" w:cs="Times New Roman"/>
        </w:rPr>
        <w:br w:type="page"/>
      </w:r>
      <w:bookmarkStart w:id="0" w:name="_Toc237434233"/>
      <w:r w:rsidRPr="0010077F">
        <w:rPr>
          <w:rFonts w:ascii="Times New Roman" w:hAnsi="Times New Roman" w:cs="Times New Roman"/>
        </w:rPr>
        <w:lastRenderedPageBreak/>
        <w:t>Introduction</w:t>
      </w:r>
      <w:bookmarkEnd w:id="0"/>
    </w:p>
    <w:p w14:paraId="36F09F59" w14:textId="77777777" w:rsidR="003A2B79" w:rsidRPr="0010077F" w:rsidRDefault="003A2B79" w:rsidP="0010077F">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 is one of the world's leading telecommunications businesses, providing mobile, broadband, fixed-line, cloud and digital services to consumers and organisations across Europe and Africa. In the United Kingdom, the company has developed a significant market position through investment in network infrastructure, digital services and customer connectivity. Vodafone's strategic purpose is centred on connecting people and businesses while using technology to support an inclusive, sustainable and digitally connected society (Vodafone Group Plc, n.d.).</w:t>
      </w:r>
    </w:p>
    <w:p w14:paraId="481DE921" w14:textId="77777777" w:rsidR="003A2B79" w:rsidRPr="0010077F" w:rsidRDefault="003A2B79" w:rsidP="0010077F">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UK telecommunications industry is undergoing substantial transformation. Rapid technological development, increasing demand for reliable connectivity, changing customer expectations, cybersecurity risks and regulatory intervention are reshaping competition. These factors require telecommunications companies to invest continuously while also maintaining affordable prices, service quality and regulatory compliance.</w:t>
      </w:r>
    </w:p>
    <w:p w14:paraId="3E8581FC" w14:textId="0A4418A1" w:rsidR="003A2B79" w:rsidRPr="0010077F" w:rsidRDefault="003A2B79" w:rsidP="0010077F">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A major development in Vodafone UK's strategic position has been its combination with Three UK to create </w:t>
      </w:r>
      <w:r w:rsidR="003F7CB4" w:rsidRPr="0010077F">
        <w:rPr>
          <w:rFonts w:ascii="Times New Roman" w:eastAsia="Times New Roman" w:hAnsi="Times New Roman" w:cs="Times New Roman"/>
          <w:kern w:val="0"/>
          <w:lang w:eastAsia="en-GB"/>
          <w14:ligatures w14:val="none"/>
        </w:rPr>
        <w:t>Vodafone Three</w:t>
      </w:r>
      <w:r w:rsidRPr="0010077F">
        <w:rPr>
          <w:rFonts w:ascii="Times New Roman" w:eastAsia="Times New Roman" w:hAnsi="Times New Roman" w:cs="Times New Roman"/>
          <w:kern w:val="0"/>
          <w:lang w:eastAsia="en-GB"/>
          <w14:ligatures w14:val="none"/>
        </w:rPr>
        <w:t>. The merger provides an opportunity to integrate network assets, improve coverage, accelerate the deployment of standalone 5G and reduce duplicated operating activities. 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has also committed to investing £11 billion in its UK network over ten years. This investment is intended to strengthen infrastructure and improve connectivity for consumers, businesses and communities (Rudolph, 2025).</w:t>
      </w:r>
    </w:p>
    <w:p w14:paraId="22D88913" w14:textId="5A6DA294" w:rsidR="003A2B79" w:rsidRPr="0010077F" w:rsidRDefault="003A2B79" w:rsidP="0010077F">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Nevertheless, the merger does not automatically guarantee strategic success. Combining two large organisations creates risks involving system integration, organisational culture, employee uncertainty, customer service and regulatory compliance. Vodafone must therefore transform the scale created by the merger into measurable improvements in network quality and customer value.</w:t>
      </w:r>
    </w:p>
    <w:p w14:paraId="680F6049" w14:textId="2D3F1066" w:rsidR="003A2B79" w:rsidRPr="0010077F" w:rsidRDefault="003A2B79" w:rsidP="0010077F">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This report evaluates Vodafone</w:t>
      </w:r>
      <w:r w:rsidR="002046CC"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Three's strategic position through PESTEL analysis, Porter's Five Forces, SWOT analysis, Ansoff's Matrix, Porter's Generic Strategies, the SFA framework and stakeholder analysis. Based on these assessments, it recommends a strategy of related product development supported by differentiation, focusing on 5G-enabled business solutions, cloud services, cybersecurity, artificial intelligence and Internet of Things applications.</w:t>
      </w:r>
    </w:p>
    <w:p w14:paraId="5AFCFA63" w14:textId="6A168F42" w:rsidR="00EB2828" w:rsidRPr="0010077F" w:rsidRDefault="00EB2828" w:rsidP="0010077F">
      <w:pPr>
        <w:jc w:val="both"/>
        <w:rPr>
          <w:rFonts w:ascii="Times New Roman" w:eastAsiaTheme="majorEastAsia" w:hAnsi="Times New Roman" w:cs="Times New Roman"/>
          <w:color w:val="0F4761" w:themeColor="accent1" w:themeShade="BF"/>
          <w:sz w:val="40"/>
          <w:szCs w:val="40"/>
        </w:rPr>
      </w:pPr>
      <w:r w:rsidRPr="0010077F">
        <w:rPr>
          <w:rFonts w:ascii="Times New Roman" w:hAnsi="Times New Roman" w:cs="Times New Roman"/>
        </w:rPr>
        <w:br w:type="page"/>
      </w:r>
    </w:p>
    <w:p w14:paraId="75F16BAB" w14:textId="40A438BF" w:rsidR="00BC6A7A" w:rsidRPr="0010077F" w:rsidRDefault="00EB2828" w:rsidP="0010077F">
      <w:pPr>
        <w:pStyle w:val="Heading1"/>
        <w:numPr>
          <w:ilvl w:val="0"/>
          <w:numId w:val="4"/>
        </w:numPr>
        <w:jc w:val="both"/>
        <w:rPr>
          <w:rFonts w:ascii="Times New Roman" w:hAnsi="Times New Roman" w:cs="Times New Roman"/>
        </w:rPr>
      </w:pPr>
      <w:bookmarkStart w:id="1" w:name="_Toc237434234"/>
      <w:r w:rsidRPr="0010077F">
        <w:rPr>
          <w:rFonts w:ascii="Times New Roman" w:hAnsi="Times New Roman" w:cs="Times New Roman"/>
        </w:rPr>
        <w:lastRenderedPageBreak/>
        <w:t>Evaluation of c</w:t>
      </w:r>
      <w:r w:rsidR="00BC6A7A" w:rsidRPr="0010077F">
        <w:rPr>
          <w:rFonts w:ascii="Times New Roman" w:hAnsi="Times New Roman" w:cs="Times New Roman"/>
        </w:rPr>
        <w:t>urrent Market Situation</w:t>
      </w:r>
      <w:bookmarkEnd w:id="1"/>
    </w:p>
    <w:p w14:paraId="1C25B41D" w14:textId="1A208723" w:rsidR="00BC6A7A" w:rsidRPr="0010077F" w:rsidRDefault="00EB2828" w:rsidP="0010077F">
      <w:pPr>
        <w:pStyle w:val="Heading2"/>
        <w:numPr>
          <w:ilvl w:val="1"/>
          <w:numId w:val="4"/>
        </w:numPr>
        <w:jc w:val="both"/>
        <w:rPr>
          <w:rFonts w:ascii="Times New Roman" w:hAnsi="Times New Roman" w:cs="Times New Roman"/>
        </w:rPr>
      </w:pPr>
      <w:bookmarkStart w:id="2" w:name="_Toc237434235"/>
      <w:r w:rsidRPr="0010077F">
        <w:rPr>
          <w:rFonts w:ascii="Times New Roman" w:hAnsi="Times New Roman" w:cs="Times New Roman"/>
        </w:rPr>
        <w:t>Pestel Analysis</w:t>
      </w:r>
      <w:bookmarkEnd w:id="2"/>
      <w:r w:rsidRPr="0010077F">
        <w:rPr>
          <w:rFonts w:ascii="Times New Roman" w:hAnsi="Times New Roman" w:cs="Times New Roman"/>
        </w:rPr>
        <w:t xml:space="preserve"> </w:t>
      </w:r>
    </w:p>
    <w:p w14:paraId="39239A37" w14:textId="10014605" w:rsidR="003A2B79" w:rsidRPr="0010077F" w:rsidRDefault="003A2B79" w:rsidP="0010077F">
      <w:pPr>
        <w:jc w:val="both"/>
        <w:rPr>
          <w:rFonts w:ascii="Times New Roman" w:hAnsi="Times New Roman" w:cs="Times New Roman"/>
        </w:rPr>
      </w:pPr>
      <w:r w:rsidRPr="0010077F">
        <w:rPr>
          <w:rFonts w:ascii="Times New Roman" w:hAnsi="Times New Roman" w:cs="Times New Roman"/>
        </w:rPr>
        <w:t>PESTEL analysis assesses the political, economic, social, technological, environmental and legal factors influencing Vodafone</w:t>
      </w:r>
      <w:r w:rsidR="0010077F" w:rsidRPr="0010077F">
        <w:rPr>
          <w:rFonts w:ascii="Times New Roman" w:hAnsi="Times New Roman" w:cs="Times New Roman"/>
        </w:rPr>
        <w:t xml:space="preserve"> </w:t>
      </w:r>
      <w:r w:rsidRPr="0010077F">
        <w:rPr>
          <w:rFonts w:ascii="Times New Roman" w:hAnsi="Times New Roman" w:cs="Times New Roman"/>
        </w:rPr>
        <w:t>strategic position.</w:t>
      </w:r>
    </w:p>
    <w:p w14:paraId="25DFF524" w14:textId="77777777" w:rsidR="003A2B79" w:rsidRPr="0010077F" w:rsidRDefault="003A2B79" w:rsidP="0010077F">
      <w:pPr>
        <w:jc w:val="both"/>
        <w:rPr>
          <w:rFonts w:ascii="Times New Roman" w:hAnsi="Times New Roman" w:cs="Times New Roman"/>
          <w:b/>
          <w:bCs/>
        </w:rPr>
      </w:pPr>
      <w:r w:rsidRPr="0010077F">
        <w:rPr>
          <w:rFonts w:ascii="Times New Roman" w:hAnsi="Times New Roman" w:cs="Times New Roman"/>
          <w:b/>
          <w:bCs/>
        </w:rPr>
        <w:t>Political factors</w:t>
      </w:r>
    </w:p>
    <w:p w14:paraId="1BCC32A8" w14:textId="61AC0274"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 UK Government considers digital connectivity important for productivity, regional development and economic competitiveness. Public support for 5G deployment and improved mobile coverage creates opportunities for Vodafone</w:t>
      </w:r>
      <w:r w:rsidR="0010077F" w:rsidRPr="0010077F">
        <w:rPr>
          <w:rFonts w:ascii="Times New Roman" w:hAnsi="Times New Roman" w:cs="Times New Roman"/>
        </w:rPr>
        <w:t xml:space="preserve"> </w:t>
      </w:r>
      <w:r w:rsidRPr="0010077F">
        <w:rPr>
          <w:rFonts w:ascii="Times New Roman" w:hAnsi="Times New Roman" w:cs="Times New Roman"/>
        </w:rPr>
        <w:t>to participate in the expansion of the country's digital infrastructure.</w:t>
      </w:r>
    </w:p>
    <w:p w14:paraId="03C022F0" w14:textId="58CDC3E7" w:rsidR="003A2B79" w:rsidRPr="0010077F" w:rsidRDefault="003A2B79" w:rsidP="0010077F">
      <w:pPr>
        <w:jc w:val="both"/>
        <w:rPr>
          <w:rFonts w:ascii="Times New Roman" w:hAnsi="Times New Roman" w:cs="Times New Roman"/>
        </w:rPr>
      </w:pPr>
      <w:r w:rsidRPr="0010077F">
        <w:rPr>
          <w:rFonts w:ascii="Times New Roman" w:hAnsi="Times New Roman" w:cs="Times New Roman"/>
        </w:rPr>
        <w:t>At the same time, telecommunications is a politically sensitive and heavily regulated industry. Vodafone</w:t>
      </w:r>
      <w:r w:rsidR="0010077F" w:rsidRPr="0010077F">
        <w:rPr>
          <w:rFonts w:ascii="Times New Roman" w:hAnsi="Times New Roman" w:cs="Times New Roman"/>
        </w:rPr>
        <w:t xml:space="preserve"> </w:t>
      </w:r>
      <w:r w:rsidRPr="0010077F">
        <w:rPr>
          <w:rFonts w:ascii="Times New Roman" w:hAnsi="Times New Roman" w:cs="Times New Roman"/>
        </w:rPr>
        <w:t>is subject to oversight by organisations including Ofcom and the Competition and Markets Authority. Regulatory scrutiny is particularly important because the merger reduced the number of major mobile network operators in the UK. Vodafone must consequently demonstrate that the merger produces better network quality, investment and customer outcomes rather than weaker competition or excessive price increases.</w:t>
      </w:r>
    </w:p>
    <w:p w14:paraId="7D0904BC"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Government policies relating to national security, critical infrastructure and telecommunications suppliers may also influence procurement decisions and network costs. Political support therefore creates growth opportunities, but it is accompanied by considerable accountability.</w:t>
      </w:r>
    </w:p>
    <w:p w14:paraId="5E079F4C" w14:textId="77777777" w:rsidR="003A2B79" w:rsidRPr="0010077F" w:rsidRDefault="003A2B79" w:rsidP="0010077F">
      <w:pPr>
        <w:jc w:val="both"/>
        <w:rPr>
          <w:rFonts w:ascii="Times New Roman" w:hAnsi="Times New Roman" w:cs="Times New Roman"/>
          <w:b/>
          <w:bCs/>
        </w:rPr>
      </w:pPr>
      <w:r w:rsidRPr="0010077F">
        <w:rPr>
          <w:rFonts w:ascii="Times New Roman" w:hAnsi="Times New Roman" w:cs="Times New Roman"/>
          <w:b/>
          <w:bCs/>
        </w:rPr>
        <w:t>Economic factors</w:t>
      </w:r>
    </w:p>
    <w:p w14:paraId="65772250" w14:textId="182E06AD" w:rsidR="003A2B79" w:rsidRPr="0010077F" w:rsidRDefault="003A2B79" w:rsidP="0010077F">
      <w:pPr>
        <w:jc w:val="both"/>
        <w:rPr>
          <w:rFonts w:ascii="Times New Roman" w:hAnsi="Times New Roman" w:cs="Times New Roman"/>
        </w:rPr>
      </w:pPr>
      <w:r w:rsidRPr="0010077F">
        <w:rPr>
          <w:rFonts w:ascii="Times New Roman" w:hAnsi="Times New Roman" w:cs="Times New Roman"/>
        </w:rPr>
        <w:t xml:space="preserve">Inflation and the increased cost of living have made consumers more </w:t>
      </w:r>
      <w:r w:rsidR="0010077F" w:rsidRPr="0010077F">
        <w:rPr>
          <w:rFonts w:ascii="Times New Roman" w:hAnsi="Times New Roman" w:cs="Times New Roman"/>
        </w:rPr>
        <w:t>price conscious</w:t>
      </w:r>
      <w:r w:rsidRPr="0010077F">
        <w:rPr>
          <w:rFonts w:ascii="Times New Roman" w:hAnsi="Times New Roman" w:cs="Times New Roman"/>
        </w:rPr>
        <w:t xml:space="preserve">. Mobile and broadband customers can compare providers easily and may change networks when contracts become expensive. </w:t>
      </w:r>
      <w:r w:rsidR="0010077F" w:rsidRPr="0010077F">
        <w:rPr>
          <w:rFonts w:ascii="Times New Roman" w:hAnsi="Times New Roman" w:cs="Times New Roman"/>
        </w:rPr>
        <w:t xml:space="preserve">Vodafone </w:t>
      </w:r>
      <w:r w:rsidRPr="0010077F">
        <w:rPr>
          <w:rFonts w:ascii="Times New Roman" w:hAnsi="Times New Roman" w:cs="Times New Roman"/>
        </w:rPr>
        <w:t>must balance the need to fund investment with the need to offer accessible and competitive tariffs.</w:t>
      </w:r>
    </w:p>
    <w:p w14:paraId="266C52FF"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 merger creates an opportunity to achieve economies of scale by consolidating networks, procurement processes, retail activities and administrative functions. Reducing duplicated operations could free resources for infrastructure investment and digital product development. Industry analysis has suggested that the combined organisation expects substantial annual cost and capital expenditure efficiencies (SWOT &amp; PESTLE, 2025).</w:t>
      </w:r>
    </w:p>
    <w:p w14:paraId="24B8C4C0" w14:textId="15EEE3FF" w:rsidR="003A2B79" w:rsidRPr="0010077F" w:rsidRDefault="003A2B79" w:rsidP="0010077F">
      <w:pPr>
        <w:jc w:val="both"/>
        <w:rPr>
          <w:rFonts w:ascii="Times New Roman" w:hAnsi="Times New Roman" w:cs="Times New Roman"/>
        </w:rPr>
      </w:pPr>
      <w:r w:rsidRPr="0010077F">
        <w:rPr>
          <w:rFonts w:ascii="Times New Roman" w:hAnsi="Times New Roman" w:cs="Times New Roman"/>
        </w:rPr>
        <w:t xml:space="preserve">However, telecommunications </w:t>
      </w:r>
      <w:r w:rsidR="0010077F" w:rsidRPr="0010077F">
        <w:rPr>
          <w:rFonts w:ascii="Times New Roman" w:hAnsi="Times New Roman" w:cs="Times New Roman"/>
        </w:rPr>
        <w:t>require</w:t>
      </w:r>
      <w:r w:rsidRPr="0010077F">
        <w:rPr>
          <w:rFonts w:ascii="Times New Roman" w:hAnsi="Times New Roman" w:cs="Times New Roman"/>
        </w:rPr>
        <w:t xml:space="preserve"> considerable long-term capital expenditure. Network equipment, spectrum, data centres, cybersecurity, maintenance and software development all generate significant costs. Higher energy prices and financing costs may affect the speed and profitability of </w:t>
      </w:r>
      <w:r w:rsidR="0010077F" w:rsidRPr="0010077F">
        <w:rPr>
          <w:rFonts w:ascii="Times New Roman" w:hAnsi="Times New Roman" w:cs="Times New Roman"/>
        </w:rPr>
        <w:t xml:space="preserve">Vodafone </w:t>
      </w:r>
      <w:r w:rsidRPr="0010077F">
        <w:rPr>
          <w:rFonts w:ascii="Times New Roman" w:hAnsi="Times New Roman" w:cs="Times New Roman"/>
        </w:rPr>
        <w:t>investment programme.</w:t>
      </w:r>
    </w:p>
    <w:p w14:paraId="5F60B17F" w14:textId="77777777" w:rsidR="003A2B79" w:rsidRPr="0010077F" w:rsidRDefault="003A2B79" w:rsidP="0010077F">
      <w:pPr>
        <w:jc w:val="both"/>
        <w:rPr>
          <w:rFonts w:ascii="Times New Roman" w:hAnsi="Times New Roman" w:cs="Times New Roman"/>
          <w:b/>
          <w:bCs/>
        </w:rPr>
      </w:pPr>
      <w:r w:rsidRPr="0010077F">
        <w:rPr>
          <w:rFonts w:ascii="Times New Roman" w:hAnsi="Times New Roman" w:cs="Times New Roman"/>
          <w:b/>
          <w:bCs/>
        </w:rPr>
        <w:t>Social factors</w:t>
      </w:r>
    </w:p>
    <w:p w14:paraId="1B863460"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 xml:space="preserve">Consumers increasingly depend on digital connectivity for employment, education, entertainment, healthcare and social interaction. The COVID-19 pandemic accelerated remote </w:t>
      </w:r>
      <w:r w:rsidRPr="0010077F">
        <w:rPr>
          <w:rFonts w:ascii="Times New Roman" w:hAnsi="Times New Roman" w:cs="Times New Roman"/>
        </w:rPr>
        <w:lastRenderedPageBreak/>
        <w:t>working and online service adoption, increasing the strategic importance of dependable telecommunications infrastructure (Scott, 2020).</w:t>
      </w:r>
    </w:p>
    <w:p w14:paraId="0693F52F"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Customers now expect high-speed connectivity, broad coverage, transparent pricing and responsive support. Poor customer service or network disruption can quickly damage trust, particularly because dissatisfied customers can communicate their experiences through social media and online reviews.</w:t>
      </w:r>
    </w:p>
    <w:p w14:paraId="7531C94A" w14:textId="41F93119"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There is also a continuing digital divide between consumers and locations with different levels of access to fast, affordable connectivity. Improving rural and underserved coverage would support social inclusion while strengthening Vodafone</w:t>
      </w:r>
      <w:r w:rsidR="0010077F" w:rsidRPr="0010077F">
        <w:rPr>
          <w:rFonts w:ascii="Times New Roman" w:hAnsi="Times New Roman" w:cs="Times New Roman"/>
        </w:rPr>
        <w:t xml:space="preserve"> </w:t>
      </w:r>
      <w:r w:rsidRPr="0010077F">
        <w:rPr>
          <w:rFonts w:ascii="Times New Roman" w:hAnsi="Times New Roman" w:cs="Times New Roman"/>
        </w:rPr>
        <w:t>reputation. The business must also ensure that digital products remain accessible to older users, vulnerable customers and people with limited technical knowledge.</w:t>
      </w:r>
    </w:p>
    <w:p w14:paraId="12040516" w14:textId="77777777" w:rsidR="003A2B79" w:rsidRPr="0010077F" w:rsidRDefault="003A2B79" w:rsidP="0010077F">
      <w:pPr>
        <w:jc w:val="both"/>
        <w:rPr>
          <w:rFonts w:ascii="Times New Roman" w:hAnsi="Times New Roman" w:cs="Times New Roman"/>
          <w:b/>
          <w:bCs/>
        </w:rPr>
      </w:pPr>
      <w:r w:rsidRPr="0010077F">
        <w:rPr>
          <w:rFonts w:ascii="Times New Roman" w:hAnsi="Times New Roman" w:cs="Times New Roman"/>
          <w:b/>
          <w:bCs/>
        </w:rPr>
        <w:t>Technological factors</w:t>
      </w:r>
    </w:p>
    <w:p w14:paraId="3F43D15E"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Technology is one of the strongest forces affecting the industry. Standalone 5G, AI, cloud computing, edge computing, cybersecurity and IoT are expanding the role of telecommunications operators beyond conventional mobile voice and data services.</w:t>
      </w:r>
    </w:p>
    <w:p w14:paraId="27C3DBB7" w14:textId="766BCF76" w:rsidR="003A2B79" w:rsidRPr="0010077F" w:rsidRDefault="003A2B79" w:rsidP="0010077F">
      <w:pPr>
        <w:jc w:val="both"/>
        <w:rPr>
          <w:rFonts w:ascii="Times New Roman" w:hAnsi="Times New Roman" w:cs="Times New Roman"/>
        </w:rPr>
      </w:pPr>
      <w:r w:rsidRPr="0010077F">
        <w:rPr>
          <w:rFonts w:ascii="Times New Roman" w:hAnsi="Times New Roman" w:cs="Times New Roman"/>
        </w:rPr>
        <w:t>Vodafone</w:t>
      </w:r>
      <w:r w:rsidR="0010077F" w:rsidRPr="0010077F">
        <w:rPr>
          <w:rFonts w:ascii="Times New Roman" w:hAnsi="Times New Roman" w:cs="Times New Roman"/>
        </w:rPr>
        <w:t xml:space="preserve"> </w:t>
      </w:r>
      <w:r w:rsidRPr="0010077F">
        <w:rPr>
          <w:rFonts w:ascii="Times New Roman" w:hAnsi="Times New Roman" w:cs="Times New Roman"/>
        </w:rPr>
        <w:t>network investment can provide the infrastructure required to develop connected vehicles, smart manufacturing, digital healthcare, smart cities and advanced business communication. Product development in these areas could create new revenue streams and reduce dependence on mature consumer mobile services.</w:t>
      </w:r>
    </w:p>
    <w:p w14:paraId="1FD0C9C8" w14:textId="6F14D6B8" w:rsidR="003A2B79" w:rsidRPr="0010077F" w:rsidRDefault="003A2B79" w:rsidP="0010077F">
      <w:pPr>
        <w:jc w:val="both"/>
        <w:rPr>
          <w:rFonts w:ascii="Times New Roman" w:hAnsi="Times New Roman" w:cs="Times New Roman"/>
        </w:rPr>
      </w:pPr>
      <w:r w:rsidRPr="0010077F">
        <w:rPr>
          <w:rFonts w:ascii="Times New Roman" w:hAnsi="Times New Roman" w:cs="Times New Roman"/>
        </w:rPr>
        <w:t xml:space="preserve">However, technological development also shortens product life cycles and increases cybersecurity exposure. </w:t>
      </w:r>
      <w:r w:rsidR="0010077F" w:rsidRPr="0010077F">
        <w:rPr>
          <w:rFonts w:ascii="Times New Roman" w:hAnsi="Times New Roman" w:cs="Times New Roman"/>
        </w:rPr>
        <w:t xml:space="preserve">Vodafone </w:t>
      </w:r>
      <w:r w:rsidRPr="0010077F">
        <w:rPr>
          <w:rFonts w:ascii="Times New Roman" w:hAnsi="Times New Roman" w:cs="Times New Roman"/>
        </w:rPr>
        <w:t>must continuously update infrastructure, protect customer information and recruit employees with specialised digital skills. Failure to innovate could allow competitors or technology companies to capture higher-value parts of the digital services market.</w:t>
      </w:r>
    </w:p>
    <w:p w14:paraId="27D9D061" w14:textId="77777777" w:rsidR="003A2B79" w:rsidRPr="0010077F" w:rsidRDefault="003A2B79" w:rsidP="0010077F">
      <w:pPr>
        <w:jc w:val="both"/>
        <w:rPr>
          <w:rFonts w:ascii="Times New Roman" w:hAnsi="Times New Roman" w:cs="Times New Roman"/>
          <w:b/>
          <w:bCs/>
        </w:rPr>
      </w:pPr>
      <w:r w:rsidRPr="0010077F">
        <w:rPr>
          <w:rFonts w:ascii="Times New Roman" w:hAnsi="Times New Roman" w:cs="Times New Roman"/>
          <w:b/>
          <w:bCs/>
        </w:rPr>
        <w:t>Environmental factors</w:t>
      </w:r>
    </w:p>
    <w:p w14:paraId="6A1BE118"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Telecommunications networks consume substantial electricity, creating pressure to improve energy efficiency and reduce carbon emissions. Stakeholders increasingly expect companies to use renewable electricity, manage electronic waste responsibly and report environmental performance transparently.</w:t>
      </w:r>
    </w:p>
    <w:p w14:paraId="4A9736FA"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Integrating Vodafone and Three's infrastructure provides an opportunity to remove unnecessary duplication and replace inefficient equipment with modern systems. Nevertheless, network expansion and increased data consumption may partially offset efficiency gains. Environmental objectives should therefore be integrated into network design, procurement and performance monitoring.</w:t>
      </w:r>
    </w:p>
    <w:p w14:paraId="2624E5D2" w14:textId="77777777" w:rsidR="003A2B79" w:rsidRPr="0010077F" w:rsidRDefault="003A2B79" w:rsidP="0010077F">
      <w:pPr>
        <w:jc w:val="both"/>
        <w:rPr>
          <w:rFonts w:ascii="Times New Roman" w:hAnsi="Times New Roman" w:cs="Times New Roman"/>
          <w:b/>
          <w:bCs/>
        </w:rPr>
      </w:pPr>
      <w:r w:rsidRPr="0010077F">
        <w:rPr>
          <w:rFonts w:ascii="Times New Roman" w:hAnsi="Times New Roman" w:cs="Times New Roman"/>
          <w:b/>
          <w:bCs/>
        </w:rPr>
        <w:t>Legal factors</w:t>
      </w:r>
    </w:p>
    <w:p w14:paraId="70916A53" w14:textId="0611165C" w:rsidR="003A2B79" w:rsidRPr="0010077F" w:rsidRDefault="003A2B79" w:rsidP="0010077F">
      <w:pPr>
        <w:jc w:val="both"/>
        <w:rPr>
          <w:rFonts w:ascii="Times New Roman" w:hAnsi="Times New Roman" w:cs="Times New Roman"/>
        </w:rPr>
      </w:pPr>
      <w:r w:rsidRPr="0010077F">
        <w:rPr>
          <w:rFonts w:ascii="Times New Roman" w:hAnsi="Times New Roman" w:cs="Times New Roman"/>
        </w:rPr>
        <w:t xml:space="preserve">Vodafone must comply with the UK General Data Protection Regulation, the Data Protection Act 2018, consumer protection law, employment legislation, competition requirements and </w:t>
      </w:r>
      <w:r w:rsidRPr="0010077F">
        <w:rPr>
          <w:rFonts w:ascii="Times New Roman" w:hAnsi="Times New Roman" w:cs="Times New Roman"/>
        </w:rPr>
        <w:lastRenderedPageBreak/>
        <w:t>telecommunications regulation. These obligations are especially important because the company processes substantial quantities of personal, financial and location data.</w:t>
      </w:r>
    </w:p>
    <w:p w14:paraId="15A8E578" w14:textId="1FEB7A00" w:rsidR="003A2B79" w:rsidRPr="0010077F" w:rsidRDefault="003A2B79" w:rsidP="0010077F">
      <w:pPr>
        <w:jc w:val="both"/>
        <w:rPr>
          <w:rFonts w:ascii="Times New Roman" w:hAnsi="Times New Roman" w:cs="Times New Roman"/>
        </w:rPr>
      </w:pPr>
      <w:r w:rsidRPr="0010077F">
        <w:rPr>
          <w:rFonts w:ascii="Times New Roman" w:hAnsi="Times New Roman" w:cs="Times New Roman"/>
        </w:rPr>
        <w:t xml:space="preserve">The integration of customer systems creates legal and operational risks. Data must be transferred securely, customers must receive accurate contractual </w:t>
      </w:r>
      <w:r w:rsidR="0010077F" w:rsidRPr="0010077F">
        <w:rPr>
          <w:rFonts w:ascii="Times New Roman" w:hAnsi="Times New Roman" w:cs="Times New Roman"/>
        </w:rPr>
        <w:t>information,</w:t>
      </w:r>
      <w:r w:rsidRPr="0010077F">
        <w:rPr>
          <w:rFonts w:ascii="Times New Roman" w:hAnsi="Times New Roman" w:cs="Times New Roman"/>
        </w:rPr>
        <w:t xml:space="preserve"> and network changes must not create unfair outcomes. Failure to comply can result in financial penalties, legal action and reputational damage.</w:t>
      </w:r>
    </w:p>
    <w:p w14:paraId="6D253147" w14:textId="06967D80" w:rsidR="003A2B79" w:rsidRPr="0010077F" w:rsidRDefault="003A2B79" w:rsidP="0010077F">
      <w:pPr>
        <w:jc w:val="both"/>
        <w:rPr>
          <w:rFonts w:ascii="Times New Roman" w:hAnsi="Times New Roman" w:cs="Times New Roman"/>
        </w:rPr>
      </w:pPr>
      <w:r w:rsidRPr="0010077F">
        <w:rPr>
          <w:rFonts w:ascii="Times New Roman" w:hAnsi="Times New Roman" w:cs="Times New Roman"/>
        </w:rPr>
        <w:t>Vodafone</w:t>
      </w:r>
      <w:r w:rsidR="0010077F" w:rsidRPr="0010077F">
        <w:rPr>
          <w:rFonts w:ascii="Times New Roman" w:hAnsi="Times New Roman" w:cs="Times New Roman"/>
        </w:rPr>
        <w:t xml:space="preserve"> </w:t>
      </w:r>
      <w:r w:rsidRPr="0010077F">
        <w:rPr>
          <w:rFonts w:ascii="Times New Roman" w:hAnsi="Times New Roman" w:cs="Times New Roman"/>
        </w:rPr>
        <w:t>must also maintain effective cybersecurity controls and ensure that third-party suppliers follow appropriate data protection and security standards. Regulatory compliance should therefore form part of product design rather than being treated as a final administrative check.</w:t>
      </w:r>
    </w:p>
    <w:p w14:paraId="7CAC2061" w14:textId="77777777" w:rsidR="003A2B79" w:rsidRPr="0010077F" w:rsidRDefault="003A2B79" w:rsidP="0010077F">
      <w:pPr>
        <w:jc w:val="both"/>
        <w:rPr>
          <w:rFonts w:ascii="Times New Roman" w:hAnsi="Times New Roman" w:cs="Times New Roman"/>
        </w:rPr>
      </w:pPr>
    </w:p>
    <w:p w14:paraId="4B87C2FC" w14:textId="0B36E4CE" w:rsidR="003A2B79" w:rsidRPr="0010077F" w:rsidRDefault="00EB2828" w:rsidP="0010077F">
      <w:pPr>
        <w:pStyle w:val="Heading2"/>
        <w:numPr>
          <w:ilvl w:val="1"/>
          <w:numId w:val="4"/>
        </w:numPr>
        <w:jc w:val="both"/>
        <w:rPr>
          <w:rFonts w:ascii="Times New Roman" w:hAnsi="Times New Roman" w:cs="Times New Roman"/>
        </w:rPr>
      </w:pPr>
      <w:bookmarkStart w:id="3" w:name="_Toc237434236"/>
      <w:r w:rsidRPr="0010077F">
        <w:rPr>
          <w:rFonts w:ascii="Times New Roman" w:hAnsi="Times New Roman" w:cs="Times New Roman"/>
        </w:rPr>
        <w:t>Porter’s five Forces</w:t>
      </w:r>
      <w:bookmarkEnd w:id="3"/>
    </w:p>
    <w:p w14:paraId="3D3E2311" w14:textId="53F4681C"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Porter's Five Forces provides an assessment of the competitive pressures affecting 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Three.</w:t>
      </w:r>
    </w:p>
    <w:tbl>
      <w:tblPr>
        <w:tblStyle w:val="TableGrid"/>
        <w:tblW w:w="0" w:type="auto"/>
        <w:tblLook w:val="04A0" w:firstRow="1" w:lastRow="0" w:firstColumn="1" w:lastColumn="0" w:noHBand="0" w:noVBand="1"/>
      </w:tblPr>
      <w:tblGrid>
        <w:gridCol w:w="1802"/>
        <w:gridCol w:w="1316"/>
        <w:gridCol w:w="5898"/>
      </w:tblGrid>
      <w:tr w:rsidR="003A2B79" w:rsidRPr="0010077F" w14:paraId="5B0752B0" w14:textId="77777777" w:rsidTr="0010077F">
        <w:trPr>
          <w:trHeight w:val="794"/>
        </w:trPr>
        <w:tc>
          <w:tcPr>
            <w:tcW w:w="0" w:type="auto"/>
            <w:shd w:val="clear" w:color="auto" w:fill="D9D9D9" w:themeFill="background1" w:themeFillShade="D9"/>
            <w:vAlign w:val="center"/>
            <w:hideMark/>
          </w:tcPr>
          <w:p w14:paraId="13D40797"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Competitive force</w:t>
            </w:r>
          </w:p>
        </w:tc>
        <w:tc>
          <w:tcPr>
            <w:tcW w:w="0" w:type="auto"/>
            <w:shd w:val="clear" w:color="auto" w:fill="D9D9D9" w:themeFill="background1" w:themeFillShade="D9"/>
            <w:vAlign w:val="center"/>
            <w:hideMark/>
          </w:tcPr>
          <w:p w14:paraId="4833D91D"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Intensity</w:t>
            </w:r>
          </w:p>
        </w:tc>
        <w:tc>
          <w:tcPr>
            <w:tcW w:w="0" w:type="auto"/>
            <w:shd w:val="clear" w:color="auto" w:fill="D9D9D9" w:themeFill="background1" w:themeFillShade="D9"/>
            <w:vAlign w:val="center"/>
            <w:hideMark/>
          </w:tcPr>
          <w:p w14:paraId="081CFC4A"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Strategic implications</w:t>
            </w:r>
          </w:p>
        </w:tc>
      </w:tr>
      <w:tr w:rsidR="003A2B79" w:rsidRPr="0010077F" w14:paraId="39C79ABA" w14:textId="77777777" w:rsidTr="0010077F">
        <w:trPr>
          <w:trHeight w:val="850"/>
        </w:trPr>
        <w:tc>
          <w:tcPr>
            <w:tcW w:w="0" w:type="auto"/>
            <w:vAlign w:val="center"/>
            <w:hideMark/>
          </w:tcPr>
          <w:p w14:paraId="42FBFF6E"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Industry rivalry</w:t>
            </w:r>
          </w:p>
        </w:tc>
        <w:tc>
          <w:tcPr>
            <w:tcW w:w="0" w:type="auto"/>
            <w:vAlign w:val="center"/>
            <w:hideMark/>
          </w:tcPr>
          <w:p w14:paraId="58830277"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35027176" w14:textId="7DA21472"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Vodafone </w:t>
            </w:r>
            <w:r w:rsidRPr="0010077F">
              <w:rPr>
                <w:rFonts w:ascii="Times New Roman" w:eastAsia="Times New Roman" w:hAnsi="Times New Roman" w:cs="Times New Roman"/>
                <w:kern w:val="0"/>
                <w:lang w:eastAsia="en-GB"/>
                <w14:ligatures w14:val="none"/>
              </w:rPr>
              <w:t>competes with BT/EE, Virgin Media O2, virtual operators and broadband providers through price, coverage, speed, service and bundles.</w:t>
            </w:r>
          </w:p>
        </w:tc>
      </w:tr>
      <w:tr w:rsidR="003A2B79" w:rsidRPr="0010077F" w14:paraId="5EB9B830" w14:textId="77777777" w:rsidTr="0010077F">
        <w:trPr>
          <w:trHeight w:val="850"/>
        </w:trPr>
        <w:tc>
          <w:tcPr>
            <w:tcW w:w="0" w:type="auto"/>
            <w:vAlign w:val="center"/>
            <w:hideMark/>
          </w:tcPr>
          <w:p w14:paraId="3987A9C3"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Buyer power</w:t>
            </w:r>
          </w:p>
        </w:tc>
        <w:tc>
          <w:tcPr>
            <w:tcW w:w="0" w:type="auto"/>
            <w:vAlign w:val="center"/>
            <w:hideMark/>
          </w:tcPr>
          <w:p w14:paraId="24886FA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21308DB9"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Customers can compare contracts and switch providers, increasing pressure on prices, service quality and retention.</w:t>
            </w:r>
          </w:p>
        </w:tc>
      </w:tr>
      <w:tr w:rsidR="003A2B79" w:rsidRPr="0010077F" w14:paraId="021DC7B7" w14:textId="77777777" w:rsidTr="0010077F">
        <w:trPr>
          <w:trHeight w:val="850"/>
        </w:trPr>
        <w:tc>
          <w:tcPr>
            <w:tcW w:w="0" w:type="auto"/>
            <w:vAlign w:val="center"/>
            <w:hideMark/>
          </w:tcPr>
          <w:p w14:paraId="15DBFC4E"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Supplier power</w:t>
            </w:r>
          </w:p>
        </w:tc>
        <w:tc>
          <w:tcPr>
            <w:tcW w:w="0" w:type="auto"/>
            <w:vAlign w:val="center"/>
            <w:hideMark/>
          </w:tcPr>
          <w:p w14:paraId="336B0145"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 to high</w:t>
            </w:r>
          </w:p>
        </w:tc>
        <w:tc>
          <w:tcPr>
            <w:tcW w:w="0" w:type="auto"/>
            <w:vAlign w:val="center"/>
            <w:hideMark/>
          </w:tcPr>
          <w:p w14:paraId="2B1C921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Network equipment, software, cloud platforms and specialist technology are supplied by a relatively limited group of major providers.</w:t>
            </w:r>
          </w:p>
        </w:tc>
      </w:tr>
      <w:tr w:rsidR="003A2B79" w:rsidRPr="0010077F" w14:paraId="7482CFD7" w14:textId="77777777" w:rsidTr="0010077F">
        <w:trPr>
          <w:trHeight w:val="850"/>
        </w:trPr>
        <w:tc>
          <w:tcPr>
            <w:tcW w:w="0" w:type="auto"/>
            <w:vAlign w:val="center"/>
            <w:hideMark/>
          </w:tcPr>
          <w:p w14:paraId="4B8369E8"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Threat of new entrants</w:t>
            </w:r>
          </w:p>
        </w:tc>
        <w:tc>
          <w:tcPr>
            <w:tcW w:w="0" w:type="auto"/>
            <w:vAlign w:val="center"/>
            <w:hideMark/>
          </w:tcPr>
          <w:p w14:paraId="0B82CC7E"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Low to medium</w:t>
            </w:r>
          </w:p>
        </w:tc>
        <w:tc>
          <w:tcPr>
            <w:tcW w:w="0" w:type="auto"/>
            <w:vAlign w:val="center"/>
            <w:hideMark/>
          </w:tcPr>
          <w:p w14:paraId="33EBB4C6"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Spectrum costs, regulation and infrastructure requirements restrict full network entry, although digital and virtual operators face lower barriers.</w:t>
            </w:r>
          </w:p>
        </w:tc>
      </w:tr>
      <w:tr w:rsidR="003A2B79" w:rsidRPr="0010077F" w14:paraId="090055DC" w14:textId="77777777" w:rsidTr="0010077F">
        <w:trPr>
          <w:trHeight w:val="850"/>
        </w:trPr>
        <w:tc>
          <w:tcPr>
            <w:tcW w:w="0" w:type="auto"/>
            <w:vAlign w:val="center"/>
            <w:hideMark/>
          </w:tcPr>
          <w:p w14:paraId="596C68FC"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Threat of substitutes</w:t>
            </w:r>
          </w:p>
        </w:tc>
        <w:tc>
          <w:tcPr>
            <w:tcW w:w="0" w:type="auto"/>
            <w:vAlign w:val="center"/>
            <w:hideMark/>
          </w:tcPr>
          <w:p w14:paraId="2F046B62"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c>
          <w:tcPr>
            <w:tcW w:w="0" w:type="auto"/>
            <w:vAlign w:val="center"/>
            <w:hideMark/>
          </w:tcPr>
          <w:p w14:paraId="57984E4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Wi-Fi calling, internet-based messaging, collaboration platforms and satellite services can substitute parts of traditional telecommunications services.</w:t>
            </w:r>
          </w:p>
        </w:tc>
      </w:tr>
    </w:tbl>
    <w:p w14:paraId="6CEA9EC1"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4" w:name="_Toc237434237"/>
      <w:r w:rsidRPr="0010077F">
        <w:rPr>
          <w:rFonts w:ascii="Times New Roman" w:eastAsia="Times New Roman" w:hAnsi="Times New Roman" w:cs="Times New Roman"/>
          <w:b/>
          <w:bCs/>
          <w:kern w:val="0"/>
          <w:sz w:val="27"/>
          <w:szCs w:val="27"/>
          <w:lang w:eastAsia="en-GB"/>
          <w14:ligatures w14:val="none"/>
        </w:rPr>
        <w:t>Competitive rivalry</w:t>
      </w:r>
      <w:bookmarkEnd w:id="4"/>
    </w:p>
    <w:p w14:paraId="7FD9370A"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Competition in the UK telecommunications sector is intense. Operators compete through monthly prices, network coverage, handset offers, broadband bundles, customer service and digital features. The market is relatively mature, making it difficult to generate growth exclusively through new consumer subscriptions.</w:t>
      </w:r>
    </w:p>
    <w:p w14:paraId="4B216E3F" w14:textId="173EF52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 xml:space="preserve">increased scale may improve its competitive position, but competitors can respond with promotional pricing, network investment and bundled services. Sustainable advantage </w:t>
      </w:r>
      <w:r w:rsidRPr="0010077F">
        <w:rPr>
          <w:rFonts w:ascii="Times New Roman" w:eastAsia="Times New Roman" w:hAnsi="Times New Roman" w:cs="Times New Roman"/>
          <w:kern w:val="0"/>
          <w:lang w:eastAsia="en-GB"/>
          <w14:ligatures w14:val="none"/>
        </w:rPr>
        <w:lastRenderedPageBreak/>
        <w:t>will therefore require more than size. The company must provide a visibly superior and differentiated customer proposition.</w:t>
      </w:r>
    </w:p>
    <w:p w14:paraId="5C8F4B37"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5" w:name="_Toc237434238"/>
      <w:r w:rsidRPr="0010077F">
        <w:rPr>
          <w:rFonts w:ascii="Times New Roman" w:eastAsia="Times New Roman" w:hAnsi="Times New Roman" w:cs="Times New Roman"/>
          <w:b/>
          <w:bCs/>
          <w:kern w:val="0"/>
          <w:sz w:val="27"/>
          <w:szCs w:val="27"/>
          <w:lang w:eastAsia="en-GB"/>
          <w14:ligatures w14:val="none"/>
        </w:rPr>
        <w:t>Bargaining power of buyers</w:t>
      </w:r>
      <w:bookmarkEnd w:id="5"/>
    </w:p>
    <w:p w14:paraId="00455F24"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Customer bargaining power is high because consumers can compare plans through online platforms and transfer their mobile number when changing provider. Standardised services make price comparison straightforward, while poor service can motivate customers to leave.</w:t>
      </w:r>
    </w:p>
    <w:p w14:paraId="005F999C" w14:textId="7B824E7C"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Business customers may have even greater bargaining power because large contracts are negotiated and can involve multiple service providers. 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can reduce buyer power by offering integrated, secure and difficult-to-replicate solutions that combine connectivity, cloud, IoT and cybersecurity.</w:t>
      </w:r>
    </w:p>
    <w:p w14:paraId="6E94AB9F"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6" w:name="_Toc237434239"/>
      <w:r w:rsidRPr="0010077F">
        <w:rPr>
          <w:rFonts w:ascii="Times New Roman" w:eastAsia="Times New Roman" w:hAnsi="Times New Roman" w:cs="Times New Roman"/>
          <w:b/>
          <w:bCs/>
          <w:kern w:val="0"/>
          <w:sz w:val="27"/>
          <w:szCs w:val="27"/>
          <w:lang w:eastAsia="en-GB"/>
          <w14:ligatures w14:val="none"/>
        </w:rPr>
        <w:t>Bargaining power of suppliers</w:t>
      </w:r>
      <w:bookmarkEnd w:id="6"/>
    </w:p>
    <w:p w14:paraId="5888D295" w14:textId="62BF596F"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depends on suppliers of network equipment, devices, software, cloud capacity, energy and specialist labour. Some technology markets are concentrated, giving major suppliers negotiating power. Regulatory limitations on the use of certain network providers may reduce the available supplier base further.</w:t>
      </w:r>
    </w:p>
    <w:p w14:paraId="14037E91"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merged company can use its larger purchasing scale to negotiate more favourable terms. Nevertheless, excessive dependence on individual suppliers could create operational and cybersecurity risks. Diversified procurement and strong supplier governance are therefore important.</w:t>
      </w:r>
    </w:p>
    <w:p w14:paraId="651B2B62"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7" w:name="_Toc237434240"/>
      <w:r w:rsidRPr="0010077F">
        <w:rPr>
          <w:rFonts w:ascii="Times New Roman" w:eastAsia="Times New Roman" w:hAnsi="Times New Roman" w:cs="Times New Roman"/>
          <w:b/>
          <w:bCs/>
          <w:kern w:val="0"/>
          <w:sz w:val="27"/>
          <w:szCs w:val="27"/>
          <w:lang w:eastAsia="en-GB"/>
          <w14:ligatures w14:val="none"/>
        </w:rPr>
        <w:t>Threat of new entrants</w:t>
      </w:r>
      <w:bookmarkEnd w:id="7"/>
    </w:p>
    <w:p w14:paraId="5E5C3CF8"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threat of a new nationwide mobile network operator is relatively low because market entry requires spectrum, infrastructure, capital and regulatory approval. However, mobile virtual network operators can access the market by leasing network capacity, and digital companies can offer communication services without owning physical networks.</w:t>
      </w:r>
    </w:p>
    <w:p w14:paraId="139BE54A" w14:textId="20528FC8"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 must therefore compete against both traditional network operators and asset-light digital providers. Its infrastructure creates a barrier to entry, but it must be combined with customer knowledge and innovation to produce lasting advantage.</w:t>
      </w:r>
    </w:p>
    <w:p w14:paraId="5EB810A3"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8" w:name="_Toc237434241"/>
      <w:r w:rsidRPr="0010077F">
        <w:rPr>
          <w:rFonts w:ascii="Times New Roman" w:eastAsia="Times New Roman" w:hAnsi="Times New Roman" w:cs="Times New Roman"/>
          <w:b/>
          <w:bCs/>
          <w:kern w:val="0"/>
          <w:sz w:val="27"/>
          <w:szCs w:val="27"/>
          <w:lang w:eastAsia="en-GB"/>
          <w14:ligatures w14:val="none"/>
        </w:rPr>
        <w:t>Threat of substitutes</w:t>
      </w:r>
      <w:bookmarkEnd w:id="8"/>
    </w:p>
    <w:p w14:paraId="5663255D"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Internet-based communication services can replace traditional voice calls and text messaging. Public Wi-Fi, workplace communication platforms and satellite connectivity also provide alternatives for some customer needs.</w:t>
      </w:r>
    </w:p>
    <w:p w14:paraId="349D4D0F" w14:textId="42775523"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threat is moderate because these services still depend on underlying connectivity. Vodafone can respond by becoming an integrated digital solutions provider rather than relying only on traditional mobile revenue.</w:t>
      </w:r>
    </w:p>
    <w:p w14:paraId="43B278C0" w14:textId="77777777" w:rsidR="003A2B79" w:rsidRPr="0010077F" w:rsidRDefault="003A2B79" w:rsidP="0010077F">
      <w:pPr>
        <w:jc w:val="both"/>
        <w:rPr>
          <w:rFonts w:ascii="Times New Roman" w:hAnsi="Times New Roman" w:cs="Times New Roman"/>
        </w:rPr>
      </w:pPr>
    </w:p>
    <w:p w14:paraId="5523B7A9" w14:textId="56A156B3" w:rsidR="00EB2828" w:rsidRPr="0010077F" w:rsidRDefault="00EB2828" w:rsidP="0010077F">
      <w:pPr>
        <w:pStyle w:val="Heading2"/>
        <w:numPr>
          <w:ilvl w:val="1"/>
          <w:numId w:val="4"/>
        </w:numPr>
        <w:jc w:val="both"/>
        <w:rPr>
          <w:rFonts w:ascii="Times New Roman" w:hAnsi="Times New Roman" w:cs="Times New Roman"/>
        </w:rPr>
      </w:pPr>
      <w:bookmarkStart w:id="9" w:name="_Toc237434242"/>
      <w:r w:rsidRPr="0010077F">
        <w:rPr>
          <w:rFonts w:ascii="Times New Roman" w:hAnsi="Times New Roman" w:cs="Times New Roman"/>
        </w:rPr>
        <w:lastRenderedPageBreak/>
        <w:t>Swot Analysis</w:t>
      </w:r>
      <w:bookmarkEnd w:id="9"/>
    </w:p>
    <w:tbl>
      <w:tblPr>
        <w:tblStyle w:val="TableGrid"/>
        <w:tblW w:w="0" w:type="auto"/>
        <w:tblLook w:val="04A0" w:firstRow="1" w:lastRow="0" w:firstColumn="1" w:lastColumn="0" w:noHBand="0" w:noVBand="1"/>
      </w:tblPr>
      <w:tblGrid>
        <w:gridCol w:w="4515"/>
        <w:gridCol w:w="4501"/>
      </w:tblGrid>
      <w:tr w:rsidR="003A2B79" w:rsidRPr="0010077F" w14:paraId="3F75869A" w14:textId="77777777" w:rsidTr="003F7CB4">
        <w:trPr>
          <w:trHeight w:val="680"/>
        </w:trPr>
        <w:tc>
          <w:tcPr>
            <w:tcW w:w="0" w:type="auto"/>
            <w:shd w:val="clear" w:color="auto" w:fill="D1D1D1" w:themeFill="background2" w:themeFillShade="E6"/>
            <w:vAlign w:val="center"/>
            <w:hideMark/>
          </w:tcPr>
          <w:p w14:paraId="48B09166"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Strengths</w:t>
            </w:r>
          </w:p>
        </w:tc>
        <w:tc>
          <w:tcPr>
            <w:tcW w:w="0" w:type="auto"/>
            <w:shd w:val="clear" w:color="auto" w:fill="D1D1D1" w:themeFill="background2" w:themeFillShade="E6"/>
            <w:vAlign w:val="center"/>
            <w:hideMark/>
          </w:tcPr>
          <w:p w14:paraId="38C6D8BC"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Weaknesses</w:t>
            </w:r>
          </w:p>
        </w:tc>
      </w:tr>
      <w:tr w:rsidR="003A2B79" w:rsidRPr="0010077F" w14:paraId="6D8C7132" w14:textId="77777777" w:rsidTr="003F7CB4">
        <w:trPr>
          <w:trHeight w:val="680"/>
        </w:trPr>
        <w:tc>
          <w:tcPr>
            <w:tcW w:w="0" w:type="auto"/>
            <w:vAlign w:val="center"/>
            <w:hideMark/>
          </w:tcPr>
          <w:p w14:paraId="1AB9A7C7"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Greater network scale following the merger.</w:t>
            </w:r>
          </w:p>
        </w:tc>
        <w:tc>
          <w:tcPr>
            <w:tcW w:w="0" w:type="auto"/>
            <w:vAlign w:val="center"/>
            <w:hideMark/>
          </w:tcPr>
          <w:p w14:paraId="5F662AFF"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Complex integration of systems, networks and organisational cultures.</w:t>
            </w:r>
          </w:p>
        </w:tc>
      </w:tr>
      <w:tr w:rsidR="003A2B79" w:rsidRPr="0010077F" w14:paraId="15209B1F" w14:textId="77777777" w:rsidTr="003F7CB4">
        <w:trPr>
          <w:trHeight w:val="680"/>
        </w:trPr>
        <w:tc>
          <w:tcPr>
            <w:tcW w:w="0" w:type="auto"/>
            <w:vAlign w:val="center"/>
            <w:hideMark/>
          </w:tcPr>
          <w:p w14:paraId="3FDF6EF8"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Recognised brands and a large customer base.</w:t>
            </w:r>
          </w:p>
        </w:tc>
        <w:tc>
          <w:tcPr>
            <w:tcW w:w="0" w:type="auto"/>
            <w:vAlign w:val="center"/>
            <w:hideMark/>
          </w:tcPr>
          <w:p w14:paraId="79B0F7D5"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 capital requirements for 5G and infrastructure modernisation.</w:t>
            </w:r>
          </w:p>
        </w:tc>
      </w:tr>
      <w:tr w:rsidR="003A2B79" w:rsidRPr="0010077F" w14:paraId="1227F57D" w14:textId="77777777" w:rsidTr="003F7CB4">
        <w:trPr>
          <w:trHeight w:val="680"/>
        </w:trPr>
        <w:tc>
          <w:tcPr>
            <w:tcW w:w="0" w:type="auto"/>
            <w:vAlign w:val="center"/>
            <w:hideMark/>
          </w:tcPr>
          <w:p w14:paraId="1EEBA797"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Substantial 5G investment commitment and broader spectrum resources.</w:t>
            </w:r>
          </w:p>
        </w:tc>
        <w:tc>
          <w:tcPr>
            <w:tcW w:w="0" w:type="auto"/>
            <w:vAlign w:val="center"/>
            <w:hideMark/>
          </w:tcPr>
          <w:p w14:paraId="51890F97"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Risk of service disruption during migration and consolidation.</w:t>
            </w:r>
          </w:p>
        </w:tc>
      </w:tr>
      <w:tr w:rsidR="003A2B79" w:rsidRPr="0010077F" w14:paraId="7B5E8529" w14:textId="77777777" w:rsidTr="003F7CB4">
        <w:trPr>
          <w:trHeight w:val="680"/>
        </w:trPr>
        <w:tc>
          <w:tcPr>
            <w:tcW w:w="0" w:type="auto"/>
            <w:vAlign w:val="center"/>
            <w:hideMark/>
          </w:tcPr>
          <w:p w14:paraId="220189E3"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Established business relationships and digital capabilities.</w:t>
            </w:r>
          </w:p>
        </w:tc>
        <w:tc>
          <w:tcPr>
            <w:tcW w:w="0" w:type="auto"/>
            <w:vAlign w:val="center"/>
            <w:hideMark/>
          </w:tcPr>
          <w:p w14:paraId="30139C43"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Exposure to customer dissatisfaction and merger-related uncertainty.</w:t>
            </w:r>
          </w:p>
        </w:tc>
      </w:tr>
      <w:tr w:rsidR="003A2B79" w:rsidRPr="0010077F" w14:paraId="38C4CEA3" w14:textId="77777777" w:rsidTr="003F7CB4">
        <w:trPr>
          <w:trHeight w:val="680"/>
        </w:trPr>
        <w:tc>
          <w:tcPr>
            <w:tcW w:w="0" w:type="auto"/>
            <w:vAlign w:val="center"/>
            <w:hideMark/>
          </w:tcPr>
          <w:p w14:paraId="74277964"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Potential economies of scale and reduced duplication.</w:t>
            </w:r>
          </w:p>
        </w:tc>
        <w:tc>
          <w:tcPr>
            <w:tcW w:w="0" w:type="auto"/>
            <w:vAlign w:val="center"/>
            <w:hideMark/>
          </w:tcPr>
          <w:p w14:paraId="2968E924"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Dependence on suppliers of specialist technology and software.</w:t>
            </w:r>
          </w:p>
        </w:tc>
      </w:tr>
    </w:tbl>
    <w:p w14:paraId="713824C5" w14:textId="77777777" w:rsidR="003A2B79" w:rsidRPr="0010077F" w:rsidRDefault="003A2B79" w:rsidP="0010077F">
      <w:pPr>
        <w:spacing w:after="0" w:line="240" w:lineRule="auto"/>
        <w:jc w:val="both"/>
        <w:rPr>
          <w:rFonts w:ascii="Times New Roman" w:eastAsia="Times New Roman" w:hAnsi="Times New Roman" w:cs="Times New Roman"/>
          <w:vanish/>
          <w:kern w:val="0"/>
          <w:lang w:eastAsia="en-GB"/>
          <w14:ligatures w14:val="none"/>
        </w:rPr>
      </w:pPr>
    </w:p>
    <w:tbl>
      <w:tblPr>
        <w:tblStyle w:val="TableGrid"/>
        <w:tblW w:w="0" w:type="auto"/>
        <w:tblLook w:val="04A0" w:firstRow="1" w:lastRow="0" w:firstColumn="1" w:lastColumn="0" w:noHBand="0" w:noVBand="1"/>
      </w:tblPr>
      <w:tblGrid>
        <w:gridCol w:w="4491"/>
        <w:gridCol w:w="4525"/>
      </w:tblGrid>
      <w:tr w:rsidR="003A2B79" w:rsidRPr="0010077F" w14:paraId="5139E1A1" w14:textId="77777777" w:rsidTr="003F7CB4">
        <w:trPr>
          <w:trHeight w:val="680"/>
        </w:trPr>
        <w:tc>
          <w:tcPr>
            <w:tcW w:w="0" w:type="auto"/>
            <w:shd w:val="clear" w:color="auto" w:fill="D1D1D1" w:themeFill="background2" w:themeFillShade="E6"/>
            <w:vAlign w:val="center"/>
            <w:hideMark/>
          </w:tcPr>
          <w:p w14:paraId="11E78671"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Opportunities</w:t>
            </w:r>
          </w:p>
        </w:tc>
        <w:tc>
          <w:tcPr>
            <w:tcW w:w="0" w:type="auto"/>
            <w:shd w:val="clear" w:color="auto" w:fill="D1D1D1" w:themeFill="background2" w:themeFillShade="E6"/>
            <w:vAlign w:val="center"/>
            <w:hideMark/>
          </w:tcPr>
          <w:p w14:paraId="7A1D4DAD"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Threats</w:t>
            </w:r>
          </w:p>
        </w:tc>
      </w:tr>
      <w:tr w:rsidR="003A2B79" w:rsidRPr="0010077F" w14:paraId="1E2965E5" w14:textId="77777777" w:rsidTr="003F7CB4">
        <w:trPr>
          <w:trHeight w:val="680"/>
        </w:trPr>
        <w:tc>
          <w:tcPr>
            <w:tcW w:w="0" w:type="auto"/>
            <w:vAlign w:val="center"/>
            <w:hideMark/>
          </w:tcPr>
          <w:p w14:paraId="3491BA07" w14:textId="11C63E00"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5G-enabled products</w:t>
            </w:r>
            <w:r w:rsidR="0010077F" w:rsidRPr="0010077F">
              <w:rPr>
                <w:rFonts w:ascii="Times New Roman" w:eastAsia="Times New Roman" w:hAnsi="Times New Roman" w:cs="Times New Roman"/>
                <w:kern w:val="0"/>
                <w:lang w:eastAsia="en-GB"/>
                <w14:ligatures w14:val="none"/>
              </w:rPr>
              <w:t>,</w:t>
            </w:r>
            <w:r w:rsidRPr="0010077F">
              <w:rPr>
                <w:rFonts w:ascii="Times New Roman" w:eastAsia="Times New Roman" w:hAnsi="Times New Roman" w:cs="Times New Roman"/>
                <w:kern w:val="0"/>
                <w:lang w:eastAsia="en-GB"/>
                <w14:ligatures w14:val="none"/>
              </w:rPr>
              <w:t xml:space="preserve"> AI, cybersecurity and cloud services.</w:t>
            </w:r>
          </w:p>
        </w:tc>
        <w:tc>
          <w:tcPr>
            <w:tcW w:w="0" w:type="auto"/>
            <w:vAlign w:val="center"/>
            <w:hideMark/>
          </w:tcPr>
          <w:p w14:paraId="559A5E88"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Intense competition from BT/EE, Virgin Media O2 and virtual operators.</w:t>
            </w:r>
          </w:p>
        </w:tc>
      </w:tr>
      <w:tr w:rsidR="003A2B79" w:rsidRPr="0010077F" w14:paraId="285DC667" w14:textId="77777777" w:rsidTr="003F7CB4">
        <w:trPr>
          <w:trHeight w:val="680"/>
        </w:trPr>
        <w:tc>
          <w:tcPr>
            <w:tcW w:w="0" w:type="auto"/>
            <w:vAlign w:val="center"/>
            <w:hideMark/>
          </w:tcPr>
          <w:p w14:paraId="3536B78B"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Growth in business digitalisation and managed services.</w:t>
            </w:r>
          </w:p>
        </w:tc>
        <w:tc>
          <w:tcPr>
            <w:tcW w:w="0" w:type="auto"/>
            <w:vAlign w:val="center"/>
            <w:hideMark/>
          </w:tcPr>
          <w:p w14:paraId="0F2C0F90"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Regulatory intervention concerning prices, coverage and competition.</w:t>
            </w:r>
          </w:p>
        </w:tc>
      </w:tr>
      <w:tr w:rsidR="003A2B79" w:rsidRPr="0010077F" w14:paraId="45A240F9" w14:textId="77777777" w:rsidTr="003F7CB4">
        <w:trPr>
          <w:trHeight w:val="680"/>
        </w:trPr>
        <w:tc>
          <w:tcPr>
            <w:tcW w:w="0" w:type="auto"/>
            <w:vAlign w:val="center"/>
            <w:hideMark/>
          </w:tcPr>
          <w:p w14:paraId="30913503"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Improved rural connectivity and digital inclusion.</w:t>
            </w:r>
          </w:p>
        </w:tc>
        <w:tc>
          <w:tcPr>
            <w:tcW w:w="0" w:type="auto"/>
            <w:vAlign w:val="center"/>
            <w:hideMark/>
          </w:tcPr>
          <w:p w14:paraId="4DAB7487"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Cyberattacks and data breaches affecting trust and compliance.</w:t>
            </w:r>
          </w:p>
        </w:tc>
      </w:tr>
      <w:tr w:rsidR="003A2B79" w:rsidRPr="0010077F" w14:paraId="4D40BDFD" w14:textId="77777777" w:rsidTr="003F7CB4">
        <w:trPr>
          <w:trHeight w:val="680"/>
        </w:trPr>
        <w:tc>
          <w:tcPr>
            <w:tcW w:w="0" w:type="auto"/>
            <w:vAlign w:val="center"/>
            <w:hideMark/>
          </w:tcPr>
          <w:p w14:paraId="7CA379CE"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Smart cities, connected healthcare and transport solutions.</w:t>
            </w:r>
          </w:p>
        </w:tc>
        <w:tc>
          <w:tcPr>
            <w:tcW w:w="0" w:type="auto"/>
            <w:vAlign w:val="center"/>
            <w:hideMark/>
          </w:tcPr>
          <w:p w14:paraId="2684BC83"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Inflation and cost-of-living pressure increasing price sensitivity.</w:t>
            </w:r>
          </w:p>
        </w:tc>
      </w:tr>
      <w:tr w:rsidR="003A2B79" w:rsidRPr="0010077F" w14:paraId="5C599733" w14:textId="77777777" w:rsidTr="003F7CB4">
        <w:trPr>
          <w:trHeight w:val="680"/>
        </w:trPr>
        <w:tc>
          <w:tcPr>
            <w:tcW w:w="0" w:type="auto"/>
            <w:vAlign w:val="center"/>
            <w:hideMark/>
          </w:tcPr>
          <w:p w14:paraId="47C568ED"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Infrastructure integration producing efficiency and sustainability gains.</w:t>
            </w:r>
          </w:p>
        </w:tc>
        <w:tc>
          <w:tcPr>
            <w:tcW w:w="0" w:type="auto"/>
            <w:vAlign w:val="center"/>
            <w:hideMark/>
          </w:tcPr>
          <w:p w14:paraId="7B573A04"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Rapid technological change making investments obsolete.</w:t>
            </w:r>
          </w:p>
        </w:tc>
      </w:tr>
    </w:tbl>
    <w:p w14:paraId="12096DAA" w14:textId="278708E8" w:rsidR="006F62E8" w:rsidRPr="0010077F" w:rsidRDefault="006F62E8" w:rsidP="0010077F">
      <w:pPr>
        <w:jc w:val="both"/>
        <w:rPr>
          <w:rFonts w:ascii="Times New Roman" w:hAnsi="Times New Roman" w:cs="Times New Roman"/>
        </w:rPr>
      </w:pPr>
    </w:p>
    <w:p w14:paraId="3EDA5107" w14:textId="6E70753B" w:rsidR="00EB2828" w:rsidRPr="0010077F" w:rsidRDefault="003A2B79" w:rsidP="003F7CB4">
      <w:pPr>
        <w:jc w:val="both"/>
        <w:rPr>
          <w:rFonts w:ascii="Times New Roman" w:hAnsi="Times New Roman" w:cs="Times New Roman"/>
        </w:rPr>
      </w:pPr>
      <w:r w:rsidRPr="0010077F">
        <w:rPr>
          <w:rFonts w:ascii="Times New Roman" w:hAnsi="Times New Roman" w:cs="Times New Roman"/>
        </w:rPr>
        <w:t xml:space="preserve">The SWOT analysis </w:t>
      </w:r>
      <w:r w:rsidR="0010077F" w:rsidRPr="0010077F">
        <w:rPr>
          <w:rFonts w:ascii="Times New Roman" w:hAnsi="Times New Roman" w:cs="Times New Roman"/>
        </w:rPr>
        <w:t>demonstrate</w:t>
      </w:r>
      <w:r w:rsidRPr="0010077F">
        <w:rPr>
          <w:rFonts w:ascii="Times New Roman" w:hAnsi="Times New Roman" w:cs="Times New Roman"/>
        </w:rPr>
        <w:t xml:space="preserve"> that Vodafone principal advantage is the combination of network scale, investment capability and an established customer base. </w:t>
      </w:r>
      <w:r w:rsidR="0010077F" w:rsidRPr="0010077F">
        <w:rPr>
          <w:rFonts w:ascii="Times New Roman" w:hAnsi="Times New Roman" w:cs="Times New Roman"/>
        </w:rPr>
        <w:t>The</w:t>
      </w:r>
      <w:r w:rsidRPr="0010077F">
        <w:rPr>
          <w:rFonts w:ascii="Times New Roman" w:hAnsi="Times New Roman" w:cs="Times New Roman"/>
        </w:rPr>
        <w:t xml:space="preserve"> principal weakness is the complexity of integration. The strongest opportunity lies in using the improved network to develop higher-value digital services. The principal threats are intense rivalry, regulation and cybersecurity risk.</w:t>
      </w:r>
    </w:p>
    <w:p w14:paraId="34C06F94" w14:textId="77777777" w:rsidR="00EB2828" w:rsidRPr="0010077F" w:rsidRDefault="00BC6A7A" w:rsidP="0010077F">
      <w:pPr>
        <w:pStyle w:val="Heading1"/>
        <w:numPr>
          <w:ilvl w:val="0"/>
          <w:numId w:val="4"/>
        </w:numPr>
        <w:jc w:val="both"/>
        <w:rPr>
          <w:rFonts w:ascii="Times New Roman" w:hAnsi="Times New Roman" w:cs="Times New Roman"/>
        </w:rPr>
      </w:pPr>
      <w:bookmarkStart w:id="10" w:name="_Toc237434243"/>
      <w:r w:rsidRPr="0010077F">
        <w:rPr>
          <w:rFonts w:ascii="Times New Roman" w:hAnsi="Times New Roman" w:cs="Times New Roman"/>
        </w:rPr>
        <w:t>Strategic Grown Options</w:t>
      </w:r>
      <w:bookmarkEnd w:id="10"/>
      <w:r w:rsidRPr="0010077F">
        <w:rPr>
          <w:rFonts w:ascii="Times New Roman" w:hAnsi="Times New Roman" w:cs="Times New Roman"/>
        </w:rPr>
        <w:t xml:space="preserve"> </w:t>
      </w:r>
    </w:p>
    <w:p w14:paraId="0314AFF5" w14:textId="0257BDB0" w:rsidR="00EB2828" w:rsidRPr="0010077F" w:rsidRDefault="00EB2828" w:rsidP="0010077F">
      <w:pPr>
        <w:pStyle w:val="Heading2"/>
        <w:numPr>
          <w:ilvl w:val="1"/>
          <w:numId w:val="4"/>
        </w:numPr>
        <w:jc w:val="both"/>
        <w:rPr>
          <w:rFonts w:ascii="Times New Roman" w:hAnsi="Times New Roman" w:cs="Times New Roman"/>
        </w:rPr>
      </w:pPr>
      <w:bookmarkStart w:id="11" w:name="_Toc237434244"/>
      <w:r w:rsidRPr="0010077F">
        <w:rPr>
          <w:rFonts w:ascii="Times New Roman" w:hAnsi="Times New Roman" w:cs="Times New Roman"/>
        </w:rPr>
        <w:t>Ansoff Matrix</w:t>
      </w:r>
      <w:bookmarkEnd w:id="11"/>
      <w:r w:rsidRPr="0010077F">
        <w:rPr>
          <w:rFonts w:ascii="Times New Roman" w:hAnsi="Times New Roman" w:cs="Times New Roman"/>
        </w:rPr>
        <w:t xml:space="preserve"> </w:t>
      </w:r>
    </w:p>
    <w:p w14:paraId="69BE6479"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Ansoff's Matrix evaluates growth opportunities based on whether markets and products are existing or new (Peterdy, 2022).</w:t>
      </w:r>
    </w:p>
    <w:tbl>
      <w:tblPr>
        <w:tblStyle w:val="TableGrid"/>
        <w:tblW w:w="0" w:type="auto"/>
        <w:tblLook w:val="04A0" w:firstRow="1" w:lastRow="0" w:firstColumn="1" w:lastColumn="0" w:noHBand="0" w:noVBand="1"/>
      </w:tblPr>
      <w:tblGrid>
        <w:gridCol w:w="1989"/>
        <w:gridCol w:w="5997"/>
        <w:gridCol w:w="1030"/>
      </w:tblGrid>
      <w:tr w:rsidR="003A2B79" w:rsidRPr="0010077F" w14:paraId="1EDBEA9B" w14:textId="77777777" w:rsidTr="0010077F">
        <w:trPr>
          <w:trHeight w:val="624"/>
        </w:trPr>
        <w:tc>
          <w:tcPr>
            <w:tcW w:w="0" w:type="auto"/>
            <w:shd w:val="clear" w:color="auto" w:fill="D1D1D1" w:themeFill="background2" w:themeFillShade="E6"/>
            <w:vAlign w:val="center"/>
            <w:hideMark/>
          </w:tcPr>
          <w:p w14:paraId="482155B7"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lastRenderedPageBreak/>
              <w:t>Growth option</w:t>
            </w:r>
          </w:p>
        </w:tc>
        <w:tc>
          <w:tcPr>
            <w:tcW w:w="0" w:type="auto"/>
            <w:shd w:val="clear" w:color="auto" w:fill="D1D1D1" w:themeFill="background2" w:themeFillShade="E6"/>
            <w:vAlign w:val="center"/>
            <w:hideMark/>
          </w:tcPr>
          <w:p w14:paraId="41E22C91" w14:textId="4F873EF8"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Application to Vodafon</w:t>
            </w:r>
            <w:r w:rsidRPr="0010077F">
              <w:rPr>
                <w:rFonts w:ascii="Times New Roman" w:eastAsia="Times New Roman" w:hAnsi="Times New Roman" w:cs="Times New Roman"/>
                <w:b/>
                <w:bCs/>
                <w:kern w:val="0"/>
                <w:lang w:eastAsia="en-GB"/>
                <w14:ligatures w14:val="none"/>
              </w:rPr>
              <w:t xml:space="preserve">e </w:t>
            </w:r>
          </w:p>
        </w:tc>
        <w:tc>
          <w:tcPr>
            <w:tcW w:w="0" w:type="auto"/>
            <w:shd w:val="clear" w:color="auto" w:fill="D1D1D1" w:themeFill="background2" w:themeFillShade="E6"/>
            <w:vAlign w:val="center"/>
            <w:hideMark/>
          </w:tcPr>
          <w:p w14:paraId="1CD47D69"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Risk</w:t>
            </w:r>
          </w:p>
        </w:tc>
      </w:tr>
      <w:tr w:rsidR="003A2B79" w:rsidRPr="0010077F" w14:paraId="4824EA03" w14:textId="77777777" w:rsidTr="0010077F">
        <w:trPr>
          <w:trHeight w:val="624"/>
        </w:trPr>
        <w:tc>
          <w:tcPr>
            <w:tcW w:w="0" w:type="auto"/>
            <w:vAlign w:val="center"/>
            <w:hideMark/>
          </w:tcPr>
          <w:p w14:paraId="75C3FE64"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Market penetration</w:t>
            </w:r>
          </w:p>
        </w:tc>
        <w:tc>
          <w:tcPr>
            <w:tcW w:w="0" w:type="auto"/>
            <w:vAlign w:val="center"/>
            <w:hideMark/>
          </w:tcPr>
          <w:p w14:paraId="7B034A78"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Increase the use of existing mobile and broadband services through improved coverage, loyalty programmes and competitive bundles.</w:t>
            </w:r>
          </w:p>
        </w:tc>
        <w:tc>
          <w:tcPr>
            <w:tcW w:w="0" w:type="auto"/>
            <w:vAlign w:val="center"/>
            <w:hideMark/>
          </w:tcPr>
          <w:p w14:paraId="484CDF72"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Low</w:t>
            </w:r>
          </w:p>
        </w:tc>
      </w:tr>
      <w:tr w:rsidR="003A2B79" w:rsidRPr="0010077F" w14:paraId="0B79B22E" w14:textId="77777777" w:rsidTr="0010077F">
        <w:trPr>
          <w:trHeight w:val="624"/>
        </w:trPr>
        <w:tc>
          <w:tcPr>
            <w:tcW w:w="0" w:type="auto"/>
            <w:vAlign w:val="center"/>
            <w:hideMark/>
          </w:tcPr>
          <w:p w14:paraId="4B324783"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Market development</w:t>
            </w:r>
          </w:p>
        </w:tc>
        <w:tc>
          <w:tcPr>
            <w:tcW w:w="0" w:type="auto"/>
            <w:vAlign w:val="center"/>
            <w:hideMark/>
          </w:tcPr>
          <w:p w14:paraId="62EE3EEF"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Take existing services to underserved regions or new business customer segments.</w:t>
            </w:r>
          </w:p>
        </w:tc>
        <w:tc>
          <w:tcPr>
            <w:tcW w:w="0" w:type="auto"/>
            <w:vAlign w:val="center"/>
            <w:hideMark/>
          </w:tcPr>
          <w:p w14:paraId="68F14890"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r>
      <w:tr w:rsidR="003A2B79" w:rsidRPr="0010077F" w14:paraId="195C398C" w14:textId="77777777" w:rsidTr="0010077F">
        <w:trPr>
          <w:trHeight w:val="624"/>
        </w:trPr>
        <w:tc>
          <w:tcPr>
            <w:tcW w:w="0" w:type="auto"/>
            <w:vAlign w:val="center"/>
            <w:hideMark/>
          </w:tcPr>
          <w:p w14:paraId="56B53779"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Product development</w:t>
            </w:r>
          </w:p>
        </w:tc>
        <w:tc>
          <w:tcPr>
            <w:tcW w:w="0" w:type="auto"/>
            <w:vAlign w:val="center"/>
            <w:hideMark/>
          </w:tcPr>
          <w:p w14:paraId="011DEF9B" w14:textId="6C171A8A"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Offer existing customers new 5G, cloud, AI and cybersecurity services.</w:t>
            </w:r>
          </w:p>
        </w:tc>
        <w:tc>
          <w:tcPr>
            <w:tcW w:w="0" w:type="auto"/>
            <w:vAlign w:val="center"/>
            <w:hideMark/>
          </w:tcPr>
          <w:p w14:paraId="747DCE32"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r>
      <w:tr w:rsidR="003A2B79" w:rsidRPr="0010077F" w14:paraId="3915D95E" w14:textId="77777777" w:rsidTr="0010077F">
        <w:trPr>
          <w:trHeight w:val="624"/>
        </w:trPr>
        <w:tc>
          <w:tcPr>
            <w:tcW w:w="0" w:type="auto"/>
            <w:vAlign w:val="center"/>
            <w:hideMark/>
          </w:tcPr>
          <w:p w14:paraId="02186596"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Diversification</w:t>
            </w:r>
          </w:p>
        </w:tc>
        <w:tc>
          <w:tcPr>
            <w:tcW w:w="0" w:type="auto"/>
            <w:vAlign w:val="center"/>
            <w:hideMark/>
          </w:tcPr>
          <w:p w14:paraId="7CFDE808" w14:textId="71718F68"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Enter unrelated products or markets outside Vodafone</w:t>
            </w:r>
            <w:r w:rsidR="003F7CB4">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Three's established capabilities.</w:t>
            </w:r>
          </w:p>
        </w:tc>
        <w:tc>
          <w:tcPr>
            <w:tcW w:w="0" w:type="auto"/>
            <w:vAlign w:val="center"/>
            <w:hideMark/>
          </w:tcPr>
          <w:p w14:paraId="33BB721F"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r>
    </w:tbl>
    <w:p w14:paraId="1640B747"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2" w:name="_Toc237434245"/>
      <w:r w:rsidRPr="0010077F">
        <w:rPr>
          <w:rFonts w:ascii="Times New Roman" w:eastAsia="Times New Roman" w:hAnsi="Times New Roman" w:cs="Times New Roman"/>
          <w:b/>
          <w:bCs/>
          <w:kern w:val="0"/>
          <w:sz w:val="27"/>
          <w:szCs w:val="27"/>
          <w:lang w:eastAsia="en-GB"/>
          <w14:ligatures w14:val="none"/>
        </w:rPr>
        <w:t>Market penetration</w:t>
      </w:r>
      <w:bookmarkEnd w:id="12"/>
    </w:p>
    <w:p w14:paraId="4BC3E740" w14:textId="272BB42D"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 xml:space="preserve">could use improved network coverage and promotional offers to increase its share of the existing UK market. </w:t>
      </w:r>
      <w:r w:rsidRPr="0010077F">
        <w:rPr>
          <w:rFonts w:ascii="Times New Roman" w:eastAsia="Times New Roman" w:hAnsi="Times New Roman" w:cs="Times New Roman"/>
          <w:kern w:val="0"/>
          <w:lang w:eastAsia="en-GB"/>
          <w14:ligatures w14:val="none"/>
        </w:rPr>
        <w:t>Customer retention programmes</w:t>
      </w:r>
      <w:r w:rsidRPr="0010077F">
        <w:rPr>
          <w:rFonts w:ascii="Times New Roman" w:eastAsia="Times New Roman" w:hAnsi="Times New Roman" w:cs="Times New Roman"/>
          <w:kern w:val="0"/>
          <w:lang w:eastAsia="en-GB"/>
          <w14:ligatures w14:val="none"/>
        </w:rPr>
        <w:t xml:space="preserve"> converged mobile and broadband packages, and more responsive support could help reduce churn.</w:t>
      </w:r>
    </w:p>
    <w:p w14:paraId="358B4E87"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principal limitation is market maturity. Aggressive price competition may increase customer numbers without generating adequate profit. Market penetration is therefore useful as a supporting strategy but may not create sufficient long-term growth by itself.</w:t>
      </w:r>
    </w:p>
    <w:p w14:paraId="3C506770"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3" w:name="_Toc237434246"/>
      <w:r w:rsidRPr="0010077F">
        <w:rPr>
          <w:rFonts w:ascii="Times New Roman" w:eastAsia="Times New Roman" w:hAnsi="Times New Roman" w:cs="Times New Roman"/>
          <w:b/>
          <w:bCs/>
          <w:kern w:val="0"/>
          <w:sz w:val="27"/>
          <w:szCs w:val="27"/>
          <w:lang w:eastAsia="en-GB"/>
          <w14:ligatures w14:val="none"/>
        </w:rPr>
        <w:t>Market development</w:t>
      </w:r>
      <w:bookmarkEnd w:id="13"/>
    </w:p>
    <w:p w14:paraId="739CF7B8"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company could target underserved geographic areas, small and medium-sized enterprises, public-sector organisations or customers requiring specialised connectivity. Improved rural coverage could increase market reach while supporting digital inclusion.</w:t>
      </w:r>
    </w:p>
    <w:p w14:paraId="67D84B59" w14:textId="790A1596"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This option offers growth potential, but it may require high investment and tailored propositions for different segments. As </w:t>
      </w:r>
      <w:r w:rsidRPr="0010077F">
        <w:rPr>
          <w:rFonts w:ascii="Times New Roman" w:eastAsia="Times New Roman" w:hAnsi="Times New Roman" w:cs="Times New Roman"/>
          <w:kern w:val="0"/>
          <w:lang w:eastAsia="en-GB"/>
          <w14:ligatures w14:val="none"/>
        </w:rPr>
        <w:t xml:space="preserve">Vodafone </w:t>
      </w:r>
      <w:r w:rsidRPr="0010077F">
        <w:rPr>
          <w:rFonts w:ascii="Times New Roman" w:eastAsia="Times New Roman" w:hAnsi="Times New Roman" w:cs="Times New Roman"/>
          <w:kern w:val="0"/>
          <w:lang w:eastAsia="en-GB"/>
          <w14:ligatures w14:val="none"/>
        </w:rPr>
        <w:t>already operates throughout the UK, market development is less transformative than introducing new digital services.</w:t>
      </w:r>
    </w:p>
    <w:p w14:paraId="6FCF78C2"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4" w:name="_Toc237434247"/>
      <w:r w:rsidRPr="0010077F">
        <w:rPr>
          <w:rFonts w:ascii="Times New Roman" w:eastAsia="Times New Roman" w:hAnsi="Times New Roman" w:cs="Times New Roman"/>
          <w:b/>
          <w:bCs/>
          <w:kern w:val="0"/>
          <w:sz w:val="27"/>
          <w:szCs w:val="27"/>
          <w:lang w:eastAsia="en-GB"/>
          <w14:ligatures w14:val="none"/>
        </w:rPr>
        <w:t>Product development</w:t>
      </w:r>
      <w:bookmarkEnd w:id="14"/>
    </w:p>
    <w:p w14:paraId="0558AC1B" w14:textId="7A326FF5"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Product development would involve creating new services for Vodafone existing consumer and business customers. Potential products include managed cybersecurity, cloud connectivity, private 5G networks, IoT monitoring, AI-supported customer services and edge computing.</w:t>
      </w:r>
    </w:p>
    <w:p w14:paraId="35CF446D" w14:textId="08C02776"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This strategy builds on the company's network infrastructure, technological knowledge, customer relationships and investment programme. It enables Vodafone to generate additional revenue per customer while differentiating itself from providers competing mainly on price.</w:t>
      </w:r>
    </w:p>
    <w:p w14:paraId="6B80E169"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5" w:name="_Toc237434248"/>
      <w:r w:rsidRPr="0010077F">
        <w:rPr>
          <w:rFonts w:ascii="Times New Roman" w:eastAsia="Times New Roman" w:hAnsi="Times New Roman" w:cs="Times New Roman"/>
          <w:b/>
          <w:bCs/>
          <w:kern w:val="0"/>
          <w:sz w:val="27"/>
          <w:szCs w:val="27"/>
          <w:lang w:eastAsia="en-GB"/>
          <w14:ligatures w14:val="none"/>
        </w:rPr>
        <w:t>Diversification</w:t>
      </w:r>
      <w:bookmarkEnd w:id="15"/>
    </w:p>
    <w:p w14:paraId="4A5474DA" w14:textId="1CB22CEE"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could enter unrelated industries, but this would require capabilities that may not be available internally. Diversification would increase financial and managerial risk during a period when the company already faces a major integration programme.</w:t>
      </w:r>
    </w:p>
    <w:p w14:paraId="2513A4D7"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lastRenderedPageBreak/>
        <w:t>Consequently, unrelated diversification should not be prioritised. Any diversification should remain related to telecommunications and digital connectivity.</w:t>
      </w:r>
    </w:p>
    <w:p w14:paraId="7C332951" w14:textId="77777777" w:rsidR="003A2B79" w:rsidRPr="0010077F" w:rsidRDefault="003A2B79" w:rsidP="0010077F">
      <w:pPr>
        <w:jc w:val="both"/>
        <w:rPr>
          <w:rFonts w:ascii="Times New Roman" w:hAnsi="Times New Roman" w:cs="Times New Roman"/>
        </w:rPr>
      </w:pPr>
    </w:p>
    <w:p w14:paraId="2B9FD969" w14:textId="0972359E" w:rsidR="00EB2828" w:rsidRPr="0010077F" w:rsidRDefault="00EB2828" w:rsidP="0010077F">
      <w:pPr>
        <w:pStyle w:val="Heading2"/>
        <w:numPr>
          <w:ilvl w:val="1"/>
          <w:numId w:val="4"/>
        </w:numPr>
        <w:jc w:val="both"/>
        <w:rPr>
          <w:rFonts w:ascii="Times New Roman" w:hAnsi="Times New Roman" w:cs="Times New Roman"/>
        </w:rPr>
      </w:pPr>
      <w:bookmarkStart w:id="16" w:name="_Toc237434249"/>
      <w:r w:rsidRPr="0010077F">
        <w:rPr>
          <w:rFonts w:ascii="Times New Roman" w:hAnsi="Times New Roman" w:cs="Times New Roman"/>
        </w:rPr>
        <w:t>Porter’s Generic Strategies</w:t>
      </w:r>
      <w:bookmarkEnd w:id="16"/>
    </w:p>
    <w:p w14:paraId="38FC1C73"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Porter's Generic Strategies identify cost leadership, differentiation and focus as alternative sources of competitive advantage.</w:t>
      </w:r>
    </w:p>
    <w:p w14:paraId="3ADC40F1"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7" w:name="_Toc237434250"/>
      <w:r w:rsidRPr="0010077F">
        <w:rPr>
          <w:rFonts w:ascii="Times New Roman" w:eastAsia="Times New Roman" w:hAnsi="Times New Roman" w:cs="Times New Roman"/>
          <w:b/>
          <w:bCs/>
          <w:kern w:val="0"/>
          <w:sz w:val="27"/>
          <w:szCs w:val="27"/>
          <w:lang w:eastAsia="en-GB"/>
          <w14:ligatures w14:val="none"/>
        </w:rPr>
        <w:t>Cost leadership</w:t>
      </w:r>
      <w:bookmarkEnd w:id="17"/>
    </w:p>
    <w:p w14:paraId="2EB43D3C"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merger creates opportunities to reduce duplicated systems, infrastructure, retail operations and procurement costs. These savings can support competitive pricing and network investment.</w:t>
      </w:r>
    </w:p>
    <w:p w14:paraId="539DFEE9" w14:textId="7BA2913E"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However, pure cost leadership is difficult because large competitors also benefit from scale. Continuous price reductions could weaken profitability and make it harder to fund innovation. 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should pursue efficiency, but it should not depend solely on being the cheapest provider.</w:t>
      </w:r>
    </w:p>
    <w:p w14:paraId="6F4921DC"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8" w:name="_Toc237434251"/>
      <w:r w:rsidRPr="0010077F">
        <w:rPr>
          <w:rFonts w:ascii="Times New Roman" w:eastAsia="Times New Roman" w:hAnsi="Times New Roman" w:cs="Times New Roman"/>
          <w:b/>
          <w:bCs/>
          <w:kern w:val="0"/>
          <w:sz w:val="27"/>
          <w:szCs w:val="27"/>
          <w:lang w:eastAsia="en-GB"/>
          <w14:ligatures w14:val="none"/>
        </w:rPr>
        <w:t>Differentiation</w:t>
      </w:r>
      <w:bookmarkEnd w:id="18"/>
    </w:p>
    <w:p w14:paraId="63A4E05E" w14:textId="5DA4113A"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Differentiation involves providing distinctive value for which customers are willing to remain loyal or pay a reasonable premium. Vodafone can differentiate through reliable nationwide coverage, standalone 5G, high-quality customer service, integrated business products and strong cybersecurity.</w:t>
      </w:r>
    </w:p>
    <w:p w14:paraId="4740621F" w14:textId="14FCB212"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This approach is consistent with product development. For business customers, Vodafone could combine mobile connectivity, cloud services, cybersecurity and IoT into a single managed solution. For consumers, differentiation could involve transparent pricing, dependable coverage and personalised digital support.</w:t>
      </w:r>
    </w:p>
    <w:p w14:paraId="0C010F4A"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19" w:name="_Toc237434252"/>
      <w:r w:rsidRPr="0010077F">
        <w:rPr>
          <w:rFonts w:ascii="Times New Roman" w:eastAsia="Times New Roman" w:hAnsi="Times New Roman" w:cs="Times New Roman"/>
          <w:b/>
          <w:bCs/>
          <w:kern w:val="0"/>
          <w:sz w:val="27"/>
          <w:szCs w:val="27"/>
          <w:lang w:eastAsia="en-GB"/>
          <w14:ligatures w14:val="none"/>
        </w:rPr>
        <w:t>Focus strategy</w:t>
      </w:r>
      <w:bookmarkEnd w:id="19"/>
    </w:p>
    <w:p w14:paraId="1FB43D10" w14:textId="6F4E932F"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 focus strategy would target a narrower segment, such as small businesses, rural communities or organisations requiring private 5G networks. This could be effective for selected propositions, but it would not fully use 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nationwide scale.</w:t>
      </w:r>
    </w:p>
    <w:p w14:paraId="6097449C"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company should therefore use focused offers within a broader differentiation strategy rather than limiting the whole organisation to one narrow segment.</w:t>
      </w:r>
    </w:p>
    <w:p w14:paraId="0091F6FD" w14:textId="77777777" w:rsidR="003A2B79" w:rsidRPr="0010077F" w:rsidRDefault="003A2B79" w:rsidP="0010077F">
      <w:pPr>
        <w:jc w:val="both"/>
        <w:rPr>
          <w:rFonts w:ascii="Times New Roman" w:hAnsi="Times New Roman" w:cs="Times New Roman"/>
        </w:rPr>
      </w:pPr>
    </w:p>
    <w:p w14:paraId="5D00915C" w14:textId="18CA6C29" w:rsidR="00EB2828" w:rsidRPr="0010077F" w:rsidRDefault="00EB2828" w:rsidP="0010077F">
      <w:pPr>
        <w:pStyle w:val="Heading2"/>
        <w:numPr>
          <w:ilvl w:val="1"/>
          <w:numId w:val="4"/>
        </w:numPr>
        <w:jc w:val="both"/>
        <w:rPr>
          <w:rFonts w:ascii="Times New Roman" w:hAnsi="Times New Roman" w:cs="Times New Roman"/>
        </w:rPr>
      </w:pPr>
      <w:bookmarkStart w:id="20" w:name="_Toc237434253"/>
      <w:r w:rsidRPr="0010077F">
        <w:rPr>
          <w:rFonts w:ascii="Times New Roman" w:hAnsi="Times New Roman" w:cs="Times New Roman"/>
        </w:rPr>
        <w:t>Recommended Strategy</w:t>
      </w:r>
      <w:bookmarkEnd w:id="20"/>
      <w:r w:rsidRPr="0010077F">
        <w:rPr>
          <w:rFonts w:ascii="Times New Roman" w:hAnsi="Times New Roman" w:cs="Times New Roman"/>
        </w:rPr>
        <w:t xml:space="preserve"> </w:t>
      </w:r>
    </w:p>
    <w:p w14:paraId="19F049F0" w14:textId="46DEAAF8"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 reco</w:t>
      </w:r>
      <w:r w:rsidRPr="00DD6BAF">
        <w:rPr>
          <w:rFonts w:ascii="Times New Roman" w:hAnsi="Times New Roman" w:cs="Times New Roman"/>
        </w:rPr>
        <w:t>mmended option is related product development supported by broad differentiation</w:t>
      </w:r>
      <w:r w:rsidRPr="0010077F">
        <w:rPr>
          <w:rFonts w:ascii="Times New Roman" w:hAnsi="Times New Roman" w:cs="Times New Roman"/>
        </w:rPr>
        <w:t>. Vodafone</w:t>
      </w:r>
      <w:r w:rsidRPr="0010077F">
        <w:rPr>
          <w:rFonts w:ascii="Times New Roman" w:hAnsi="Times New Roman" w:cs="Times New Roman"/>
        </w:rPr>
        <w:t xml:space="preserve"> </w:t>
      </w:r>
      <w:r w:rsidRPr="0010077F">
        <w:rPr>
          <w:rFonts w:ascii="Times New Roman" w:hAnsi="Times New Roman" w:cs="Times New Roman"/>
        </w:rPr>
        <w:t>should use its expanded 5G infrastructure and customer base to develop integrated digital services for existing consumer and business customers.</w:t>
      </w:r>
    </w:p>
    <w:p w14:paraId="3251361C"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lastRenderedPageBreak/>
        <w:t>The initial emphasis should be on business solutions because organisations increasingly require secure connectivity, cloud integration, IoT management and protection against cyber threats. The company could provide modular service packages for small businesses, larger corporations and public-sector organisations.</w:t>
      </w:r>
    </w:p>
    <w:p w14:paraId="7095934E"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 strategy should include:</w:t>
      </w:r>
    </w:p>
    <w:p w14:paraId="35410DF3" w14:textId="77777777" w:rsidR="003A2B79" w:rsidRPr="0010077F" w:rsidRDefault="003A2B79" w:rsidP="0010077F">
      <w:pPr>
        <w:numPr>
          <w:ilvl w:val="0"/>
          <w:numId w:val="5"/>
        </w:numPr>
        <w:jc w:val="both"/>
        <w:rPr>
          <w:rFonts w:ascii="Times New Roman" w:hAnsi="Times New Roman" w:cs="Times New Roman"/>
        </w:rPr>
      </w:pPr>
      <w:r w:rsidRPr="0010077F">
        <w:rPr>
          <w:rFonts w:ascii="Times New Roman" w:hAnsi="Times New Roman" w:cs="Times New Roman"/>
          <w:b/>
          <w:bCs/>
        </w:rPr>
        <w:t>5G and private networks</w:t>
      </w:r>
      <w:r w:rsidRPr="0010077F">
        <w:rPr>
          <w:rFonts w:ascii="Times New Roman" w:hAnsi="Times New Roman" w:cs="Times New Roman"/>
        </w:rPr>
        <w:t xml:space="preserve"> for manufacturing, logistics, healthcare and large venues.</w:t>
      </w:r>
    </w:p>
    <w:p w14:paraId="1BC0EB70" w14:textId="77777777" w:rsidR="003A2B79" w:rsidRPr="0010077F" w:rsidRDefault="003A2B79" w:rsidP="0010077F">
      <w:pPr>
        <w:numPr>
          <w:ilvl w:val="0"/>
          <w:numId w:val="5"/>
        </w:numPr>
        <w:jc w:val="both"/>
        <w:rPr>
          <w:rFonts w:ascii="Times New Roman" w:hAnsi="Times New Roman" w:cs="Times New Roman"/>
        </w:rPr>
      </w:pPr>
      <w:r w:rsidRPr="0010077F">
        <w:rPr>
          <w:rFonts w:ascii="Times New Roman" w:hAnsi="Times New Roman" w:cs="Times New Roman"/>
          <w:b/>
          <w:bCs/>
        </w:rPr>
        <w:t>Managed cybersecurity</w:t>
      </w:r>
      <w:r w:rsidRPr="0010077F">
        <w:rPr>
          <w:rFonts w:ascii="Times New Roman" w:hAnsi="Times New Roman" w:cs="Times New Roman"/>
        </w:rPr>
        <w:t xml:space="preserve"> for organisations without extensive internal security resources.</w:t>
      </w:r>
    </w:p>
    <w:p w14:paraId="5314D817" w14:textId="77777777" w:rsidR="003A2B79" w:rsidRPr="0010077F" w:rsidRDefault="003A2B79" w:rsidP="0010077F">
      <w:pPr>
        <w:numPr>
          <w:ilvl w:val="0"/>
          <w:numId w:val="5"/>
        </w:numPr>
        <w:jc w:val="both"/>
        <w:rPr>
          <w:rFonts w:ascii="Times New Roman" w:hAnsi="Times New Roman" w:cs="Times New Roman"/>
        </w:rPr>
      </w:pPr>
      <w:r w:rsidRPr="0010077F">
        <w:rPr>
          <w:rFonts w:ascii="Times New Roman" w:hAnsi="Times New Roman" w:cs="Times New Roman"/>
          <w:b/>
          <w:bCs/>
        </w:rPr>
        <w:t>Cloud and edge connectivity</w:t>
      </w:r>
      <w:r w:rsidRPr="0010077F">
        <w:rPr>
          <w:rFonts w:ascii="Times New Roman" w:hAnsi="Times New Roman" w:cs="Times New Roman"/>
        </w:rPr>
        <w:t xml:space="preserve"> that integrates communications with data services.</w:t>
      </w:r>
    </w:p>
    <w:p w14:paraId="2411AD56" w14:textId="77777777" w:rsidR="003A2B79" w:rsidRPr="0010077F" w:rsidRDefault="003A2B79" w:rsidP="0010077F">
      <w:pPr>
        <w:numPr>
          <w:ilvl w:val="0"/>
          <w:numId w:val="5"/>
        </w:numPr>
        <w:jc w:val="both"/>
        <w:rPr>
          <w:rFonts w:ascii="Times New Roman" w:hAnsi="Times New Roman" w:cs="Times New Roman"/>
        </w:rPr>
      </w:pPr>
      <w:r w:rsidRPr="0010077F">
        <w:rPr>
          <w:rFonts w:ascii="Times New Roman" w:hAnsi="Times New Roman" w:cs="Times New Roman"/>
          <w:b/>
          <w:bCs/>
        </w:rPr>
        <w:t>AI-supported services</w:t>
      </w:r>
      <w:r w:rsidRPr="0010077F">
        <w:rPr>
          <w:rFonts w:ascii="Times New Roman" w:hAnsi="Times New Roman" w:cs="Times New Roman"/>
        </w:rPr>
        <w:t xml:space="preserve"> that improve network maintenance and customer assistance.</w:t>
      </w:r>
    </w:p>
    <w:p w14:paraId="55337B1B" w14:textId="77777777" w:rsidR="003A2B79" w:rsidRPr="0010077F" w:rsidRDefault="003A2B79" w:rsidP="0010077F">
      <w:pPr>
        <w:numPr>
          <w:ilvl w:val="0"/>
          <w:numId w:val="5"/>
        </w:numPr>
        <w:jc w:val="both"/>
        <w:rPr>
          <w:rFonts w:ascii="Times New Roman" w:hAnsi="Times New Roman" w:cs="Times New Roman"/>
        </w:rPr>
      </w:pPr>
      <w:r w:rsidRPr="0010077F">
        <w:rPr>
          <w:rFonts w:ascii="Times New Roman" w:hAnsi="Times New Roman" w:cs="Times New Roman"/>
          <w:b/>
          <w:bCs/>
        </w:rPr>
        <w:t>Improved consumer propositions</w:t>
      </w:r>
      <w:r w:rsidRPr="0010077F">
        <w:rPr>
          <w:rFonts w:ascii="Times New Roman" w:hAnsi="Times New Roman" w:cs="Times New Roman"/>
        </w:rPr>
        <w:t xml:space="preserve"> based on reliable coverage, transparent contracts and converged connectivity.</w:t>
      </w:r>
    </w:p>
    <w:p w14:paraId="3306A3DC" w14:textId="6B16EFF1" w:rsidR="003A2B79" w:rsidRPr="0010077F" w:rsidRDefault="003A2B79" w:rsidP="0010077F">
      <w:pPr>
        <w:jc w:val="both"/>
        <w:rPr>
          <w:rFonts w:ascii="Times New Roman" w:hAnsi="Times New Roman" w:cs="Times New Roman"/>
        </w:rPr>
      </w:pPr>
      <w:r w:rsidRPr="0010077F">
        <w:rPr>
          <w:rFonts w:ascii="Times New Roman" w:hAnsi="Times New Roman" w:cs="Times New Roman"/>
        </w:rPr>
        <w:t>This approach is preferable to pure market penetration because it avoids excessive dependence on price competition. It is less risky than unrelated diversification because it builds on Vodafone</w:t>
      </w:r>
      <w:r w:rsidRPr="0010077F">
        <w:rPr>
          <w:rFonts w:ascii="Times New Roman" w:hAnsi="Times New Roman" w:cs="Times New Roman"/>
        </w:rPr>
        <w:t xml:space="preserve"> </w:t>
      </w:r>
      <w:r w:rsidRPr="0010077F">
        <w:rPr>
          <w:rFonts w:ascii="Times New Roman" w:hAnsi="Times New Roman" w:cs="Times New Roman"/>
        </w:rPr>
        <w:t>existing capabilities and customers. Operational efficiency should support the strategy by financing innovation, but differentiation should remain the central competitive position.</w:t>
      </w:r>
    </w:p>
    <w:p w14:paraId="3AB9A628" w14:textId="77777777" w:rsidR="00EB2828" w:rsidRPr="0010077F" w:rsidRDefault="00EB2828" w:rsidP="0010077F">
      <w:pPr>
        <w:jc w:val="both"/>
        <w:rPr>
          <w:rFonts w:ascii="Times New Roman" w:hAnsi="Times New Roman" w:cs="Times New Roman"/>
        </w:rPr>
      </w:pPr>
    </w:p>
    <w:p w14:paraId="5EEBFF35" w14:textId="368FCFBA" w:rsidR="00BC6A7A" w:rsidRPr="0010077F" w:rsidRDefault="00BC6A7A" w:rsidP="0010077F">
      <w:pPr>
        <w:pStyle w:val="Heading1"/>
        <w:numPr>
          <w:ilvl w:val="0"/>
          <w:numId w:val="4"/>
        </w:numPr>
        <w:jc w:val="both"/>
        <w:rPr>
          <w:rFonts w:ascii="Times New Roman" w:hAnsi="Times New Roman" w:cs="Times New Roman"/>
        </w:rPr>
      </w:pPr>
      <w:bookmarkStart w:id="21" w:name="_Toc237434254"/>
      <w:r w:rsidRPr="0010077F">
        <w:rPr>
          <w:rFonts w:ascii="Times New Roman" w:hAnsi="Times New Roman" w:cs="Times New Roman"/>
        </w:rPr>
        <w:t>Strategy Evaluation</w:t>
      </w:r>
      <w:bookmarkEnd w:id="21"/>
      <w:r w:rsidRPr="0010077F">
        <w:rPr>
          <w:rFonts w:ascii="Times New Roman" w:hAnsi="Times New Roman" w:cs="Times New Roman"/>
        </w:rPr>
        <w:t xml:space="preserve"> </w:t>
      </w:r>
    </w:p>
    <w:p w14:paraId="7DF665D1" w14:textId="06D1EF7A" w:rsidR="00BC6A7A" w:rsidRPr="0010077F" w:rsidRDefault="00EB2828" w:rsidP="0010077F">
      <w:pPr>
        <w:pStyle w:val="Heading2"/>
        <w:numPr>
          <w:ilvl w:val="1"/>
          <w:numId w:val="4"/>
        </w:numPr>
        <w:jc w:val="both"/>
        <w:rPr>
          <w:rFonts w:ascii="Times New Roman" w:hAnsi="Times New Roman" w:cs="Times New Roman"/>
        </w:rPr>
      </w:pPr>
      <w:bookmarkStart w:id="22" w:name="_Toc237434255"/>
      <w:r w:rsidRPr="0010077F">
        <w:rPr>
          <w:rFonts w:ascii="Times New Roman" w:hAnsi="Times New Roman" w:cs="Times New Roman"/>
        </w:rPr>
        <w:t>SFA Framework</w:t>
      </w:r>
      <w:bookmarkEnd w:id="22"/>
      <w:r w:rsidRPr="0010077F">
        <w:rPr>
          <w:rFonts w:ascii="Times New Roman" w:hAnsi="Times New Roman" w:cs="Times New Roman"/>
        </w:rPr>
        <w:t xml:space="preserve"> </w:t>
      </w:r>
    </w:p>
    <w:p w14:paraId="790249F8"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SFA framework assesses a strategy according to its suitability, feasibility and acceptability (Zolfani et al., 2021).</w:t>
      </w:r>
    </w:p>
    <w:p w14:paraId="67DCAD45"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23" w:name="_Toc237434256"/>
      <w:r w:rsidRPr="0010077F">
        <w:rPr>
          <w:rFonts w:ascii="Times New Roman" w:eastAsia="Times New Roman" w:hAnsi="Times New Roman" w:cs="Times New Roman"/>
          <w:b/>
          <w:bCs/>
          <w:kern w:val="0"/>
          <w:sz w:val="27"/>
          <w:szCs w:val="27"/>
          <w:lang w:eastAsia="en-GB"/>
          <w14:ligatures w14:val="none"/>
        </w:rPr>
        <w:t>Suitability</w:t>
      </w:r>
      <w:bookmarkEnd w:id="23"/>
    </w:p>
    <w:p w14:paraId="17F02BC7"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recommended strategy is suitable because it responds directly to changes in the telecommunications environment. Traditional mobile services are mature, while demand for cybersecurity, cloud connectivity, IoT and advanced 5G solutions is expanding.</w:t>
      </w:r>
    </w:p>
    <w:p w14:paraId="73CC207F" w14:textId="2C978E74"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Product development also addresses the competitive forces identified earlier. It reduces reliance on price competition, gives customers additional reasons to remain with Vodafone</w:t>
      </w:r>
      <w:r w:rsidR="003F7CB4">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Three and makes the company's infrastructure more valuable. The strategy supports Vodafone's broader mission of connecting people and organisations through digital technology.</w:t>
      </w:r>
    </w:p>
    <w:p w14:paraId="7907929B"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strategy can also respond to environmental and social opportunities. IoT and connectivity products may help customers monitor energy use, support remote services and improve access to digital resources. Suitability will nevertheless depend on ensuring that new products solve genuine customer problems rather than simply adding technological complexity.</w:t>
      </w:r>
    </w:p>
    <w:p w14:paraId="329048DC"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24" w:name="_Toc237434257"/>
      <w:r w:rsidRPr="0010077F">
        <w:rPr>
          <w:rFonts w:ascii="Times New Roman" w:eastAsia="Times New Roman" w:hAnsi="Times New Roman" w:cs="Times New Roman"/>
          <w:b/>
          <w:bCs/>
          <w:kern w:val="0"/>
          <w:sz w:val="27"/>
          <w:szCs w:val="27"/>
          <w:lang w:eastAsia="en-GB"/>
          <w14:ligatures w14:val="none"/>
        </w:rPr>
        <w:lastRenderedPageBreak/>
        <w:t>Feasibility</w:t>
      </w:r>
      <w:bookmarkEnd w:id="24"/>
    </w:p>
    <w:p w14:paraId="6447DFD5" w14:textId="11E12723"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The strategy is feasible because </w:t>
      </w:r>
      <w:r w:rsidR="003F7CB4" w:rsidRPr="0010077F">
        <w:rPr>
          <w:rFonts w:ascii="Times New Roman" w:eastAsia="Times New Roman" w:hAnsi="Times New Roman" w:cs="Times New Roman"/>
          <w:kern w:val="0"/>
          <w:lang w:eastAsia="en-GB"/>
          <w14:ligatures w14:val="none"/>
        </w:rPr>
        <w:t>Vodafone Three</w:t>
      </w:r>
      <w:r w:rsidRPr="0010077F">
        <w:rPr>
          <w:rFonts w:ascii="Times New Roman" w:eastAsia="Times New Roman" w:hAnsi="Times New Roman" w:cs="Times New Roman"/>
          <w:kern w:val="0"/>
          <w:lang w:eastAsia="en-GB"/>
          <w14:ligatures w14:val="none"/>
        </w:rPr>
        <w:t xml:space="preserve"> has several necessary resources: a large customer base, telecommunications infrastructure, spectrum, brand recognition, business relationships and an extensive investment programme. The merger may also create procurement and operational efficiencies that can partially fund innovation.</w:t>
      </w:r>
    </w:p>
    <w:p w14:paraId="3462EC42"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There are, however, capability gaps. The company requires specialists in cybersecurity, AI, software, cloud integration and consultative selling. These skills can be developed through recruitment, employee training and partnerships with technology providers.</w:t>
      </w:r>
    </w:p>
    <w:p w14:paraId="520E7FCF" w14:textId="0C6D9ADE"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Financial feasibility should be assessed using staged investment. Pilot projects can test demand before nationwide deployment. </w:t>
      </w:r>
      <w:r w:rsidR="003F7CB4" w:rsidRPr="0010077F">
        <w:rPr>
          <w:rFonts w:ascii="Times New Roman" w:eastAsia="Times New Roman" w:hAnsi="Times New Roman" w:cs="Times New Roman"/>
          <w:kern w:val="0"/>
          <w:lang w:eastAsia="en-GB"/>
          <w14:ligatures w14:val="none"/>
        </w:rPr>
        <w:t>Vodafone Three</w:t>
      </w:r>
      <w:r w:rsidRPr="0010077F">
        <w:rPr>
          <w:rFonts w:ascii="Times New Roman" w:eastAsia="Times New Roman" w:hAnsi="Times New Roman" w:cs="Times New Roman"/>
          <w:kern w:val="0"/>
          <w:lang w:eastAsia="en-GB"/>
          <w14:ligatures w14:val="none"/>
        </w:rPr>
        <w:t xml:space="preserve"> should avoid launching too many products simultaneously, particularly while network and customer systems are being integrated.</w:t>
      </w:r>
    </w:p>
    <w:p w14:paraId="114A0E41" w14:textId="77777777" w:rsidR="003A2B79" w:rsidRPr="0010077F" w:rsidRDefault="003A2B79" w:rsidP="0010077F">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bookmarkStart w:id="25" w:name="_Toc237434258"/>
      <w:r w:rsidRPr="0010077F">
        <w:rPr>
          <w:rFonts w:ascii="Times New Roman" w:eastAsia="Times New Roman" w:hAnsi="Times New Roman" w:cs="Times New Roman"/>
          <w:b/>
          <w:bCs/>
          <w:kern w:val="0"/>
          <w:sz w:val="27"/>
          <w:szCs w:val="27"/>
          <w:lang w:eastAsia="en-GB"/>
          <w14:ligatures w14:val="none"/>
        </w:rPr>
        <w:t>Acceptability</w:t>
      </w:r>
      <w:bookmarkEnd w:id="25"/>
    </w:p>
    <w:p w14:paraId="61119639"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strategy offers potential value to major stakeholders. Investors may benefit from revenue diversification and long-term growth. Customers may receive faster, more secure and integrated services. Employees may gain new career opportunities and digital skills. Suppliers may benefit from expanded partnerships, while government and communities may benefit from improved connectivity.</w:t>
      </w:r>
    </w:p>
    <w:p w14:paraId="7ABCF4E6"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Risks remain acceptable only if they are carefully controlled. Shareholders may be concerned about expenditure and delayed returns, customers about prices and service disruption, and employees about restructuring. Regulators may also scrutinise the use of customer data, cybersecurity and competitive conduct.</w:t>
      </w:r>
    </w:p>
    <w:tbl>
      <w:tblPr>
        <w:tblStyle w:val="TableGrid"/>
        <w:tblW w:w="0" w:type="auto"/>
        <w:tblLook w:val="04A0" w:firstRow="1" w:lastRow="0" w:firstColumn="1" w:lastColumn="0" w:noHBand="0" w:noVBand="1"/>
      </w:tblPr>
      <w:tblGrid>
        <w:gridCol w:w="1603"/>
        <w:gridCol w:w="5590"/>
        <w:gridCol w:w="1823"/>
      </w:tblGrid>
      <w:tr w:rsidR="003A2B79" w:rsidRPr="0010077F" w14:paraId="51641E4A" w14:textId="77777777" w:rsidTr="003F7CB4">
        <w:tc>
          <w:tcPr>
            <w:tcW w:w="0" w:type="auto"/>
            <w:shd w:val="clear" w:color="auto" w:fill="D1D1D1" w:themeFill="background2" w:themeFillShade="E6"/>
            <w:vAlign w:val="center"/>
            <w:hideMark/>
          </w:tcPr>
          <w:p w14:paraId="3E0C26D9"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SFA criterion</w:t>
            </w:r>
          </w:p>
        </w:tc>
        <w:tc>
          <w:tcPr>
            <w:tcW w:w="0" w:type="auto"/>
            <w:shd w:val="clear" w:color="auto" w:fill="D1D1D1" w:themeFill="background2" w:themeFillShade="E6"/>
            <w:vAlign w:val="center"/>
            <w:hideMark/>
          </w:tcPr>
          <w:p w14:paraId="733B2015"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Evaluation</w:t>
            </w:r>
          </w:p>
        </w:tc>
        <w:tc>
          <w:tcPr>
            <w:tcW w:w="0" w:type="auto"/>
            <w:shd w:val="clear" w:color="auto" w:fill="D1D1D1" w:themeFill="background2" w:themeFillShade="E6"/>
            <w:vAlign w:val="center"/>
            <w:hideMark/>
          </w:tcPr>
          <w:p w14:paraId="3E4AA9E2"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Overall assessment</w:t>
            </w:r>
          </w:p>
        </w:tc>
      </w:tr>
      <w:tr w:rsidR="003A2B79" w:rsidRPr="0010077F" w14:paraId="00A40B19" w14:textId="77777777" w:rsidTr="003F7CB4">
        <w:tc>
          <w:tcPr>
            <w:tcW w:w="0" w:type="auto"/>
            <w:vAlign w:val="center"/>
            <w:hideMark/>
          </w:tcPr>
          <w:p w14:paraId="08EAD8E6"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Suitability</w:t>
            </w:r>
          </w:p>
        </w:tc>
        <w:tc>
          <w:tcPr>
            <w:tcW w:w="0" w:type="auto"/>
            <w:vAlign w:val="center"/>
            <w:hideMark/>
          </w:tcPr>
          <w:p w14:paraId="348FA521"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Responds to digital growth, competition and changing customer requirements.</w:t>
            </w:r>
          </w:p>
        </w:tc>
        <w:tc>
          <w:tcPr>
            <w:tcW w:w="0" w:type="auto"/>
            <w:vAlign w:val="center"/>
            <w:hideMark/>
          </w:tcPr>
          <w:p w14:paraId="05BEB7F6"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r>
      <w:tr w:rsidR="003A2B79" w:rsidRPr="0010077F" w14:paraId="0D76B481" w14:textId="77777777" w:rsidTr="003F7CB4">
        <w:tc>
          <w:tcPr>
            <w:tcW w:w="0" w:type="auto"/>
            <w:vAlign w:val="center"/>
            <w:hideMark/>
          </w:tcPr>
          <w:p w14:paraId="304A706F"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Feasibility</w:t>
            </w:r>
          </w:p>
        </w:tc>
        <w:tc>
          <w:tcPr>
            <w:tcW w:w="0" w:type="auto"/>
            <w:vAlign w:val="center"/>
            <w:hideMark/>
          </w:tcPr>
          <w:p w14:paraId="32C82E90"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Supported by infrastructure and scale, but requires integration, skills and partnerships.</w:t>
            </w:r>
          </w:p>
        </w:tc>
        <w:tc>
          <w:tcPr>
            <w:tcW w:w="0" w:type="auto"/>
            <w:vAlign w:val="center"/>
            <w:hideMark/>
          </w:tcPr>
          <w:p w14:paraId="44AF204B"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 to high</w:t>
            </w:r>
          </w:p>
        </w:tc>
      </w:tr>
      <w:tr w:rsidR="003A2B79" w:rsidRPr="0010077F" w14:paraId="3CA2C388" w14:textId="77777777" w:rsidTr="003F7CB4">
        <w:tc>
          <w:tcPr>
            <w:tcW w:w="0" w:type="auto"/>
            <w:vAlign w:val="center"/>
            <w:hideMark/>
          </w:tcPr>
          <w:p w14:paraId="1DF76D2A"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Acceptability</w:t>
            </w:r>
          </w:p>
        </w:tc>
        <w:tc>
          <w:tcPr>
            <w:tcW w:w="0" w:type="auto"/>
            <w:vAlign w:val="center"/>
            <w:hideMark/>
          </w:tcPr>
          <w:p w14:paraId="3823B5DB"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Creates stakeholder value, subject to cost, service and compliance controls.</w:t>
            </w:r>
          </w:p>
        </w:tc>
        <w:tc>
          <w:tcPr>
            <w:tcW w:w="0" w:type="auto"/>
            <w:vAlign w:val="center"/>
            <w:hideMark/>
          </w:tcPr>
          <w:p w14:paraId="4D0464FB"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 to high</w:t>
            </w:r>
          </w:p>
        </w:tc>
      </w:tr>
    </w:tbl>
    <w:p w14:paraId="3840272A" w14:textId="4A761C76"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Overall, the strategy is suitable, feasible and acceptable. Its success depends on phased implementation, strong governance and measurable customer outcomes.</w:t>
      </w:r>
    </w:p>
    <w:p w14:paraId="792E3D66" w14:textId="5FB2B78B" w:rsidR="00BC6A7A" w:rsidRPr="0010077F" w:rsidRDefault="00BC6A7A" w:rsidP="0010077F">
      <w:pPr>
        <w:pStyle w:val="Heading1"/>
        <w:numPr>
          <w:ilvl w:val="0"/>
          <w:numId w:val="4"/>
        </w:numPr>
        <w:jc w:val="both"/>
        <w:rPr>
          <w:rFonts w:ascii="Times New Roman" w:hAnsi="Times New Roman" w:cs="Times New Roman"/>
        </w:rPr>
      </w:pPr>
      <w:bookmarkStart w:id="26" w:name="_Toc237434259"/>
      <w:r w:rsidRPr="0010077F">
        <w:rPr>
          <w:rFonts w:ascii="Times New Roman" w:hAnsi="Times New Roman" w:cs="Times New Roman"/>
        </w:rPr>
        <w:t>Stakeholder analysis</w:t>
      </w:r>
      <w:bookmarkEnd w:id="26"/>
      <w:r w:rsidRPr="0010077F">
        <w:rPr>
          <w:rFonts w:ascii="Times New Roman" w:hAnsi="Times New Roman" w:cs="Times New Roman"/>
        </w:rPr>
        <w:t xml:space="preserve"> </w:t>
      </w:r>
    </w:p>
    <w:p w14:paraId="77B7ED06" w14:textId="62F3266D"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Stakeholder theory argues that organisations should consider the interests of groups that affect or are affected by corporate decisions (Stakeholder Theory, 2018). This is particularly important for </w:t>
      </w:r>
      <w:r w:rsidR="003F7CB4" w:rsidRPr="0010077F">
        <w:rPr>
          <w:rFonts w:ascii="Times New Roman" w:eastAsia="Times New Roman" w:hAnsi="Times New Roman" w:cs="Times New Roman"/>
          <w:kern w:val="0"/>
          <w:lang w:eastAsia="en-GB"/>
          <w14:ligatures w14:val="none"/>
        </w:rPr>
        <w:t>Vodafone Three</w:t>
      </w:r>
      <w:r w:rsidRPr="0010077F">
        <w:rPr>
          <w:rFonts w:ascii="Times New Roman" w:eastAsia="Times New Roman" w:hAnsi="Times New Roman" w:cs="Times New Roman"/>
          <w:kern w:val="0"/>
          <w:lang w:eastAsia="en-GB"/>
          <w14:ligatures w14:val="none"/>
        </w:rPr>
        <w:t xml:space="preserve"> because </w:t>
      </w:r>
      <w:r w:rsidR="003F7CB4">
        <w:rPr>
          <w:rFonts w:ascii="Times New Roman" w:eastAsia="Times New Roman" w:hAnsi="Times New Roman" w:cs="Times New Roman"/>
          <w:kern w:val="0"/>
          <w:lang w:eastAsia="en-GB"/>
          <w14:ligatures w14:val="none"/>
        </w:rPr>
        <w:t>the</w:t>
      </w:r>
      <w:r w:rsidRPr="0010077F">
        <w:rPr>
          <w:rFonts w:ascii="Times New Roman" w:eastAsia="Times New Roman" w:hAnsi="Times New Roman" w:cs="Times New Roman"/>
          <w:kern w:val="0"/>
          <w:lang w:eastAsia="en-GB"/>
          <w14:ligatures w14:val="none"/>
        </w:rPr>
        <w:t xml:space="preserve"> strategic transformation affects millions of customers, employees, investors, suppliers, regulators and communities.</w:t>
      </w:r>
    </w:p>
    <w:p w14:paraId="5D94F152" w14:textId="5CCB7FF0" w:rsidR="00BC6A7A" w:rsidRPr="0010077F" w:rsidRDefault="00EB2828" w:rsidP="0010077F">
      <w:pPr>
        <w:pStyle w:val="Heading2"/>
        <w:numPr>
          <w:ilvl w:val="1"/>
          <w:numId w:val="4"/>
        </w:numPr>
        <w:jc w:val="both"/>
        <w:rPr>
          <w:rFonts w:ascii="Times New Roman" w:hAnsi="Times New Roman" w:cs="Times New Roman"/>
        </w:rPr>
      </w:pPr>
      <w:bookmarkStart w:id="27" w:name="_Toc237434260"/>
      <w:r w:rsidRPr="0010077F">
        <w:rPr>
          <w:rFonts w:ascii="Times New Roman" w:hAnsi="Times New Roman" w:cs="Times New Roman"/>
        </w:rPr>
        <w:lastRenderedPageBreak/>
        <w:t>Mendelow’s matrix</w:t>
      </w:r>
      <w:bookmarkEnd w:id="27"/>
      <w:r w:rsidRPr="0010077F">
        <w:rPr>
          <w:rFonts w:ascii="Times New Roman" w:hAnsi="Times New Roman" w:cs="Times New Roman"/>
        </w:rPr>
        <w:t xml:space="preserve"> </w:t>
      </w:r>
    </w:p>
    <w:p w14:paraId="4C0C0118"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Mendelow's Matrix categorises stakeholders according to their power and level of interest (Weijers, 2025).</w:t>
      </w:r>
    </w:p>
    <w:tbl>
      <w:tblPr>
        <w:tblStyle w:val="TableGrid"/>
        <w:tblW w:w="0" w:type="auto"/>
        <w:tblLook w:val="04A0" w:firstRow="1" w:lastRow="0" w:firstColumn="1" w:lastColumn="0" w:noHBand="0" w:noVBand="1"/>
      </w:tblPr>
      <w:tblGrid>
        <w:gridCol w:w="3315"/>
        <w:gridCol w:w="1030"/>
        <w:gridCol w:w="1030"/>
        <w:gridCol w:w="3641"/>
      </w:tblGrid>
      <w:tr w:rsidR="003A2B79" w:rsidRPr="0010077F" w14:paraId="3D820471" w14:textId="77777777" w:rsidTr="003A2B79">
        <w:tc>
          <w:tcPr>
            <w:tcW w:w="0" w:type="auto"/>
            <w:shd w:val="clear" w:color="auto" w:fill="D1D1D1" w:themeFill="background2" w:themeFillShade="E6"/>
            <w:vAlign w:val="center"/>
            <w:hideMark/>
          </w:tcPr>
          <w:p w14:paraId="0392DA64"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Stakeholder group</w:t>
            </w:r>
          </w:p>
        </w:tc>
        <w:tc>
          <w:tcPr>
            <w:tcW w:w="0" w:type="auto"/>
            <w:shd w:val="clear" w:color="auto" w:fill="D1D1D1" w:themeFill="background2" w:themeFillShade="E6"/>
            <w:vAlign w:val="center"/>
            <w:hideMark/>
          </w:tcPr>
          <w:p w14:paraId="33D0CFF9"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Power</w:t>
            </w:r>
          </w:p>
        </w:tc>
        <w:tc>
          <w:tcPr>
            <w:tcW w:w="0" w:type="auto"/>
            <w:shd w:val="clear" w:color="auto" w:fill="D1D1D1" w:themeFill="background2" w:themeFillShade="E6"/>
            <w:vAlign w:val="center"/>
            <w:hideMark/>
          </w:tcPr>
          <w:p w14:paraId="6CC74C49"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Interest</w:t>
            </w:r>
          </w:p>
        </w:tc>
        <w:tc>
          <w:tcPr>
            <w:tcW w:w="0" w:type="auto"/>
            <w:shd w:val="clear" w:color="auto" w:fill="D1D1D1" w:themeFill="background2" w:themeFillShade="E6"/>
            <w:vAlign w:val="center"/>
            <w:hideMark/>
          </w:tcPr>
          <w:p w14:paraId="34C67BA4" w14:textId="77777777" w:rsidR="003A2B79" w:rsidRPr="0010077F" w:rsidRDefault="003A2B79"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Mendelow category</w:t>
            </w:r>
          </w:p>
        </w:tc>
      </w:tr>
      <w:tr w:rsidR="003A2B79" w:rsidRPr="0010077F" w14:paraId="57953601" w14:textId="77777777" w:rsidTr="003A2B79">
        <w:tc>
          <w:tcPr>
            <w:tcW w:w="0" w:type="auto"/>
            <w:vAlign w:val="center"/>
            <w:hideMark/>
          </w:tcPr>
          <w:p w14:paraId="3FF12FED"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Board and major investors</w:t>
            </w:r>
          </w:p>
        </w:tc>
        <w:tc>
          <w:tcPr>
            <w:tcW w:w="0" w:type="auto"/>
            <w:vAlign w:val="center"/>
            <w:hideMark/>
          </w:tcPr>
          <w:p w14:paraId="22C87EE0"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00B820CF"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32CF58F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Manage closely</w:t>
            </w:r>
          </w:p>
        </w:tc>
      </w:tr>
      <w:tr w:rsidR="003A2B79" w:rsidRPr="0010077F" w14:paraId="2F6A8D00" w14:textId="77777777" w:rsidTr="003A2B79">
        <w:tc>
          <w:tcPr>
            <w:tcW w:w="0" w:type="auto"/>
            <w:vAlign w:val="center"/>
            <w:hideMark/>
          </w:tcPr>
          <w:p w14:paraId="124598C6"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Ofcom, CMA and government</w:t>
            </w:r>
          </w:p>
        </w:tc>
        <w:tc>
          <w:tcPr>
            <w:tcW w:w="0" w:type="auto"/>
            <w:vAlign w:val="center"/>
            <w:hideMark/>
          </w:tcPr>
          <w:p w14:paraId="13029BFB"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66269A90"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720470DC"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Manage closely</w:t>
            </w:r>
          </w:p>
        </w:tc>
      </w:tr>
      <w:tr w:rsidR="003A2B79" w:rsidRPr="0010077F" w14:paraId="225A35D1" w14:textId="77777777" w:rsidTr="003A2B79">
        <w:tc>
          <w:tcPr>
            <w:tcW w:w="0" w:type="auto"/>
            <w:vAlign w:val="center"/>
            <w:hideMark/>
          </w:tcPr>
          <w:p w14:paraId="25B01431"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Employees and managers</w:t>
            </w:r>
          </w:p>
        </w:tc>
        <w:tc>
          <w:tcPr>
            <w:tcW w:w="0" w:type="auto"/>
            <w:vAlign w:val="center"/>
            <w:hideMark/>
          </w:tcPr>
          <w:p w14:paraId="6F035172"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c>
          <w:tcPr>
            <w:tcW w:w="0" w:type="auto"/>
            <w:vAlign w:val="center"/>
            <w:hideMark/>
          </w:tcPr>
          <w:p w14:paraId="6D5884B6"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77E83585"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Keep informed and actively involve</w:t>
            </w:r>
          </w:p>
        </w:tc>
      </w:tr>
      <w:tr w:rsidR="003A2B79" w:rsidRPr="0010077F" w14:paraId="3F546AA5" w14:textId="77777777" w:rsidTr="003A2B79">
        <w:tc>
          <w:tcPr>
            <w:tcW w:w="0" w:type="auto"/>
            <w:vAlign w:val="center"/>
            <w:hideMark/>
          </w:tcPr>
          <w:p w14:paraId="79CF4832"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Customers</w:t>
            </w:r>
          </w:p>
        </w:tc>
        <w:tc>
          <w:tcPr>
            <w:tcW w:w="0" w:type="auto"/>
            <w:vAlign w:val="center"/>
            <w:hideMark/>
          </w:tcPr>
          <w:p w14:paraId="2011ABFD"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c>
          <w:tcPr>
            <w:tcW w:w="0" w:type="auto"/>
            <w:vAlign w:val="center"/>
            <w:hideMark/>
          </w:tcPr>
          <w:p w14:paraId="60FFCC1F"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5046987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Keep informed</w:t>
            </w:r>
          </w:p>
        </w:tc>
      </w:tr>
      <w:tr w:rsidR="003A2B79" w:rsidRPr="0010077F" w14:paraId="59690861" w14:textId="77777777" w:rsidTr="003A2B79">
        <w:tc>
          <w:tcPr>
            <w:tcW w:w="0" w:type="auto"/>
            <w:vAlign w:val="center"/>
            <w:hideMark/>
          </w:tcPr>
          <w:p w14:paraId="248C0C1E"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Strategic technology suppliers</w:t>
            </w:r>
          </w:p>
        </w:tc>
        <w:tc>
          <w:tcPr>
            <w:tcW w:w="0" w:type="auto"/>
            <w:vAlign w:val="center"/>
            <w:hideMark/>
          </w:tcPr>
          <w:p w14:paraId="2BB99C03"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0AA2F303"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c>
          <w:tcPr>
            <w:tcW w:w="0" w:type="auto"/>
            <w:vAlign w:val="center"/>
            <w:hideMark/>
          </w:tcPr>
          <w:p w14:paraId="28517E5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Keep satisfied</w:t>
            </w:r>
          </w:p>
        </w:tc>
      </w:tr>
      <w:tr w:rsidR="003A2B79" w:rsidRPr="0010077F" w14:paraId="6F49AE00" w14:textId="77777777" w:rsidTr="003A2B79">
        <w:tc>
          <w:tcPr>
            <w:tcW w:w="0" w:type="auto"/>
            <w:vAlign w:val="center"/>
            <w:hideMark/>
          </w:tcPr>
          <w:p w14:paraId="2D73483B"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Business partners</w:t>
            </w:r>
          </w:p>
        </w:tc>
        <w:tc>
          <w:tcPr>
            <w:tcW w:w="0" w:type="auto"/>
            <w:vAlign w:val="center"/>
            <w:hideMark/>
          </w:tcPr>
          <w:p w14:paraId="3AA6D4D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c>
          <w:tcPr>
            <w:tcW w:w="0" w:type="auto"/>
            <w:vAlign w:val="center"/>
            <w:hideMark/>
          </w:tcPr>
          <w:p w14:paraId="2D408BBC"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High</w:t>
            </w:r>
          </w:p>
        </w:tc>
        <w:tc>
          <w:tcPr>
            <w:tcW w:w="0" w:type="auto"/>
            <w:vAlign w:val="center"/>
            <w:hideMark/>
          </w:tcPr>
          <w:p w14:paraId="203D6B4A"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Keep informed and collaborate</w:t>
            </w:r>
          </w:p>
        </w:tc>
      </w:tr>
      <w:tr w:rsidR="003A2B79" w:rsidRPr="0010077F" w14:paraId="6C82CD23" w14:textId="77777777" w:rsidTr="003A2B79">
        <w:tc>
          <w:tcPr>
            <w:tcW w:w="0" w:type="auto"/>
            <w:vAlign w:val="center"/>
            <w:hideMark/>
          </w:tcPr>
          <w:p w14:paraId="78A53813"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Local communities</w:t>
            </w:r>
          </w:p>
        </w:tc>
        <w:tc>
          <w:tcPr>
            <w:tcW w:w="0" w:type="auto"/>
            <w:vAlign w:val="center"/>
            <w:hideMark/>
          </w:tcPr>
          <w:p w14:paraId="75651754"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Low</w:t>
            </w:r>
          </w:p>
        </w:tc>
        <w:tc>
          <w:tcPr>
            <w:tcW w:w="0" w:type="auto"/>
            <w:vAlign w:val="center"/>
            <w:hideMark/>
          </w:tcPr>
          <w:p w14:paraId="423CD70B"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Medium</w:t>
            </w:r>
          </w:p>
        </w:tc>
        <w:tc>
          <w:tcPr>
            <w:tcW w:w="0" w:type="auto"/>
            <w:vAlign w:val="center"/>
            <w:hideMark/>
          </w:tcPr>
          <w:p w14:paraId="33129FA2"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Monitor and keep informed</w:t>
            </w:r>
          </w:p>
        </w:tc>
      </w:tr>
      <w:tr w:rsidR="003A2B79" w:rsidRPr="0010077F" w14:paraId="7662CB1F" w14:textId="77777777" w:rsidTr="003A2B79">
        <w:tc>
          <w:tcPr>
            <w:tcW w:w="0" w:type="auto"/>
            <w:vAlign w:val="center"/>
            <w:hideMark/>
          </w:tcPr>
          <w:p w14:paraId="710495E6"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Wider public</w:t>
            </w:r>
          </w:p>
        </w:tc>
        <w:tc>
          <w:tcPr>
            <w:tcW w:w="0" w:type="auto"/>
            <w:vAlign w:val="center"/>
            <w:hideMark/>
          </w:tcPr>
          <w:p w14:paraId="57F77ED5"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Low</w:t>
            </w:r>
          </w:p>
        </w:tc>
        <w:tc>
          <w:tcPr>
            <w:tcW w:w="0" w:type="auto"/>
            <w:vAlign w:val="center"/>
            <w:hideMark/>
          </w:tcPr>
          <w:p w14:paraId="4CC988F8"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Low</w:t>
            </w:r>
          </w:p>
        </w:tc>
        <w:tc>
          <w:tcPr>
            <w:tcW w:w="0" w:type="auto"/>
            <w:vAlign w:val="center"/>
            <w:hideMark/>
          </w:tcPr>
          <w:p w14:paraId="6A9878E5" w14:textId="77777777" w:rsidR="003A2B79" w:rsidRPr="0010077F" w:rsidRDefault="003A2B79"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Monitor</w:t>
            </w:r>
          </w:p>
        </w:tc>
      </w:tr>
    </w:tbl>
    <w:p w14:paraId="47174D9C"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Investors and regulators require the closest management because they possess both substantial power and strong interest. Investors influence access to capital and strategic approval, while regulators can impose obligations and penalties.</w:t>
      </w:r>
    </w:p>
    <w:p w14:paraId="64094258"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Customers and employees have high interest because the strategy directly affects service quality, employment, skills and working arrangements. Although individual customers may have limited power, their collective switching behaviour and public feedback can materially affect performance.</w:t>
      </w:r>
    </w:p>
    <w:p w14:paraId="524320A8" w14:textId="19192C0D"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Suppliers may possess significant power when Vodafone</w:t>
      </w:r>
      <w:r w:rsidR="003F7CB4">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depends on specialist platforms or equipment. Long-term contracts should therefore include service standards, cybersecurity requirements and contingency arrangements.</w:t>
      </w:r>
    </w:p>
    <w:p w14:paraId="3129CE11" w14:textId="77777777" w:rsidR="003A2B79" w:rsidRPr="0010077F" w:rsidRDefault="003A2B79" w:rsidP="0010077F">
      <w:pPr>
        <w:jc w:val="both"/>
        <w:rPr>
          <w:rFonts w:ascii="Times New Roman" w:hAnsi="Times New Roman" w:cs="Times New Roman"/>
        </w:rPr>
      </w:pPr>
    </w:p>
    <w:p w14:paraId="1719C288" w14:textId="2419A140" w:rsidR="00EB2828" w:rsidRPr="0010077F" w:rsidRDefault="00EB2828" w:rsidP="0010077F">
      <w:pPr>
        <w:pStyle w:val="Heading2"/>
        <w:numPr>
          <w:ilvl w:val="1"/>
          <w:numId w:val="4"/>
        </w:numPr>
        <w:jc w:val="both"/>
        <w:rPr>
          <w:rFonts w:ascii="Times New Roman" w:hAnsi="Times New Roman" w:cs="Times New Roman"/>
        </w:rPr>
      </w:pPr>
      <w:bookmarkStart w:id="28" w:name="_Toc237434261"/>
      <w:r w:rsidRPr="0010077F">
        <w:rPr>
          <w:rFonts w:ascii="Times New Roman" w:hAnsi="Times New Roman" w:cs="Times New Roman"/>
        </w:rPr>
        <w:t>Stakeholder Engagement plan</w:t>
      </w:r>
      <w:bookmarkEnd w:id="28"/>
    </w:p>
    <w:tbl>
      <w:tblPr>
        <w:tblStyle w:val="TableGrid"/>
        <w:tblW w:w="0" w:type="auto"/>
        <w:tblLook w:val="04A0" w:firstRow="1" w:lastRow="0" w:firstColumn="1" w:lastColumn="0" w:noHBand="0" w:noVBand="1"/>
      </w:tblPr>
      <w:tblGrid>
        <w:gridCol w:w="1989"/>
        <w:gridCol w:w="2690"/>
        <w:gridCol w:w="2717"/>
        <w:gridCol w:w="1620"/>
      </w:tblGrid>
      <w:tr w:rsidR="003A2B79" w:rsidRPr="0010077F" w14:paraId="25E0C91F" w14:textId="77777777" w:rsidTr="003F7CB4">
        <w:trPr>
          <w:trHeight w:val="624"/>
        </w:trPr>
        <w:tc>
          <w:tcPr>
            <w:tcW w:w="0" w:type="auto"/>
            <w:shd w:val="clear" w:color="auto" w:fill="D1D1D1" w:themeFill="background2" w:themeFillShade="E6"/>
            <w:vAlign w:val="center"/>
            <w:hideMark/>
          </w:tcPr>
          <w:p w14:paraId="1CED983A"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Stakeholder</w:t>
            </w:r>
          </w:p>
        </w:tc>
        <w:tc>
          <w:tcPr>
            <w:tcW w:w="0" w:type="auto"/>
            <w:shd w:val="clear" w:color="auto" w:fill="D1D1D1" w:themeFill="background2" w:themeFillShade="E6"/>
            <w:vAlign w:val="center"/>
            <w:hideMark/>
          </w:tcPr>
          <w:p w14:paraId="61F59C18"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Key concern</w:t>
            </w:r>
          </w:p>
        </w:tc>
        <w:tc>
          <w:tcPr>
            <w:tcW w:w="0" w:type="auto"/>
            <w:shd w:val="clear" w:color="auto" w:fill="D1D1D1" w:themeFill="background2" w:themeFillShade="E6"/>
            <w:vAlign w:val="center"/>
            <w:hideMark/>
          </w:tcPr>
          <w:p w14:paraId="2672394F"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Engagement method</w:t>
            </w:r>
          </w:p>
        </w:tc>
        <w:tc>
          <w:tcPr>
            <w:tcW w:w="0" w:type="auto"/>
            <w:shd w:val="clear" w:color="auto" w:fill="D1D1D1" w:themeFill="background2" w:themeFillShade="E6"/>
            <w:vAlign w:val="center"/>
            <w:hideMark/>
          </w:tcPr>
          <w:p w14:paraId="070D5775" w14:textId="77777777" w:rsidR="003A2B79" w:rsidRPr="0010077F" w:rsidRDefault="003A2B79"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Frequency</w:t>
            </w:r>
          </w:p>
        </w:tc>
      </w:tr>
      <w:tr w:rsidR="003A2B79" w:rsidRPr="0010077F" w14:paraId="1416F5B0" w14:textId="77777777" w:rsidTr="003F7CB4">
        <w:tc>
          <w:tcPr>
            <w:tcW w:w="0" w:type="auto"/>
            <w:vAlign w:val="center"/>
            <w:hideMark/>
          </w:tcPr>
          <w:p w14:paraId="3B9064C8"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Investors</w:t>
            </w:r>
          </w:p>
        </w:tc>
        <w:tc>
          <w:tcPr>
            <w:tcW w:w="0" w:type="auto"/>
            <w:vAlign w:val="center"/>
            <w:hideMark/>
          </w:tcPr>
          <w:p w14:paraId="2D77212D"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Returns, expenditure, integration progress and risk.</w:t>
            </w:r>
          </w:p>
        </w:tc>
        <w:tc>
          <w:tcPr>
            <w:tcW w:w="0" w:type="auto"/>
            <w:vAlign w:val="center"/>
            <w:hideMark/>
          </w:tcPr>
          <w:p w14:paraId="4E4090FD"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Results presentations, reports and investor briefings.</w:t>
            </w:r>
          </w:p>
        </w:tc>
        <w:tc>
          <w:tcPr>
            <w:tcW w:w="0" w:type="auto"/>
            <w:vAlign w:val="center"/>
            <w:hideMark/>
          </w:tcPr>
          <w:p w14:paraId="1E072B5B"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Quarterly</w:t>
            </w:r>
          </w:p>
        </w:tc>
      </w:tr>
      <w:tr w:rsidR="003A2B79" w:rsidRPr="0010077F" w14:paraId="0FD866BA" w14:textId="77777777" w:rsidTr="003F7CB4">
        <w:tc>
          <w:tcPr>
            <w:tcW w:w="0" w:type="auto"/>
            <w:vAlign w:val="center"/>
            <w:hideMark/>
          </w:tcPr>
          <w:p w14:paraId="4FDC1A2F"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Regulators and government</w:t>
            </w:r>
          </w:p>
        </w:tc>
        <w:tc>
          <w:tcPr>
            <w:tcW w:w="0" w:type="auto"/>
            <w:vAlign w:val="center"/>
            <w:hideMark/>
          </w:tcPr>
          <w:p w14:paraId="49E54E39"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Competition, coverage, prices, security and compliance.</w:t>
            </w:r>
          </w:p>
        </w:tc>
        <w:tc>
          <w:tcPr>
            <w:tcW w:w="0" w:type="auto"/>
            <w:vAlign w:val="center"/>
            <w:hideMark/>
          </w:tcPr>
          <w:p w14:paraId="7CF6AFAE"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Formal reporting, audits and regulatory meetings.</w:t>
            </w:r>
          </w:p>
        </w:tc>
        <w:tc>
          <w:tcPr>
            <w:tcW w:w="0" w:type="auto"/>
            <w:vAlign w:val="center"/>
            <w:hideMark/>
          </w:tcPr>
          <w:p w14:paraId="1EBE9149"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Monthly or as required</w:t>
            </w:r>
          </w:p>
        </w:tc>
      </w:tr>
      <w:tr w:rsidR="003A2B79" w:rsidRPr="0010077F" w14:paraId="228A69D7" w14:textId="77777777" w:rsidTr="003F7CB4">
        <w:tc>
          <w:tcPr>
            <w:tcW w:w="0" w:type="auto"/>
            <w:vAlign w:val="center"/>
            <w:hideMark/>
          </w:tcPr>
          <w:p w14:paraId="7BE9B2CD"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Customers</w:t>
            </w:r>
          </w:p>
        </w:tc>
        <w:tc>
          <w:tcPr>
            <w:tcW w:w="0" w:type="auto"/>
            <w:vAlign w:val="center"/>
            <w:hideMark/>
          </w:tcPr>
          <w:p w14:paraId="4F7D5C61"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Reliability, price, data security and service changes.</w:t>
            </w:r>
          </w:p>
        </w:tc>
        <w:tc>
          <w:tcPr>
            <w:tcW w:w="0" w:type="auto"/>
            <w:vAlign w:val="center"/>
            <w:hideMark/>
          </w:tcPr>
          <w:p w14:paraId="174DE376"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Service notices, surveys, user testing and support channels.</w:t>
            </w:r>
          </w:p>
        </w:tc>
        <w:tc>
          <w:tcPr>
            <w:tcW w:w="0" w:type="auto"/>
            <w:vAlign w:val="center"/>
            <w:hideMark/>
          </w:tcPr>
          <w:p w14:paraId="221BE0C3"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Continuous</w:t>
            </w:r>
          </w:p>
        </w:tc>
      </w:tr>
      <w:tr w:rsidR="003A2B79" w:rsidRPr="0010077F" w14:paraId="44E11121" w14:textId="77777777" w:rsidTr="003F7CB4">
        <w:tc>
          <w:tcPr>
            <w:tcW w:w="0" w:type="auto"/>
            <w:vAlign w:val="center"/>
            <w:hideMark/>
          </w:tcPr>
          <w:p w14:paraId="330B1E25"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Employees</w:t>
            </w:r>
          </w:p>
        </w:tc>
        <w:tc>
          <w:tcPr>
            <w:tcW w:w="0" w:type="auto"/>
            <w:vAlign w:val="center"/>
            <w:hideMark/>
          </w:tcPr>
          <w:p w14:paraId="4C903E64"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Roles, restructuring, training and wellbeing.</w:t>
            </w:r>
          </w:p>
        </w:tc>
        <w:tc>
          <w:tcPr>
            <w:tcW w:w="0" w:type="auto"/>
            <w:vAlign w:val="center"/>
            <w:hideMark/>
          </w:tcPr>
          <w:p w14:paraId="54B67112"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Team briefings, workshops, training and feedback forums.</w:t>
            </w:r>
          </w:p>
        </w:tc>
        <w:tc>
          <w:tcPr>
            <w:tcW w:w="0" w:type="auto"/>
            <w:vAlign w:val="center"/>
            <w:hideMark/>
          </w:tcPr>
          <w:p w14:paraId="761CAB35"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Monthly</w:t>
            </w:r>
          </w:p>
        </w:tc>
      </w:tr>
      <w:tr w:rsidR="003A2B79" w:rsidRPr="0010077F" w14:paraId="59EC777A" w14:textId="77777777" w:rsidTr="003F7CB4">
        <w:tc>
          <w:tcPr>
            <w:tcW w:w="0" w:type="auto"/>
            <w:vAlign w:val="center"/>
            <w:hideMark/>
          </w:tcPr>
          <w:p w14:paraId="095B0904"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Suppliers and partners</w:t>
            </w:r>
          </w:p>
        </w:tc>
        <w:tc>
          <w:tcPr>
            <w:tcW w:w="0" w:type="auto"/>
            <w:vAlign w:val="center"/>
            <w:hideMark/>
          </w:tcPr>
          <w:p w14:paraId="047592C2"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Contracts, technical standards and project dependencies.</w:t>
            </w:r>
          </w:p>
        </w:tc>
        <w:tc>
          <w:tcPr>
            <w:tcW w:w="0" w:type="auto"/>
            <w:vAlign w:val="center"/>
            <w:hideMark/>
          </w:tcPr>
          <w:p w14:paraId="2D8BC7B6"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Governance meetings and performance reviews.</w:t>
            </w:r>
          </w:p>
        </w:tc>
        <w:tc>
          <w:tcPr>
            <w:tcW w:w="0" w:type="auto"/>
            <w:vAlign w:val="center"/>
            <w:hideMark/>
          </w:tcPr>
          <w:p w14:paraId="66796389"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Monthly</w:t>
            </w:r>
          </w:p>
        </w:tc>
      </w:tr>
      <w:tr w:rsidR="003A2B79" w:rsidRPr="0010077F" w14:paraId="08D83AE2" w14:textId="77777777" w:rsidTr="003F7CB4">
        <w:tc>
          <w:tcPr>
            <w:tcW w:w="0" w:type="auto"/>
            <w:vAlign w:val="center"/>
            <w:hideMark/>
          </w:tcPr>
          <w:p w14:paraId="5FB0750F"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lastRenderedPageBreak/>
              <w:t>Communities</w:t>
            </w:r>
          </w:p>
        </w:tc>
        <w:tc>
          <w:tcPr>
            <w:tcW w:w="0" w:type="auto"/>
            <w:vAlign w:val="center"/>
            <w:hideMark/>
          </w:tcPr>
          <w:p w14:paraId="0F87B651"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Coverage, inclusion and environmental impact.</w:t>
            </w:r>
          </w:p>
        </w:tc>
        <w:tc>
          <w:tcPr>
            <w:tcW w:w="0" w:type="auto"/>
            <w:vAlign w:val="center"/>
            <w:hideMark/>
          </w:tcPr>
          <w:p w14:paraId="6469EA2F"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Public updates, local consultations and impact reporting.</w:t>
            </w:r>
          </w:p>
        </w:tc>
        <w:tc>
          <w:tcPr>
            <w:tcW w:w="0" w:type="auto"/>
            <w:vAlign w:val="center"/>
            <w:hideMark/>
          </w:tcPr>
          <w:p w14:paraId="4E4A0615" w14:textId="77777777" w:rsidR="003A2B79" w:rsidRPr="0010077F" w:rsidRDefault="003A2B79"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Quarterly</w:t>
            </w:r>
          </w:p>
        </w:tc>
      </w:tr>
    </w:tbl>
    <w:p w14:paraId="6D48CD01" w14:textId="4BDB2708"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Engagement must involve two-way communication rather than one-directional announcements. Customer feedback should influence product design, and employee feedback should identify operational problems before they affect service. Stakeholder concerns should be recorded, assigned to responsible managers and reviewed through programme governance.</w:t>
      </w:r>
    </w:p>
    <w:p w14:paraId="18BB1EAF" w14:textId="2635EDEF" w:rsidR="00BC6A7A" w:rsidRPr="0010077F" w:rsidRDefault="00BC6A7A" w:rsidP="0010077F">
      <w:pPr>
        <w:pStyle w:val="Heading1"/>
        <w:numPr>
          <w:ilvl w:val="0"/>
          <w:numId w:val="4"/>
        </w:numPr>
        <w:jc w:val="both"/>
        <w:rPr>
          <w:rFonts w:ascii="Times New Roman" w:hAnsi="Times New Roman" w:cs="Times New Roman"/>
        </w:rPr>
      </w:pPr>
      <w:bookmarkStart w:id="29" w:name="_Toc237434262"/>
      <w:r w:rsidRPr="0010077F">
        <w:rPr>
          <w:rFonts w:ascii="Times New Roman" w:hAnsi="Times New Roman" w:cs="Times New Roman"/>
        </w:rPr>
        <w:t>Implementation and Monitoring</w:t>
      </w:r>
      <w:bookmarkEnd w:id="29"/>
      <w:r w:rsidRPr="0010077F">
        <w:rPr>
          <w:rFonts w:ascii="Times New Roman" w:hAnsi="Times New Roman" w:cs="Times New Roman"/>
        </w:rPr>
        <w:t xml:space="preserve"> </w:t>
      </w:r>
    </w:p>
    <w:p w14:paraId="3AB75033" w14:textId="77777777" w:rsidR="003A2B79" w:rsidRPr="0010077F" w:rsidRDefault="003A2B79"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recommended strategy should be implemented in phases to reduce risk. Network integration and product development must be coordinated so that new services are supported by reliable infrastructure and capable employees.</w:t>
      </w:r>
    </w:p>
    <w:p w14:paraId="48CF4AEA" w14:textId="77777777" w:rsidR="003A2B79" w:rsidRPr="0010077F" w:rsidRDefault="003A2B79" w:rsidP="0010077F">
      <w:pPr>
        <w:jc w:val="both"/>
        <w:rPr>
          <w:rFonts w:ascii="Times New Roman" w:hAnsi="Times New Roman" w:cs="Times New Roman"/>
        </w:rPr>
      </w:pPr>
    </w:p>
    <w:p w14:paraId="0146CFF9" w14:textId="52EB3BD1" w:rsidR="00BC6A7A" w:rsidRPr="0010077F" w:rsidRDefault="00EB2828" w:rsidP="0010077F">
      <w:pPr>
        <w:pStyle w:val="Heading2"/>
        <w:numPr>
          <w:ilvl w:val="1"/>
          <w:numId w:val="4"/>
        </w:numPr>
        <w:jc w:val="both"/>
        <w:rPr>
          <w:rFonts w:ascii="Times New Roman" w:hAnsi="Times New Roman" w:cs="Times New Roman"/>
        </w:rPr>
      </w:pPr>
      <w:bookmarkStart w:id="30" w:name="_Toc237434263"/>
      <w:r w:rsidRPr="0010077F">
        <w:rPr>
          <w:rFonts w:ascii="Times New Roman" w:hAnsi="Times New Roman" w:cs="Times New Roman"/>
        </w:rPr>
        <w:t>Objectives</w:t>
      </w:r>
      <w:bookmarkEnd w:id="30"/>
    </w:p>
    <w:p w14:paraId="703AFB32" w14:textId="77777777"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 implementation plan should pursue the following SMART objectives:</w:t>
      </w:r>
    </w:p>
    <w:p w14:paraId="21C38DE6" w14:textId="768DB3D0"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Develop and test three integrated digital solutions</w:t>
      </w:r>
      <w:r w:rsidRPr="0010077F">
        <w:rPr>
          <w:rFonts w:ascii="Times New Roman" w:hAnsi="Times New Roman" w:cs="Times New Roman"/>
        </w:rPr>
        <w:t xml:space="preserve"> covering </w:t>
      </w:r>
      <w:r w:rsidR="003F7CB4" w:rsidRPr="0010077F">
        <w:rPr>
          <w:rFonts w:ascii="Times New Roman" w:hAnsi="Times New Roman" w:cs="Times New Roman"/>
        </w:rPr>
        <w:t>cybersecurity</w:t>
      </w:r>
      <w:r w:rsidR="003F7CB4">
        <w:rPr>
          <w:rFonts w:ascii="Times New Roman" w:hAnsi="Times New Roman" w:cs="Times New Roman"/>
        </w:rPr>
        <w:t xml:space="preserve"> </w:t>
      </w:r>
      <w:r w:rsidR="003F7CB4" w:rsidRPr="0010077F">
        <w:rPr>
          <w:rFonts w:ascii="Times New Roman" w:hAnsi="Times New Roman" w:cs="Times New Roman"/>
        </w:rPr>
        <w:t>and</w:t>
      </w:r>
      <w:r w:rsidRPr="0010077F">
        <w:rPr>
          <w:rFonts w:ascii="Times New Roman" w:hAnsi="Times New Roman" w:cs="Times New Roman"/>
        </w:rPr>
        <w:t xml:space="preserve"> cloud connectivity within the first 12 months.</w:t>
      </w:r>
    </w:p>
    <w:p w14:paraId="66277736" w14:textId="77777777"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Launch the successful products nationally</w:t>
      </w:r>
      <w:r w:rsidRPr="0010077F">
        <w:rPr>
          <w:rFonts w:ascii="Times New Roman" w:hAnsi="Times New Roman" w:cs="Times New Roman"/>
        </w:rPr>
        <w:t xml:space="preserve"> to selected business segments by the end of month 18.</w:t>
      </w:r>
    </w:p>
    <w:p w14:paraId="13153779" w14:textId="77777777"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Increase digital-service revenue</w:t>
      </w:r>
      <w:r w:rsidRPr="0010077F">
        <w:rPr>
          <w:rFonts w:ascii="Times New Roman" w:hAnsi="Times New Roman" w:cs="Times New Roman"/>
        </w:rPr>
        <w:t xml:space="preserve"> from participating customer segments by at least 15% within 36 months.</w:t>
      </w:r>
    </w:p>
    <w:p w14:paraId="2FFDE32B" w14:textId="77777777"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Reduce customer churn</w:t>
      </w:r>
      <w:r w:rsidRPr="0010077F">
        <w:rPr>
          <w:rFonts w:ascii="Times New Roman" w:hAnsi="Times New Roman" w:cs="Times New Roman"/>
        </w:rPr>
        <w:t xml:space="preserve"> in targeted segments by 10% within 24 months of launch.</w:t>
      </w:r>
    </w:p>
    <w:p w14:paraId="3A00A3AA" w14:textId="77777777"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Train at least 80% of relevant sales, technical and support employees</w:t>
      </w:r>
      <w:r w:rsidRPr="0010077F">
        <w:rPr>
          <w:rFonts w:ascii="Times New Roman" w:hAnsi="Times New Roman" w:cs="Times New Roman"/>
        </w:rPr>
        <w:t xml:space="preserve"> before the national launch.</w:t>
      </w:r>
    </w:p>
    <w:p w14:paraId="45938FB1" w14:textId="77777777"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Maintain regulatory and cybersecurity compliance</w:t>
      </w:r>
      <w:r w:rsidRPr="0010077F">
        <w:rPr>
          <w:rFonts w:ascii="Times New Roman" w:hAnsi="Times New Roman" w:cs="Times New Roman"/>
        </w:rPr>
        <w:t>, with no material data protection breach attributable to the new products.</w:t>
      </w:r>
    </w:p>
    <w:p w14:paraId="48FC5876" w14:textId="77777777" w:rsidR="003A2B79" w:rsidRPr="0010077F" w:rsidRDefault="003A2B79" w:rsidP="0010077F">
      <w:pPr>
        <w:numPr>
          <w:ilvl w:val="0"/>
          <w:numId w:val="6"/>
        </w:numPr>
        <w:jc w:val="both"/>
        <w:rPr>
          <w:rFonts w:ascii="Times New Roman" w:hAnsi="Times New Roman" w:cs="Times New Roman"/>
        </w:rPr>
      </w:pPr>
      <w:r w:rsidRPr="0010077F">
        <w:rPr>
          <w:rFonts w:ascii="Times New Roman" w:hAnsi="Times New Roman" w:cs="Times New Roman"/>
          <w:b/>
          <w:bCs/>
        </w:rPr>
        <w:t>Improve service reliability and customer satisfaction</w:t>
      </w:r>
      <w:r w:rsidRPr="0010077F">
        <w:rPr>
          <w:rFonts w:ascii="Times New Roman" w:hAnsi="Times New Roman" w:cs="Times New Roman"/>
        </w:rPr>
        <w:t xml:space="preserve"> while integration activities continue.</w:t>
      </w:r>
    </w:p>
    <w:p w14:paraId="13DA7492" w14:textId="101CF1AC" w:rsidR="003A2B79" w:rsidRPr="0010077F" w:rsidRDefault="003A2B79" w:rsidP="0010077F">
      <w:pPr>
        <w:jc w:val="both"/>
        <w:rPr>
          <w:rFonts w:ascii="Times New Roman" w:hAnsi="Times New Roman" w:cs="Times New Roman"/>
        </w:rPr>
      </w:pPr>
      <w:r w:rsidRPr="0010077F">
        <w:rPr>
          <w:rFonts w:ascii="Times New Roman" w:hAnsi="Times New Roman" w:cs="Times New Roman"/>
        </w:rPr>
        <w:t>These targets should be validated against Vodafone</w:t>
      </w:r>
      <w:r w:rsidR="002046CC" w:rsidRPr="0010077F">
        <w:rPr>
          <w:rFonts w:ascii="Times New Roman" w:hAnsi="Times New Roman" w:cs="Times New Roman"/>
        </w:rPr>
        <w:t xml:space="preserve"> </w:t>
      </w:r>
      <w:r w:rsidRPr="0010077F">
        <w:rPr>
          <w:rFonts w:ascii="Times New Roman" w:hAnsi="Times New Roman" w:cs="Times New Roman"/>
        </w:rPr>
        <w:t>approved internal baselines and budgets before formal adoption.</w:t>
      </w:r>
    </w:p>
    <w:p w14:paraId="2155AE9F" w14:textId="6F18DF2D" w:rsidR="003A2B79" w:rsidRPr="0010077F" w:rsidRDefault="003F7CB4" w:rsidP="003F7CB4">
      <w:pPr>
        <w:rPr>
          <w:rFonts w:ascii="Times New Roman" w:hAnsi="Times New Roman" w:cs="Times New Roman"/>
        </w:rPr>
      </w:pPr>
      <w:r>
        <w:rPr>
          <w:rFonts w:ascii="Times New Roman" w:hAnsi="Times New Roman" w:cs="Times New Roman"/>
        </w:rPr>
        <w:br w:type="page"/>
      </w:r>
    </w:p>
    <w:p w14:paraId="51F50D17" w14:textId="43F80CA5" w:rsidR="00EB2828" w:rsidRPr="0010077F" w:rsidRDefault="00EB2828" w:rsidP="0010077F">
      <w:pPr>
        <w:pStyle w:val="Heading2"/>
        <w:numPr>
          <w:ilvl w:val="1"/>
          <w:numId w:val="4"/>
        </w:numPr>
        <w:jc w:val="both"/>
        <w:rPr>
          <w:rFonts w:ascii="Times New Roman" w:hAnsi="Times New Roman" w:cs="Times New Roman"/>
        </w:rPr>
      </w:pPr>
      <w:bookmarkStart w:id="31" w:name="_Toc237434264"/>
      <w:r w:rsidRPr="0010077F">
        <w:rPr>
          <w:rFonts w:ascii="Times New Roman" w:hAnsi="Times New Roman" w:cs="Times New Roman"/>
        </w:rPr>
        <w:lastRenderedPageBreak/>
        <w:t>Timeline</w:t>
      </w:r>
      <w:bookmarkEnd w:id="31"/>
    </w:p>
    <w:tbl>
      <w:tblPr>
        <w:tblStyle w:val="TableGrid"/>
        <w:tblW w:w="0" w:type="auto"/>
        <w:tblLook w:val="04A0" w:firstRow="1" w:lastRow="0" w:firstColumn="1" w:lastColumn="0" w:noHBand="0" w:noVBand="1"/>
      </w:tblPr>
      <w:tblGrid>
        <w:gridCol w:w="2214"/>
        <w:gridCol w:w="1430"/>
        <w:gridCol w:w="3532"/>
        <w:gridCol w:w="1840"/>
      </w:tblGrid>
      <w:tr w:rsidR="002046CC" w:rsidRPr="0010077F" w14:paraId="0D815AE8" w14:textId="77777777" w:rsidTr="0010077F">
        <w:tc>
          <w:tcPr>
            <w:tcW w:w="0" w:type="auto"/>
            <w:shd w:val="clear" w:color="auto" w:fill="D1D1D1" w:themeFill="background2" w:themeFillShade="E6"/>
            <w:vAlign w:val="center"/>
            <w:hideMark/>
          </w:tcPr>
          <w:p w14:paraId="46EC5EEF" w14:textId="77777777" w:rsidR="002046CC" w:rsidRPr="0010077F" w:rsidRDefault="002046CC"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Phase</w:t>
            </w:r>
          </w:p>
        </w:tc>
        <w:tc>
          <w:tcPr>
            <w:tcW w:w="0" w:type="auto"/>
            <w:shd w:val="clear" w:color="auto" w:fill="D1D1D1" w:themeFill="background2" w:themeFillShade="E6"/>
            <w:vAlign w:val="center"/>
            <w:hideMark/>
          </w:tcPr>
          <w:p w14:paraId="7502DB00" w14:textId="459B052C" w:rsidR="002046CC" w:rsidRPr="0010077F" w:rsidRDefault="002046CC"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Period</w:t>
            </w:r>
            <w:r w:rsidRPr="0010077F">
              <w:rPr>
                <w:rFonts w:ascii="Times New Roman" w:eastAsia="Times New Roman" w:hAnsi="Times New Roman" w:cs="Times New Roman"/>
                <w:b/>
                <w:bCs/>
                <w:kern w:val="0"/>
                <w:lang w:eastAsia="en-GB"/>
                <w14:ligatures w14:val="none"/>
              </w:rPr>
              <w:t xml:space="preserve"> (Months)</w:t>
            </w:r>
          </w:p>
        </w:tc>
        <w:tc>
          <w:tcPr>
            <w:tcW w:w="0" w:type="auto"/>
            <w:shd w:val="clear" w:color="auto" w:fill="D1D1D1" w:themeFill="background2" w:themeFillShade="E6"/>
            <w:vAlign w:val="center"/>
            <w:hideMark/>
          </w:tcPr>
          <w:p w14:paraId="09988996" w14:textId="77777777" w:rsidR="002046CC" w:rsidRPr="0010077F" w:rsidRDefault="002046CC"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Main activities</w:t>
            </w:r>
          </w:p>
        </w:tc>
        <w:tc>
          <w:tcPr>
            <w:tcW w:w="0" w:type="auto"/>
            <w:shd w:val="clear" w:color="auto" w:fill="D1D1D1" w:themeFill="background2" w:themeFillShade="E6"/>
            <w:vAlign w:val="center"/>
            <w:hideMark/>
          </w:tcPr>
          <w:p w14:paraId="3BE2F943" w14:textId="77777777" w:rsidR="002046CC" w:rsidRPr="0010077F" w:rsidRDefault="002046CC" w:rsidP="0010077F">
            <w:pPr>
              <w:jc w:val="both"/>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Expected output</w:t>
            </w:r>
          </w:p>
        </w:tc>
      </w:tr>
      <w:tr w:rsidR="002046CC" w:rsidRPr="0010077F" w14:paraId="280D4F71" w14:textId="77777777" w:rsidTr="002046CC">
        <w:tc>
          <w:tcPr>
            <w:tcW w:w="0" w:type="auto"/>
            <w:vAlign w:val="center"/>
            <w:hideMark/>
          </w:tcPr>
          <w:p w14:paraId="36892869"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Strategic preparation</w:t>
            </w:r>
          </w:p>
        </w:tc>
        <w:tc>
          <w:tcPr>
            <w:tcW w:w="0" w:type="auto"/>
            <w:vAlign w:val="center"/>
            <w:hideMark/>
          </w:tcPr>
          <w:p w14:paraId="46E00B7A" w14:textId="2BA69114"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1-3</w:t>
            </w:r>
          </w:p>
        </w:tc>
        <w:tc>
          <w:tcPr>
            <w:tcW w:w="0" w:type="auto"/>
            <w:vAlign w:val="center"/>
            <w:hideMark/>
          </w:tcPr>
          <w:p w14:paraId="1C251E2A"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Confirm customer needs, governance, budget and product priorities.</w:t>
            </w:r>
          </w:p>
        </w:tc>
        <w:tc>
          <w:tcPr>
            <w:tcW w:w="0" w:type="auto"/>
            <w:vAlign w:val="center"/>
            <w:hideMark/>
          </w:tcPr>
          <w:p w14:paraId="5702F8BD"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Approved business cases</w:t>
            </w:r>
          </w:p>
        </w:tc>
      </w:tr>
      <w:tr w:rsidR="002046CC" w:rsidRPr="0010077F" w14:paraId="094487D9" w14:textId="77777777" w:rsidTr="002046CC">
        <w:tc>
          <w:tcPr>
            <w:tcW w:w="0" w:type="auto"/>
            <w:vAlign w:val="center"/>
            <w:hideMark/>
          </w:tcPr>
          <w:p w14:paraId="21AD614B"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Design and partnerships</w:t>
            </w:r>
          </w:p>
        </w:tc>
        <w:tc>
          <w:tcPr>
            <w:tcW w:w="0" w:type="auto"/>
            <w:vAlign w:val="center"/>
            <w:hideMark/>
          </w:tcPr>
          <w:p w14:paraId="137A396A" w14:textId="6BCE393F"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4-6</w:t>
            </w:r>
          </w:p>
        </w:tc>
        <w:tc>
          <w:tcPr>
            <w:tcW w:w="0" w:type="auto"/>
            <w:vAlign w:val="center"/>
            <w:hideMark/>
          </w:tcPr>
          <w:p w14:paraId="52F94FB4"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Design services, select partners and complete compliance assessments.</w:t>
            </w:r>
          </w:p>
        </w:tc>
        <w:tc>
          <w:tcPr>
            <w:tcW w:w="0" w:type="auto"/>
            <w:vAlign w:val="center"/>
            <w:hideMark/>
          </w:tcPr>
          <w:p w14:paraId="41738F12"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Product prototypes</w:t>
            </w:r>
          </w:p>
        </w:tc>
      </w:tr>
      <w:tr w:rsidR="002046CC" w:rsidRPr="0010077F" w14:paraId="6962A63B" w14:textId="77777777" w:rsidTr="002046CC">
        <w:tc>
          <w:tcPr>
            <w:tcW w:w="0" w:type="auto"/>
            <w:vAlign w:val="center"/>
            <w:hideMark/>
          </w:tcPr>
          <w:p w14:paraId="251C4F4C"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Development and training</w:t>
            </w:r>
          </w:p>
        </w:tc>
        <w:tc>
          <w:tcPr>
            <w:tcW w:w="0" w:type="auto"/>
            <w:vAlign w:val="center"/>
            <w:hideMark/>
          </w:tcPr>
          <w:p w14:paraId="4A1AEAAE" w14:textId="5A548DA1"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7-12</w:t>
            </w:r>
          </w:p>
        </w:tc>
        <w:tc>
          <w:tcPr>
            <w:tcW w:w="0" w:type="auto"/>
            <w:vAlign w:val="center"/>
            <w:hideMark/>
          </w:tcPr>
          <w:p w14:paraId="05A9E769"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Build platforms, integrate systems and train pilot teams.</w:t>
            </w:r>
          </w:p>
        </w:tc>
        <w:tc>
          <w:tcPr>
            <w:tcW w:w="0" w:type="auto"/>
            <w:vAlign w:val="center"/>
            <w:hideMark/>
          </w:tcPr>
          <w:p w14:paraId="621F6495"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Pilot-ready products</w:t>
            </w:r>
          </w:p>
        </w:tc>
      </w:tr>
      <w:tr w:rsidR="002046CC" w:rsidRPr="0010077F" w14:paraId="74E6E650" w14:textId="77777777" w:rsidTr="002046CC">
        <w:tc>
          <w:tcPr>
            <w:tcW w:w="0" w:type="auto"/>
            <w:vAlign w:val="center"/>
            <w:hideMark/>
          </w:tcPr>
          <w:p w14:paraId="08901A2D"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Pilot implementation</w:t>
            </w:r>
          </w:p>
        </w:tc>
        <w:tc>
          <w:tcPr>
            <w:tcW w:w="0" w:type="auto"/>
            <w:vAlign w:val="center"/>
            <w:hideMark/>
          </w:tcPr>
          <w:p w14:paraId="1B48E3AD" w14:textId="194AA0A0"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1</w:t>
            </w:r>
            <w:r w:rsidRPr="0010077F">
              <w:rPr>
                <w:rFonts w:ascii="Times New Roman" w:eastAsia="Times New Roman" w:hAnsi="Times New Roman" w:cs="Times New Roman"/>
                <w:kern w:val="0"/>
                <w:lang w:eastAsia="en-GB"/>
                <w14:ligatures w14:val="none"/>
              </w:rPr>
              <w:t>3-15</w:t>
            </w:r>
          </w:p>
        </w:tc>
        <w:tc>
          <w:tcPr>
            <w:tcW w:w="0" w:type="auto"/>
            <w:vAlign w:val="center"/>
            <w:hideMark/>
          </w:tcPr>
          <w:p w14:paraId="56532795"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Test products with selected customers and collect feedback.</w:t>
            </w:r>
          </w:p>
        </w:tc>
        <w:tc>
          <w:tcPr>
            <w:tcW w:w="0" w:type="auto"/>
            <w:vAlign w:val="center"/>
            <w:hideMark/>
          </w:tcPr>
          <w:p w14:paraId="4F2260C3"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Pilot evaluation</w:t>
            </w:r>
          </w:p>
        </w:tc>
      </w:tr>
      <w:tr w:rsidR="002046CC" w:rsidRPr="0010077F" w14:paraId="2B09AFBC" w14:textId="77777777" w:rsidTr="002046CC">
        <w:tc>
          <w:tcPr>
            <w:tcW w:w="0" w:type="auto"/>
            <w:vAlign w:val="center"/>
            <w:hideMark/>
          </w:tcPr>
          <w:p w14:paraId="591E8438"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National launch</w:t>
            </w:r>
          </w:p>
        </w:tc>
        <w:tc>
          <w:tcPr>
            <w:tcW w:w="0" w:type="auto"/>
            <w:vAlign w:val="center"/>
            <w:hideMark/>
          </w:tcPr>
          <w:p w14:paraId="02C34D9C" w14:textId="1CF6755A"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16-18</w:t>
            </w:r>
          </w:p>
        </w:tc>
        <w:tc>
          <w:tcPr>
            <w:tcW w:w="0" w:type="auto"/>
            <w:vAlign w:val="center"/>
            <w:hideMark/>
          </w:tcPr>
          <w:p w14:paraId="1985176A"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Refine products, launch marketing and expand support capacity.</w:t>
            </w:r>
          </w:p>
        </w:tc>
        <w:tc>
          <w:tcPr>
            <w:tcW w:w="0" w:type="auto"/>
            <w:vAlign w:val="center"/>
            <w:hideMark/>
          </w:tcPr>
          <w:p w14:paraId="21E00AC3"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Commercial launch</w:t>
            </w:r>
          </w:p>
        </w:tc>
      </w:tr>
      <w:tr w:rsidR="002046CC" w:rsidRPr="0010077F" w14:paraId="27EEC258" w14:textId="77777777" w:rsidTr="002046CC">
        <w:tc>
          <w:tcPr>
            <w:tcW w:w="0" w:type="auto"/>
            <w:vAlign w:val="center"/>
            <w:hideMark/>
          </w:tcPr>
          <w:p w14:paraId="2DA7916B"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Scaling and optimisation</w:t>
            </w:r>
          </w:p>
        </w:tc>
        <w:tc>
          <w:tcPr>
            <w:tcW w:w="0" w:type="auto"/>
            <w:vAlign w:val="center"/>
            <w:hideMark/>
          </w:tcPr>
          <w:p w14:paraId="108292B6" w14:textId="32AE24FD"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19-36</w:t>
            </w:r>
          </w:p>
        </w:tc>
        <w:tc>
          <w:tcPr>
            <w:tcW w:w="0" w:type="auto"/>
            <w:vAlign w:val="center"/>
            <w:hideMark/>
          </w:tcPr>
          <w:p w14:paraId="7C43059D"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Expand customer adoption and improve costs, quality and functionality.</w:t>
            </w:r>
          </w:p>
        </w:tc>
        <w:tc>
          <w:tcPr>
            <w:tcW w:w="0" w:type="auto"/>
            <w:vAlign w:val="center"/>
            <w:hideMark/>
          </w:tcPr>
          <w:p w14:paraId="323B4C66" w14:textId="77777777" w:rsidR="002046CC" w:rsidRPr="0010077F" w:rsidRDefault="002046CC" w:rsidP="0010077F">
            <w:pPr>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Sustainable growth</w:t>
            </w:r>
          </w:p>
        </w:tc>
      </w:tr>
    </w:tbl>
    <w:p w14:paraId="6A9DD0F4"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 cross-functional steering committee should oversee the programme. It should include representatives from strategy, finance, technology, cybersecurity, legal, operations, customer service, human resources and marketing.</w:t>
      </w:r>
    </w:p>
    <w:p w14:paraId="436612AE"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Each project should have a named owner, approved budget, risk register and defined milestones. Performance should be reviewed monthly at programme level and quarterly by senior leadership. Significant deviations should trigger corrective action, budget review or changes to the implementation schedule.</w:t>
      </w:r>
    </w:p>
    <w:p w14:paraId="7F359D9C" w14:textId="77777777" w:rsidR="002046CC" w:rsidRPr="0010077F" w:rsidRDefault="002046CC" w:rsidP="0010077F">
      <w:pPr>
        <w:jc w:val="both"/>
        <w:rPr>
          <w:rFonts w:ascii="Times New Roman" w:hAnsi="Times New Roman" w:cs="Times New Roman"/>
        </w:rPr>
      </w:pPr>
    </w:p>
    <w:p w14:paraId="0CD5A380" w14:textId="73EFA6C8" w:rsidR="00EB2828" w:rsidRPr="0010077F" w:rsidRDefault="00EB2828" w:rsidP="0010077F">
      <w:pPr>
        <w:pStyle w:val="Heading2"/>
        <w:numPr>
          <w:ilvl w:val="1"/>
          <w:numId w:val="4"/>
        </w:numPr>
        <w:jc w:val="both"/>
        <w:rPr>
          <w:rFonts w:ascii="Times New Roman" w:hAnsi="Times New Roman" w:cs="Times New Roman"/>
        </w:rPr>
      </w:pPr>
      <w:bookmarkStart w:id="32" w:name="_Toc237434265"/>
      <w:r w:rsidRPr="0010077F">
        <w:rPr>
          <w:rFonts w:ascii="Times New Roman" w:hAnsi="Times New Roman" w:cs="Times New Roman"/>
        </w:rPr>
        <w:t>KPIs</w:t>
      </w:r>
      <w:bookmarkEnd w:id="32"/>
    </w:p>
    <w:tbl>
      <w:tblPr>
        <w:tblStyle w:val="TableGrid"/>
        <w:tblW w:w="0" w:type="auto"/>
        <w:tblLook w:val="04A0" w:firstRow="1" w:lastRow="0" w:firstColumn="1" w:lastColumn="0" w:noHBand="0" w:noVBand="1"/>
      </w:tblPr>
      <w:tblGrid>
        <w:gridCol w:w="2239"/>
        <w:gridCol w:w="3898"/>
        <w:gridCol w:w="2879"/>
      </w:tblGrid>
      <w:tr w:rsidR="002046CC" w:rsidRPr="0010077F" w14:paraId="61A37C04" w14:textId="77777777" w:rsidTr="003F7CB4">
        <w:trPr>
          <w:trHeight w:val="510"/>
        </w:trPr>
        <w:tc>
          <w:tcPr>
            <w:tcW w:w="0" w:type="auto"/>
            <w:shd w:val="clear" w:color="auto" w:fill="D1D1D1" w:themeFill="background2" w:themeFillShade="E6"/>
            <w:vAlign w:val="center"/>
            <w:hideMark/>
          </w:tcPr>
          <w:p w14:paraId="491277B8" w14:textId="77777777" w:rsidR="002046CC" w:rsidRPr="0010077F" w:rsidRDefault="002046CC"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Strategic area</w:t>
            </w:r>
          </w:p>
        </w:tc>
        <w:tc>
          <w:tcPr>
            <w:tcW w:w="0" w:type="auto"/>
            <w:shd w:val="clear" w:color="auto" w:fill="D1D1D1" w:themeFill="background2" w:themeFillShade="E6"/>
            <w:vAlign w:val="center"/>
            <w:hideMark/>
          </w:tcPr>
          <w:p w14:paraId="6487B432" w14:textId="77777777" w:rsidR="002046CC" w:rsidRPr="0010077F" w:rsidRDefault="002046CC"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KPI</w:t>
            </w:r>
          </w:p>
        </w:tc>
        <w:tc>
          <w:tcPr>
            <w:tcW w:w="0" w:type="auto"/>
            <w:shd w:val="clear" w:color="auto" w:fill="D1D1D1" w:themeFill="background2" w:themeFillShade="E6"/>
            <w:vAlign w:val="center"/>
            <w:hideMark/>
          </w:tcPr>
          <w:p w14:paraId="4518C0A6" w14:textId="77777777" w:rsidR="002046CC" w:rsidRPr="0010077F" w:rsidRDefault="002046CC" w:rsidP="003F7CB4">
            <w:pPr>
              <w:jc w:val="center"/>
              <w:rPr>
                <w:rFonts w:ascii="Times New Roman" w:eastAsia="Times New Roman" w:hAnsi="Times New Roman" w:cs="Times New Roman"/>
                <w:b/>
                <w:bCs/>
                <w:kern w:val="0"/>
                <w:lang w:eastAsia="en-GB"/>
                <w14:ligatures w14:val="none"/>
              </w:rPr>
            </w:pPr>
            <w:r w:rsidRPr="0010077F">
              <w:rPr>
                <w:rFonts w:ascii="Times New Roman" w:eastAsia="Times New Roman" w:hAnsi="Times New Roman" w:cs="Times New Roman"/>
                <w:b/>
                <w:bCs/>
                <w:kern w:val="0"/>
                <w:lang w:eastAsia="en-GB"/>
                <w14:ligatures w14:val="none"/>
              </w:rPr>
              <w:t>Illustrative target</w:t>
            </w:r>
          </w:p>
        </w:tc>
      </w:tr>
      <w:tr w:rsidR="002046CC" w:rsidRPr="0010077F" w14:paraId="11C4F222" w14:textId="77777777" w:rsidTr="003F7CB4">
        <w:tc>
          <w:tcPr>
            <w:tcW w:w="0" w:type="auto"/>
            <w:vAlign w:val="center"/>
            <w:hideMark/>
          </w:tcPr>
          <w:p w14:paraId="57D98BE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Financial growth</w:t>
            </w:r>
          </w:p>
        </w:tc>
        <w:tc>
          <w:tcPr>
            <w:tcW w:w="0" w:type="auto"/>
            <w:vAlign w:val="center"/>
            <w:hideMark/>
          </w:tcPr>
          <w:p w14:paraId="4FD81C3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Revenue generated by new digital services</w:t>
            </w:r>
          </w:p>
        </w:tc>
        <w:tc>
          <w:tcPr>
            <w:tcW w:w="0" w:type="auto"/>
            <w:vAlign w:val="center"/>
            <w:hideMark/>
          </w:tcPr>
          <w:p w14:paraId="30BE5B65"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15% growth within 36 months</w:t>
            </w:r>
          </w:p>
        </w:tc>
      </w:tr>
      <w:tr w:rsidR="002046CC" w:rsidRPr="0010077F" w14:paraId="17D93EB8" w14:textId="77777777" w:rsidTr="003F7CB4">
        <w:tc>
          <w:tcPr>
            <w:tcW w:w="0" w:type="auto"/>
            <w:vAlign w:val="center"/>
            <w:hideMark/>
          </w:tcPr>
          <w:p w14:paraId="4B89BDEB"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Customer adoption</w:t>
            </w:r>
          </w:p>
        </w:tc>
        <w:tc>
          <w:tcPr>
            <w:tcW w:w="0" w:type="auto"/>
            <w:vAlign w:val="center"/>
            <w:hideMark/>
          </w:tcPr>
          <w:p w14:paraId="7E47C9B7"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Number of customers using new products</w:t>
            </w:r>
          </w:p>
        </w:tc>
        <w:tc>
          <w:tcPr>
            <w:tcW w:w="0" w:type="auto"/>
            <w:vAlign w:val="center"/>
            <w:hideMark/>
          </w:tcPr>
          <w:p w14:paraId="23128085"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Increase each quarter</w:t>
            </w:r>
          </w:p>
        </w:tc>
      </w:tr>
      <w:tr w:rsidR="002046CC" w:rsidRPr="0010077F" w14:paraId="1A964EDD" w14:textId="77777777" w:rsidTr="003F7CB4">
        <w:tc>
          <w:tcPr>
            <w:tcW w:w="0" w:type="auto"/>
            <w:vAlign w:val="center"/>
            <w:hideMark/>
          </w:tcPr>
          <w:p w14:paraId="0447C88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Customer retention</w:t>
            </w:r>
          </w:p>
        </w:tc>
        <w:tc>
          <w:tcPr>
            <w:tcW w:w="0" w:type="auto"/>
            <w:vAlign w:val="center"/>
            <w:hideMark/>
          </w:tcPr>
          <w:p w14:paraId="50E39E0E"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Churn in targeted segments</w:t>
            </w:r>
          </w:p>
        </w:tc>
        <w:tc>
          <w:tcPr>
            <w:tcW w:w="0" w:type="auto"/>
            <w:vAlign w:val="center"/>
            <w:hideMark/>
          </w:tcPr>
          <w:p w14:paraId="47336AD5"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10% reduction</w:t>
            </w:r>
          </w:p>
        </w:tc>
      </w:tr>
      <w:tr w:rsidR="002046CC" w:rsidRPr="0010077F" w14:paraId="32C1CB0E" w14:textId="77777777" w:rsidTr="003F7CB4">
        <w:tc>
          <w:tcPr>
            <w:tcW w:w="0" w:type="auto"/>
            <w:vAlign w:val="center"/>
            <w:hideMark/>
          </w:tcPr>
          <w:p w14:paraId="135C33D4"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Customer experience</w:t>
            </w:r>
          </w:p>
        </w:tc>
        <w:tc>
          <w:tcPr>
            <w:tcW w:w="0" w:type="auto"/>
            <w:vAlign w:val="center"/>
            <w:hideMark/>
          </w:tcPr>
          <w:p w14:paraId="533D00B0"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Net Promoter Score and complaint rate</w:t>
            </w:r>
          </w:p>
        </w:tc>
        <w:tc>
          <w:tcPr>
            <w:tcW w:w="0" w:type="auto"/>
            <w:vAlign w:val="center"/>
            <w:hideMark/>
          </w:tcPr>
          <w:p w14:paraId="66505460"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Continuous improvement</w:t>
            </w:r>
          </w:p>
        </w:tc>
      </w:tr>
      <w:tr w:rsidR="002046CC" w:rsidRPr="0010077F" w14:paraId="32205E06" w14:textId="77777777" w:rsidTr="003F7CB4">
        <w:tc>
          <w:tcPr>
            <w:tcW w:w="0" w:type="auto"/>
            <w:vAlign w:val="center"/>
            <w:hideMark/>
          </w:tcPr>
          <w:p w14:paraId="4F97AC4E"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Network performance</w:t>
            </w:r>
          </w:p>
        </w:tc>
        <w:tc>
          <w:tcPr>
            <w:tcW w:w="0" w:type="auto"/>
            <w:vAlign w:val="center"/>
            <w:hideMark/>
          </w:tcPr>
          <w:p w14:paraId="08BA0C79"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Availability, latency and coverage</w:t>
            </w:r>
          </w:p>
        </w:tc>
        <w:tc>
          <w:tcPr>
            <w:tcW w:w="0" w:type="auto"/>
            <w:vAlign w:val="center"/>
            <w:hideMark/>
          </w:tcPr>
          <w:p w14:paraId="647D3327"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Meet agreed service levels</w:t>
            </w:r>
          </w:p>
        </w:tc>
      </w:tr>
      <w:tr w:rsidR="002046CC" w:rsidRPr="0010077F" w14:paraId="1F323F9E" w14:textId="77777777" w:rsidTr="003F7CB4">
        <w:tc>
          <w:tcPr>
            <w:tcW w:w="0" w:type="auto"/>
            <w:vAlign w:val="center"/>
            <w:hideMark/>
          </w:tcPr>
          <w:p w14:paraId="1EC3D384"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Innovation</w:t>
            </w:r>
          </w:p>
        </w:tc>
        <w:tc>
          <w:tcPr>
            <w:tcW w:w="0" w:type="auto"/>
            <w:vAlign w:val="center"/>
            <w:hideMark/>
          </w:tcPr>
          <w:p w14:paraId="59961F6E"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Products moving from pilot to launch</w:t>
            </w:r>
          </w:p>
        </w:tc>
        <w:tc>
          <w:tcPr>
            <w:tcW w:w="0" w:type="auto"/>
            <w:vAlign w:val="center"/>
            <w:hideMark/>
          </w:tcPr>
          <w:p w14:paraId="6F40ACCE"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At least three products tested</w:t>
            </w:r>
          </w:p>
        </w:tc>
      </w:tr>
      <w:tr w:rsidR="002046CC" w:rsidRPr="0010077F" w14:paraId="3AAA0F16" w14:textId="77777777" w:rsidTr="003F7CB4">
        <w:tc>
          <w:tcPr>
            <w:tcW w:w="0" w:type="auto"/>
            <w:vAlign w:val="center"/>
            <w:hideMark/>
          </w:tcPr>
          <w:p w14:paraId="65BF4FB6"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Employee capability</w:t>
            </w:r>
          </w:p>
        </w:tc>
        <w:tc>
          <w:tcPr>
            <w:tcW w:w="0" w:type="auto"/>
            <w:vAlign w:val="center"/>
            <w:hideMark/>
          </w:tcPr>
          <w:p w14:paraId="7761E59C"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Relevant employees completing training</w:t>
            </w:r>
          </w:p>
        </w:tc>
        <w:tc>
          <w:tcPr>
            <w:tcW w:w="0" w:type="auto"/>
            <w:vAlign w:val="center"/>
            <w:hideMark/>
          </w:tcPr>
          <w:p w14:paraId="01B2927A"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At least 80%</w:t>
            </w:r>
          </w:p>
        </w:tc>
      </w:tr>
      <w:tr w:rsidR="002046CC" w:rsidRPr="0010077F" w14:paraId="21516C70" w14:textId="77777777" w:rsidTr="003F7CB4">
        <w:tc>
          <w:tcPr>
            <w:tcW w:w="0" w:type="auto"/>
            <w:vAlign w:val="center"/>
            <w:hideMark/>
          </w:tcPr>
          <w:p w14:paraId="2911A4C0"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Operational efficiency</w:t>
            </w:r>
          </w:p>
        </w:tc>
        <w:tc>
          <w:tcPr>
            <w:tcW w:w="0" w:type="auto"/>
            <w:vAlign w:val="center"/>
            <w:hideMark/>
          </w:tcPr>
          <w:p w14:paraId="24EA177E"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Cost savings and removal of duplicated processes</w:t>
            </w:r>
          </w:p>
        </w:tc>
        <w:tc>
          <w:tcPr>
            <w:tcW w:w="0" w:type="auto"/>
            <w:vAlign w:val="center"/>
            <w:hideMark/>
          </w:tcPr>
          <w:p w14:paraId="43940A06"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In line with approved merger plan</w:t>
            </w:r>
          </w:p>
        </w:tc>
      </w:tr>
      <w:tr w:rsidR="002046CC" w:rsidRPr="0010077F" w14:paraId="66AA4811" w14:textId="77777777" w:rsidTr="003F7CB4">
        <w:tc>
          <w:tcPr>
            <w:tcW w:w="0" w:type="auto"/>
            <w:vAlign w:val="center"/>
            <w:hideMark/>
          </w:tcPr>
          <w:p w14:paraId="4BB9B983"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lastRenderedPageBreak/>
              <w:t>Cybersecurity</w:t>
            </w:r>
          </w:p>
        </w:tc>
        <w:tc>
          <w:tcPr>
            <w:tcW w:w="0" w:type="auto"/>
            <w:vAlign w:val="center"/>
            <w:hideMark/>
          </w:tcPr>
          <w:p w14:paraId="2F0EB29A"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Material breaches and response time</w:t>
            </w:r>
          </w:p>
        </w:tc>
        <w:tc>
          <w:tcPr>
            <w:tcW w:w="0" w:type="auto"/>
            <w:vAlign w:val="center"/>
            <w:hideMark/>
          </w:tcPr>
          <w:p w14:paraId="61E699E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Zero material breaches</w:t>
            </w:r>
          </w:p>
        </w:tc>
      </w:tr>
      <w:tr w:rsidR="002046CC" w:rsidRPr="0010077F" w14:paraId="761B6777" w14:textId="77777777" w:rsidTr="003F7CB4">
        <w:tc>
          <w:tcPr>
            <w:tcW w:w="0" w:type="auto"/>
            <w:vAlign w:val="center"/>
            <w:hideMark/>
          </w:tcPr>
          <w:p w14:paraId="2D9BB3A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Compliance</w:t>
            </w:r>
          </w:p>
        </w:tc>
        <w:tc>
          <w:tcPr>
            <w:tcW w:w="0" w:type="auto"/>
            <w:vAlign w:val="center"/>
            <w:hideMark/>
          </w:tcPr>
          <w:p w14:paraId="49470034"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Regulatory actions caused by new services</w:t>
            </w:r>
          </w:p>
        </w:tc>
        <w:tc>
          <w:tcPr>
            <w:tcW w:w="0" w:type="auto"/>
            <w:vAlign w:val="center"/>
            <w:hideMark/>
          </w:tcPr>
          <w:p w14:paraId="43DFA72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Zero major violations</w:t>
            </w:r>
          </w:p>
        </w:tc>
      </w:tr>
      <w:tr w:rsidR="002046CC" w:rsidRPr="0010077F" w14:paraId="5D899105" w14:textId="77777777" w:rsidTr="003F7CB4">
        <w:tc>
          <w:tcPr>
            <w:tcW w:w="0" w:type="auto"/>
            <w:vAlign w:val="center"/>
            <w:hideMark/>
          </w:tcPr>
          <w:p w14:paraId="145D2F34"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Sustainability</w:t>
            </w:r>
          </w:p>
        </w:tc>
        <w:tc>
          <w:tcPr>
            <w:tcW w:w="0" w:type="auto"/>
            <w:vAlign w:val="center"/>
            <w:hideMark/>
          </w:tcPr>
          <w:p w14:paraId="55E891D1"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Energy use per unit of network data</w:t>
            </w:r>
          </w:p>
        </w:tc>
        <w:tc>
          <w:tcPr>
            <w:tcW w:w="0" w:type="auto"/>
            <w:vAlign w:val="center"/>
            <w:hideMark/>
          </w:tcPr>
          <w:p w14:paraId="562ED40B" w14:textId="77777777" w:rsidR="002046CC" w:rsidRPr="0010077F" w:rsidRDefault="002046CC" w:rsidP="003F7CB4">
            <w:pPr>
              <w:jc w:val="center"/>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Annual reduction</w:t>
            </w:r>
          </w:p>
        </w:tc>
      </w:tr>
    </w:tbl>
    <w:p w14:paraId="03A416FC" w14:textId="77777777" w:rsidR="002046CC" w:rsidRPr="0010077F" w:rsidRDefault="002046CC" w:rsidP="0010077F">
      <w:pPr>
        <w:jc w:val="both"/>
        <w:rPr>
          <w:rFonts w:ascii="Times New Roman" w:hAnsi="Times New Roman" w:cs="Times New Roman"/>
        </w:rPr>
      </w:pPr>
    </w:p>
    <w:p w14:paraId="48712FE0"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A digital dashboard should present performance against targets using clear status indicators. Financial KPIs should be examined alongside customer, operational and employee measures. Cost reductions should not be treated as successful if they produce declining service quality, higher complaints or increased employee turnover.</w:t>
      </w:r>
    </w:p>
    <w:p w14:paraId="3946754C" w14:textId="1389187F"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 should use a continuous monitoring cycle:</w:t>
      </w:r>
    </w:p>
    <w:p w14:paraId="5F0EC50A" w14:textId="77777777" w:rsidR="002046CC" w:rsidRPr="0010077F" w:rsidRDefault="002046CC" w:rsidP="0010077F">
      <w:pPr>
        <w:numPr>
          <w:ilvl w:val="0"/>
          <w:numId w:val="7"/>
        </w:numPr>
        <w:spacing w:after="0"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Measure</w:t>
      </w:r>
      <w:r w:rsidRPr="0010077F">
        <w:rPr>
          <w:rFonts w:ascii="Times New Roman" w:eastAsia="Times New Roman" w:hAnsi="Times New Roman" w:cs="Times New Roman"/>
          <w:kern w:val="0"/>
          <w:lang w:eastAsia="en-GB"/>
          <w14:ligatures w14:val="none"/>
        </w:rPr>
        <w:t xml:space="preserve"> performance using reliable data.</w:t>
      </w:r>
    </w:p>
    <w:p w14:paraId="54AA0811" w14:textId="77777777" w:rsidR="002046CC" w:rsidRPr="0010077F" w:rsidRDefault="002046CC" w:rsidP="0010077F">
      <w:pPr>
        <w:numPr>
          <w:ilvl w:val="0"/>
          <w:numId w:val="7"/>
        </w:numPr>
        <w:spacing w:after="0"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Compare</w:t>
      </w:r>
      <w:r w:rsidRPr="0010077F">
        <w:rPr>
          <w:rFonts w:ascii="Times New Roman" w:eastAsia="Times New Roman" w:hAnsi="Times New Roman" w:cs="Times New Roman"/>
          <w:kern w:val="0"/>
          <w:lang w:eastAsia="en-GB"/>
          <w14:ligatures w14:val="none"/>
        </w:rPr>
        <w:t xml:space="preserve"> results against baselines and targets.</w:t>
      </w:r>
    </w:p>
    <w:p w14:paraId="1A04628C" w14:textId="77777777" w:rsidR="002046CC" w:rsidRPr="0010077F" w:rsidRDefault="002046CC" w:rsidP="0010077F">
      <w:pPr>
        <w:numPr>
          <w:ilvl w:val="0"/>
          <w:numId w:val="7"/>
        </w:numPr>
        <w:spacing w:after="0"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Investigate</w:t>
      </w:r>
      <w:r w:rsidRPr="0010077F">
        <w:rPr>
          <w:rFonts w:ascii="Times New Roman" w:eastAsia="Times New Roman" w:hAnsi="Times New Roman" w:cs="Times New Roman"/>
          <w:kern w:val="0"/>
          <w:lang w:eastAsia="en-GB"/>
          <w14:ligatures w14:val="none"/>
        </w:rPr>
        <w:t xml:space="preserve"> the causes of significant variances.</w:t>
      </w:r>
    </w:p>
    <w:p w14:paraId="35455DB1" w14:textId="77777777" w:rsidR="002046CC" w:rsidRPr="0010077F" w:rsidRDefault="002046CC" w:rsidP="0010077F">
      <w:pPr>
        <w:numPr>
          <w:ilvl w:val="0"/>
          <w:numId w:val="7"/>
        </w:numPr>
        <w:spacing w:after="0"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Act</w:t>
      </w:r>
      <w:r w:rsidRPr="0010077F">
        <w:rPr>
          <w:rFonts w:ascii="Times New Roman" w:eastAsia="Times New Roman" w:hAnsi="Times New Roman" w:cs="Times New Roman"/>
          <w:kern w:val="0"/>
          <w:lang w:eastAsia="en-GB"/>
          <w14:ligatures w14:val="none"/>
        </w:rPr>
        <w:t xml:space="preserve"> through corrective measures and responsible ownership.</w:t>
      </w:r>
    </w:p>
    <w:p w14:paraId="4128180E" w14:textId="77777777" w:rsidR="002046CC" w:rsidRPr="0010077F" w:rsidRDefault="002046CC" w:rsidP="0010077F">
      <w:pPr>
        <w:numPr>
          <w:ilvl w:val="0"/>
          <w:numId w:val="7"/>
        </w:numPr>
        <w:spacing w:after="0"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b/>
          <w:bCs/>
          <w:kern w:val="0"/>
          <w:lang w:eastAsia="en-GB"/>
          <w14:ligatures w14:val="none"/>
        </w:rPr>
        <w:t>Review</w:t>
      </w:r>
      <w:r w:rsidRPr="0010077F">
        <w:rPr>
          <w:rFonts w:ascii="Times New Roman" w:eastAsia="Times New Roman" w:hAnsi="Times New Roman" w:cs="Times New Roman"/>
          <w:kern w:val="0"/>
          <w:lang w:eastAsia="en-GB"/>
          <w14:ligatures w14:val="none"/>
        </w:rPr>
        <w:t xml:space="preserve"> whether the strategy or target remains appropriate.</w:t>
      </w:r>
    </w:p>
    <w:p w14:paraId="3A2FB93D"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This approach supports agility while maintaining accountability and transparency (The Strategy Institute, 2025).</w:t>
      </w:r>
    </w:p>
    <w:p w14:paraId="3891B247" w14:textId="77777777" w:rsidR="002046CC" w:rsidRPr="0010077F" w:rsidRDefault="002046CC" w:rsidP="0010077F">
      <w:pPr>
        <w:jc w:val="both"/>
        <w:rPr>
          <w:rFonts w:ascii="Times New Roman" w:hAnsi="Times New Roman" w:cs="Times New Roman"/>
        </w:rPr>
      </w:pPr>
    </w:p>
    <w:p w14:paraId="56AB3616" w14:textId="1D7556EA" w:rsidR="00BC6A7A" w:rsidRPr="0010077F" w:rsidRDefault="00BC6A7A" w:rsidP="0010077F">
      <w:pPr>
        <w:pStyle w:val="Heading1"/>
        <w:numPr>
          <w:ilvl w:val="0"/>
          <w:numId w:val="4"/>
        </w:numPr>
        <w:jc w:val="both"/>
        <w:rPr>
          <w:rFonts w:ascii="Times New Roman" w:hAnsi="Times New Roman" w:cs="Times New Roman"/>
        </w:rPr>
      </w:pPr>
      <w:bookmarkStart w:id="33" w:name="_Toc237434266"/>
      <w:r w:rsidRPr="0010077F">
        <w:rPr>
          <w:rFonts w:ascii="Times New Roman" w:hAnsi="Times New Roman" w:cs="Times New Roman"/>
        </w:rPr>
        <w:t>Conclusion</w:t>
      </w:r>
      <w:bookmarkEnd w:id="33"/>
    </w:p>
    <w:p w14:paraId="35A29321" w14:textId="19BB7392"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This report has evaluated Vodafone strategic position following the combination of Vodafone UK and Three UK. The analysis indicates that the merged organisation possesses important strengths, including greater network scale, a large customer base, recognised brands and substantial investment capacity. However, it also faces significant challenges involving integration, regulation, cybersecurity, capital expenditure and intense competition.</w:t>
      </w:r>
    </w:p>
    <w:p w14:paraId="38F318AE" w14:textId="0EB2810F"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PESTEL analysis identified opportunities arising from digitalisation, 5G, business connectivity and growing dependence on reliable communications. It also demonstrated that Vodafone must manage affordability, data protection, environmental performance and regulatory scrutiny. Porter's Five Forces showed that competition and buyer power are high, making a strategy based only on price difficult to sustain.</w:t>
      </w:r>
    </w:p>
    <w:p w14:paraId="61068DD2" w14:textId="3D0752EE"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The Ansoff Matrix supports product development as the strongest growth option because it allows Vodafone</w:t>
      </w:r>
      <w:r w:rsidR="0010077F" w:rsidRPr="0010077F">
        <w:rPr>
          <w:rFonts w:ascii="Times New Roman" w:eastAsia="Times New Roman" w:hAnsi="Times New Roman" w:cs="Times New Roman"/>
          <w:kern w:val="0"/>
          <w:lang w:eastAsia="en-GB"/>
          <w14:ligatures w14:val="none"/>
        </w:rPr>
        <w:t xml:space="preserve"> </w:t>
      </w:r>
      <w:r w:rsidRPr="0010077F">
        <w:rPr>
          <w:rFonts w:ascii="Times New Roman" w:eastAsia="Times New Roman" w:hAnsi="Times New Roman" w:cs="Times New Roman"/>
          <w:kern w:val="0"/>
          <w:lang w:eastAsia="en-GB"/>
          <w14:ligatures w14:val="none"/>
        </w:rPr>
        <w:t>to use its existing customers, infrastructure and capabilities to introduce new digital services. Porter's Generic Strategies further indicates that differentiation is more sustainable than pure cost leadership. The recommended strategy is therefore to develop integrated 5G, cloud, IoT, cybersecurity and AI-enabled services while improving the reliability and transparency of existing consumer products.</w:t>
      </w:r>
    </w:p>
    <w:p w14:paraId="537B9D7C"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The SFA assessment concludes that this strategy is suitable, feasible and broadly acceptable. Nevertheless, it should be implemented gradually through customer research, product pilots, employee training, technology partnerships and strong governance. Stakeholder engagement is </w:t>
      </w:r>
      <w:r w:rsidRPr="0010077F">
        <w:rPr>
          <w:rFonts w:ascii="Times New Roman" w:eastAsia="Times New Roman" w:hAnsi="Times New Roman" w:cs="Times New Roman"/>
          <w:kern w:val="0"/>
          <w:lang w:eastAsia="en-GB"/>
          <w14:ligatures w14:val="none"/>
        </w:rPr>
        <w:lastRenderedPageBreak/>
        <w:t>essential because investors, regulators, customers, employees and suppliers can all influence the success of implementation.</w:t>
      </w:r>
    </w:p>
    <w:p w14:paraId="364BB7A3" w14:textId="474D5585" w:rsidR="00BC6A7A" w:rsidRPr="003F7CB4" w:rsidRDefault="002046CC" w:rsidP="003F7CB4">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Vodafone long-term advantage will not result from the merger alone. It will depend on whether the company can convert increased scale and investment into better customer experiences, differentiated products, secure operations and measurable stakeholder value.</w:t>
      </w:r>
    </w:p>
    <w:p w14:paraId="59694367" w14:textId="6F4440AE" w:rsidR="0009259A" w:rsidRPr="0010077F" w:rsidRDefault="00BC6A7A" w:rsidP="0010077F">
      <w:pPr>
        <w:pStyle w:val="Heading1"/>
        <w:numPr>
          <w:ilvl w:val="0"/>
          <w:numId w:val="4"/>
        </w:numPr>
        <w:jc w:val="both"/>
        <w:rPr>
          <w:rFonts w:ascii="Times New Roman" w:hAnsi="Times New Roman" w:cs="Times New Roman"/>
        </w:rPr>
      </w:pPr>
      <w:bookmarkStart w:id="34" w:name="_Toc237434267"/>
      <w:r w:rsidRPr="0010077F">
        <w:rPr>
          <w:rFonts w:ascii="Times New Roman" w:hAnsi="Times New Roman" w:cs="Times New Roman"/>
        </w:rPr>
        <w:t>References</w:t>
      </w:r>
      <w:bookmarkEnd w:id="34"/>
      <w:r w:rsidRPr="0010077F">
        <w:rPr>
          <w:rFonts w:ascii="Times New Roman" w:hAnsi="Times New Roman" w:cs="Times New Roman"/>
        </w:rPr>
        <w:t xml:space="preserve"> </w:t>
      </w:r>
    </w:p>
    <w:p w14:paraId="68CC5165"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val="pt-PT" w:eastAsia="en-GB"/>
          <w14:ligatures w14:val="none"/>
        </w:rPr>
        <w:t xml:space="preserve">de Backer, G. (2023) 'SFA Matrix'. </w:t>
      </w:r>
      <w:r w:rsidRPr="0010077F">
        <w:rPr>
          <w:rFonts w:ascii="Times New Roman" w:eastAsia="Times New Roman" w:hAnsi="Times New Roman" w:cs="Times New Roman"/>
          <w:kern w:val="0"/>
          <w:lang w:eastAsia="en-GB"/>
          <w14:ligatures w14:val="none"/>
        </w:rPr>
        <w:t xml:space="preserve">Available at: </w:t>
      </w:r>
      <w:hyperlink r:id="rId7" w:history="1">
        <w:r w:rsidRPr="0010077F">
          <w:rPr>
            <w:rFonts w:ascii="Times New Roman" w:eastAsia="Times New Roman" w:hAnsi="Times New Roman" w:cs="Times New Roman"/>
            <w:color w:val="0000FF"/>
            <w:kern w:val="0"/>
            <w:u w:val="single"/>
            <w:lang w:eastAsia="en-GB"/>
            <w14:ligatures w14:val="none"/>
          </w:rPr>
          <w:t>https://gustdebacker.com/downloads/sfa-matrix/</w:t>
        </w:r>
      </w:hyperlink>
      <w:r w:rsidRPr="0010077F">
        <w:rPr>
          <w:rFonts w:ascii="Times New Roman" w:eastAsia="Times New Roman" w:hAnsi="Times New Roman" w:cs="Times New Roman"/>
          <w:kern w:val="0"/>
          <w:lang w:eastAsia="en-GB"/>
          <w14:ligatures w14:val="none"/>
        </w:rPr>
        <w:t xml:space="preserve"> (Accessed: 28 July 2026).</w:t>
      </w:r>
    </w:p>
    <w:p w14:paraId="015B8017"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MBA Skool Team (n.d.) 'Vodafone PESTLE Analysis', </w:t>
      </w:r>
      <w:r w:rsidRPr="0010077F">
        <w:rPr>
          <w:rFonts w:ascii="Times New Roman" w:eastAsia="Times New Roman" w:hAnsi="Times New Roman" w:cs="Times New Roman"/>
          <w:i/>
          <w:iCs/>
          <w:kern w:val="0"/>
          <w:lang w:eastAsia="en-GB"/>
          <w14:ligatures w14:val="none"/>
        </w:rPr>
        <w:t>MBA Skool</w:t>
      </w:r>
      <w:r w:rsidRPr="0010077F">
        <w:rPr>
          <w:rFonts w:ascii="Times New Roman" w:eastAsia="Times New Roman" w:hAnsi="Times New Roman" w:cs="Times New Roman"/>
          <w:kern w:val="0"/>
          <w:lang w:eastAsia="en-GB"/>
          <w14:ligatures w14:val="none"/>
        </w:rPr>
        <w:t xml:space="preserve">. Available at: </w:t>
      </w:r>
      <w:hyperlink r:id="rId8" w:history="1">
        <w:r w:rsidRPr="0010077F">
          <w:rPr>
            <w:rFonts w:ascii="Times New Roman" w:eastAsia="Times New Roman" w:hAnsi="Times New Roman" w:cs="Times New Roman"/>
            <w:color w:val="0000FF"/>
            <w:kern w:val="0"/>
            <w:u w:val="single"/>
            <w:lang w:eastAsia="en-GB"/>
            <w14:ligatures w14:val="none"/>
          </w:rPr>
          <w:t>https://www.mbaskool.com/pestle-analysis/companies/17973-vodafone.html</w:t>
        </w:r>
      </w:hyperlink>
      <w:r w:rsidRPr="0010077F">
        <w:rPr>
          <w:rFonts w:ascii="Times New Roman" w:eastAsia="Times New Roman" w:hAnsi="Times New Roman" w:cs="Times New Roman"/>
          <w:kern w:val="0"/>
          <w:lang w:eastAsia="en-GB"/>
          <w14:ligatures w14:val="none"/>
        </w:rPr>
        <w:t xml:space="preserve"> (Accessed: 22 July 2026).</w:t>
      </w:r>
    </w:p>
    <w:p w14:paraId="2E4D9127"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Peterdy, K. (2022) 'Ansoff Matrix: The Product/Market Expansion Grid', </w:t>
      </w:r>
      <w:r w:rsidRPr="0010077F">
        <w:rPr>
          <w:rFonts w:ascii="Times New Roman" w:eastAsia="Times New Roman" w:hAnsi="Times New Roman" w:cs="Times New Roman"/>
          <w:i/>
          <w:iCs/>
          <w:kern w:val="0"/>
          <w:lang w:eastAsia="en-GB"/>
          <w14:ligatures w14:val="none"/>
        </w:rPr>
        <w:t>Corporate Finance Institute</w:t>
      </w:r>
      <w:r w:rsidRPr="0010077F">
        <w:rPr>
          <w:rFonts w:ascii="Times New Roman" w:eastAsia="Times New Roman" w:hAnsi="Times New Roman" w:cs="Times New Roman"/>
          <w:kern w:val="0"/>
          <w:lang w:eastAsia="en-GB"/>
          <w14:ligatures w14:val="none"/>
        </w:rPr>
        <w:t xml:space="preserve">, 8 May. Available at: </w:t>
      </w:r>
      <w:hyperlink r:id="rId9" w:history="1">
        <w:r w:rsidRPr="0010077F">
          <w:rPr>
            <w:rFonts w:ascii="Times New Roman" w:eastAsia="Times New Roman" w:hAnsi="Times New Roman" w:cs="Times New Roman"/>
            <w:color w:val="0000FF"/>
            <w:kern w:val="0"/>
            <w:u w:val="single"/>
            <w:lang w:eastAsia="en-GB"/>
            <w14:ligatures w14:val="none"/>
          </w:rPr>
          <w:t>https://corporatefinanceinstitute.com/resources/management/ansoff-matrix/</w:t>
        </w:r>
      </w:hyperlink>
      <w:r w:rsidRPr="0010077F">
        <w:rPr>
          <w:rFonts w:ascii="Times New Roman" w:eastAsia="Times New Roman" w:hAnsi="Times New Roman" w:cs="Times New Roman"/>
          <w:kern w:val="0"/>
          <w:lang w:eastAsia="en-GB"/>
          <w14:ligatures w14:val="none"/>
        </w:rPr>
        <w:t xml:space="preserve"> (Accessed: 18 July 2026).</w:t>
      </w:r>
    </w:p>
    <w:p w14:paraId="70C651BE"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Rudolph, A. (2025) 'Vodafone-Three merger: what next after the creation of the UK's largest mobile operator?', </w:t>
      </w:r>
      <w:r w:rsidRPr="0010077F">
        <w:rPr>
          <w:rFonts w:ascii="Times New Roman" w:eastAsia="Times New Roman" w:hAnsi="Times New Roman" w:cs="Times New Roman"/>
          <w:i/>
          <w:iCs/>
          <w:kern w:val="0"/>
          <w:lang w:eastAsia="en-GB"/>
          <w14:ligatures w14:val="none"/>
        </w:rPr>
        <w:t>IG</w:t>
      </w:r>
      <w:r w:rsidRPr="0010077F">
        <w:rPr>
          <w:rFonts w:ascii="Times New Roman" w:eastAsia="Times New Roman" w:hAnsi="Times New Roman" w:cs="Times New Roman"/>
          <w:kern w:val="0"/>
          <w:lang w:eastAsia="en-GB"/>
          <w14:ligatures w14:val="none"/>
        </w:rPr>
        <w:t xml:space="preserve">, 11 June. Available at: </w:t>
      </w:r>
      <w:hyperlink r:id="rId10" w:history="1">
        <w:r w:rsidRPr="0010077F">
          <w:rPr>
            <w:rFonts w:ascii="Times New Roman" w:eastAsia="Times New Roman" w:hAnsi="Times New Roman" w:cs="Times New Roman"/>
            <w:color w:val="0000FF"/>
            <w:kern w:val="0"/>
            <w:u w:val="single"/>
            <w:lang w:eastAsia="en-GB"/>
            <w14:ligatures w14:val="none"/>
          </w:rPr>
          <w:t>https://www.ig.com/en/news-and-trade-ideas/vodafone-three-merger--what-next-after-the-creation-of-the-uk-s--250611</w:t>
        </w:r>
      </w:hyperlink>
      <w:r w:rsidRPr="0010077F">
        <w:rPr>
          <w:rFonts w:ascii="Times New Roman" w:eastAsia="Times New Roman" w:hAnsi="Times New Roman" w:cs="Times New Roman"/>
          <w:kern w:val="0"/>
          <w:lang w:eastAsia="en-GB"/>
          <w14:ligatures w14:val="none"/>
        </w:rPr>
        <w:t xml:space="preserve"> (Accessed: 15 July 2026).</w:t>
      </w:r>
    </w:p>
    <w:p w14:paraId="033AE3CB"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Scott, E. (2020) 'Coronavirus and the telecoms industry', </w:t>
      </w:r>
      <w:r w:rsidRPr="0010077F">
        <w:rPr>
          <w:rFonts w:ascii="Times New Roman" w:eastAsia="Times New Roman" w:hAnsi="Times New Roman" w:cs="Times New Roman"/>
          <w:i/>
          <w:iCs/>
          <w:kern w:val="0"/>
          <w:lang w:eastAsia="en-GB"/>
          <w14:ligatures w14:val="none"/>
        </w:rPr>
        <w:t>House of Lords Library</w:t>
      </w:r>
      <w:r w:rsidRPr="0010077F">
        <w:rPr>
          <w:rFonts w:ascii="Times New Roman" w:eastAsia="Times New Roman" w:hAnsi="Times New Roman" w:cs="Times New Roman"/>
          <w:kern w:val="0"/>
          <w:lang w:eastAsia="en-GB"/>
          <w14:ligatures w14:val="none"/>
        </w:rPr>
        <w:t xml:space="preserve">, 27 April. Available at: </w:t>
      </w:r>
      <w:hyperlink r:id="rId11" w:history="1">
        <w:r w:rsidRPr="0010077F">
          <w:rPr>
            <w:rFonts w:ascii="Times New Roman" w:eastAsia="Times New Roman" w:hAnsi="Times New Roman" w:cs="Times New Roman"/>
            <w:color w:val="0000FF"/>
            <w:kern w:val="0"/>
            <w:u w:val="single"/>
            <w:lang w:eastAsia="en-GB"/>
            <w14:ligatures w14:val="none"/>
          </w:rPr>
          <w:t>https://lordslibrary.parliament.uk/coronavirus-and-the-telecoms-industry/</w:t>
        </w:r>
      </w:hyperlink>
      <w:r w:rsidRPr="0010077F">
        <w:rPr>
          <w:rFonts w:ascii="Times New Roman" w:eastAsia="Times New Roman" w:hAnsi="Times New Roman" w:cs="Times New Roman"/>
          <w:kern w:val="0"/>
          <w:lang w:eastAsia="en-GB"/>
          <w14:ligatures w14:val="none"/>
        </w:rPr>
        <w:t xml:space="preserve"> (Accessed: 25 July 2026).</w:t>
      </w:r>
    </w:p>
    <w:p w14:paraId="0541A4E9"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Stakeholder Theory (2018) 'About'. Available at: </w:t>
      </w:r>
      <w:hyperlink r:id="rId12" w:history="1">
        <w:r w:rsidRPr="0010077F">
          <w:rPr>
            <w:rFonts w:ascii="Times New Roman" w:eastAsia="Times New Roman" w:hAnsi="Times New Roman" w:cs="Times New Roman"/>
            <w:color w:val="0000FF"/>
            <w:kern w:val="0"/>
            <w:u w:val="single"/>
            <w:lang w:eastAsia="en-GB"/>
            <w14:ligatures w14:val="none"/>
          </w:rPr>
          <w:t>https://stakeholdertheory.org/about/</w:t>
        </w:r>
      </w:hyperlink>
      <w:r w:rsidRPr="0010077F">
        <w:rPr>
          <w:rFonts w:ascii="Times New Roman" w:eastAsia="Times New Roman" w:hAnsi="Times New Roman" w:cs="Times New Roman"/>
          <w:kern w:val="0"/>
          <w:lang w:eastAsia="en-GB"/>
          <w14:ligatures w14:val="none"/>
        </w:rPr>
        <w:t xml:space="preserve"> (Accessed: 28 July 2026).</w:t>
      </w:r>
    </w:p>
    <w:p w14:paraId="42604109"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SWOT &amp; PESTLE (2025) </w:t>
      </w:r>
      <w:r w:rsidRPr="0010077F">
        <w:rPr>
          <w:rFonts w:ascii="Times New Roman" w:eastAsia="Times New Roman" w:hAnsi="Times New Roman" w:cs="Times New Roman"/>
          <w:i/>
          <w:iCs/>
          <w:kern w:val="0"/>
          <w:lang w:eastAsia="en-GB"/>
          <w14:ligatures w14:val="none"/>
        </w:rPr>
        <w:t>Vodafone SWOT &amp; PESTLE</w:t>
      </w:r>
      <w:r w:rsidRPr="0010077F">
        <w:rPr>
          <w:rFonts w:ascii="Times New Roman" w:eastAsia="Times New Roman" w:hAnsi="Times New Roman" w:cs="Times New Roman"/>
          <w:kern w:val="0"/>
          <w:lang w:eastAsia="en-GB"/>
          <w14:ligatures w14:val="none"/>
        </w:rPr>
        <w:t xml:space="preserve">. Available at: </w:t>
      </w:r>
      <w:hyperlink r:id="rId13" w:history="1">
        <w:r w:rsidRPr="0010077F">
          <w:rPr>
            <w:rFonts w:ascii="Times New Roman" w:eastAsia="Times New Roman" w:hAnsi="Times New Roman" w:cs="Times New Roman"/>
            <w:color w:val="0000FF"/>
            <w:kern w:val="0"/>
            <w:u w:val="single"/>
            <w:lang w:eastAsia="en-GB"/>
            <w14:ligatures w14:val="none"/>
          </w:rPr>
          <w:t>https://www.swotandpestle.com/vodafone-swot-pestle</w:t>
        </w:r>
      </w:hyperlink>
      <w:r w:rsidRPr="0010077F">
        <w:rPr>
          <w:rFonts w:ascii="Times New Roman" w:eastAsia="Times New Roman" w:hAnsi="Times New Roman" w:cs="Times New Roman"/>
          <w:kern w:val="0"/>
          <w:lang w:eastAsia="en-GB"/>
          <w14:ligatures w14:val="none"/>
        </w:rPr>
        <w:t xml:space="preserve"> (Accessed: 22 July 2026).</w:t>
      </w:r>
    </w:p>
    <w:p w14:paraId="01ABBE33"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The Strategy Institute (2025) 'Strategy Implementation: Key Concepts for Organizational Success', 3 January. Available at: </w:t>
      </w:r>
      <w:hyperlink r:id="rId14" w:history="1">
        <w:r w:rsidRPr="0010077F">
          <w:rPr>
            <w:rFonts w:ascii="Times New Roman" w:eastAsia="Times New Roman" w:hAnsi="Times New Roman" w:cs="Times New Roman"/>
            <w:color w:val="0000FF"/>
            <w:kern w:val="0"/>
            <w:u w:val="single"/>
            <w:lang w:eastAsia="en-GB"/>
            <w14:ligatures w14:val="none"/>
          </w:rPr>
          <w:t>https://www.thestrategyinstitute.org/insights/strategy-implementation-key-concepts-for-organizational-success</w:t>
        </w:r>
      </w:hyperlink>
      <w:r w:rsidRPr="0010077F">
        <w:rPr>
          <w:rFonts w:ascii="Times New Roman" w:eastAsia="Times New Roman" w:hAnsi="Times New Roman" w:cs="Times New Roman"/>
          <w:kern w:val="0"/>
          <w:lang w:eastAsia="en-GB"/>
          <w14:ligatures w14:val="none"/>
        </w:rPr>
        <w:t xml:space="preserve"> (Accessed: 15 July 2026).</w:t>
      </w:r>
    </w:p>
    <w:p w14:paraId="34AC64BF"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Three UK (n.d.) 'Vision &amp; Values'. Available at: </w:t>
      </w:r>
      <w:hyperlink r:id="rId15" w:history="1">
        <w:r w:rsidRPr="0010077F">
          <w:rPr>
            <w:rFonts w:ascii="Times New Roman" w:eastAsia="Times New Roman" w:hAnsi="Times New Roman" w:cs="Times New Roman"/>
            <w:color w:val="0000FF"/>
            <w:kern w:val="0"/>
            <w:u w:val="single"/>
            <w:lang w:eastAsia="en-GB"/>
            <w14:ligatures w14:val="none"/>
          </w:rPr>
          <w:t>https://jobs.three.co.uk/vision-values</w:t>
        </w:r>
      </w:hyperlink>
      <w:r w:rsidRPr="0010077F">
        <w:rPr>
          <w:rFonts w:ascii="Times New Roman" w:eastAsia="Times New Roman" w:hAnsi="Times New Roman" w:cs="Times New Roman"/>
          <w:kern w:val="0"/>
          <w:lang w:eastAsia="en-GB"/>
          <w14:ligatures w14:val="none"/>
        </w:rPr>
        <w:t xml:space="preserve"> (Accessed: 22 July 2026).</w:t>
      </w:r>
    </w:p>
    <w:p w14:paraId="54A1D266"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Vodafone Group Plc (2025) </w:t>
      </w:r>
      <w:r w:rsidRPr="0010077F">
        <w:rPr>
          <w:rFonts w:ascii="Times New Roman" w:eastAsia="Times New Roman" w:hAnsi="Times New Roman" w:cs="Times New Roman"/>
          <w:i/>
          <w:iCs/>
          <w:kern w:val="0"/>
          <w:lang w:eastAsia="en-GB"/>
          <w14:ligatures w14:val="none"/>
        </w:rPr>
        <w:t>Annual Report 2025</w:t>
      </w:r>
      <w:r w:rsidRPr="0010077F">
        <w:rPr>
          <w:rFonts w:ascii="Times New Roman" w:eastAsia="Times New Roman" w:hAnsi="Times New Roman" w:cs="Times New Roman"/>
          <w:kern w:val="0"/>
          <w:lang w:eastAsia="en-GB"/>
          <w14:ligatures w14:val="none"/>
        </w:rPr>
        <w:t xml:space="preserve">. Available at: </w:t>
      </w:r>
      <w:hyperlink r:id="rId16" w:history="1">
        <w:r w:rsidRPr="0010077F">
          <w:rPr>
            <w:rFonts w:ascii="Times New Roman" w:eastAsia="Times New Roman" w:hAnsi="Times New Roman" w:cs="Times New Roman"/>
            <w:color w:val="0000FF"/>
            <w:kern w:val="0"/>
            <w:u w:val="single"/>
            <w:lang w:eastAsia="en-GB"/>
            <w14:ligatures w14:val="none"/>
          </w:rPr>
          <w:t>https://reports.investors.vodafone.com/view/897876789/21/</w:t>
        </w:r>
      </w:hyperlink>
      <w:r w:rsidRPr="0010077F">
        <w:rPr>
          <w:rFonts w:ascii="Times New Roman" w:eastAsia="Times New Roman" w:hAnsi="Times New Roman" w:cs="Times New Roman"/>
          <w:kern w:val="0"/>
          <w:lang w:eastAsia="en-GB"/>
          <w14:ligatures w14:val="none"/>
        </w:rPr>
        <w:t xml:space="preserve"> (Accessed: 18 July 2026).</w:t>
      </w:r>
    </w:p>
    <w:p w14:paraId="5F1169D2"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Vodafone Group Plc (n.d.) 'European policy and regulation'. Available at: </w:t>
      </w:r>
      <w:hyperlink r:id="rId17" w:history="1">
        <w:r w:rsidRPr="0010077F">
          <w:rPr>
            <w:rFonts w:ascii="Times New Roman" w:eastAsia="Times New Roman" w:hAnsi="Times New Roman" w:cs="Times New Roman"/>
            <w:color w:val="0000FF"/>
            <w:kern w:val="0"/>
            <w:u w:val="single"/>
            <w:lang w:eastAsia="en-GB"/>
            <w14:ligatures w14:val="none"/>
          </w:rPr>
          <w:t>https://www.vodafone.com/our-company/european-policy-and-regulation</w:t>
        </w:r>
      </w:hyperlink>
      <w:r w:rsidRPr="0010077F">
        <w:rPr>
          <w:rFonts w:ascii="Times New Roman" w:eastAsia="Times New Roman" w:hAnsi="Times New Roman" w:cs="Times New Roman"/>
          <w:kern w:val="0"/>
          <w:lang w:eastAsia="en-GB"/>
          <w14:ligatures w14:val="none"/>
        </w:rPr>
        <w:t xml:space="preserve"> (Accessed: 25 July 2026).</w:t>
      </w:r>
    </w:p>
    <w:p w14:paraId="3A15842B"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lastRenderedPageBreak/>
        <w:t xml:space="preserve">Vodafone Group Plc (n.d.) 'Our mission'. Available at: </w:t>
      </w:r>
      <w:hyperlink r:id="rId18" w:history="1">
        <w:r w:rsidRPr="0010077F">
          <w:rPr>
            <w:rFonts w:ascii="Times New Roman" w:eastAsia="Times New Roman" w:hAnsi="Times New Roman" w:cs="Times New Roman"/>
            <w:color w:val="0000FF"/>
            <w:kern w:val="0"/>
            <w:u w:val="single"/>
            <w:lang w:eastAsia="en-GB"/>
            <w14:ligatures w14:val="none"/>
          </w:rPr>
          <w:t>https://www.vodafone.com/our-company/our-mission</w:t>
        </w:r>
      </w:hyperlink>
      <w:r w:rsidRPr="0010077F">
        <w:rPr>
          <w:rFonts w:ascii="Times New Roman" w:eastAsia="Times New Roman" w:hAnsi="Times New Roman" w:cs="Times New Roman"/>
          <w:kern w:val="0"/>
          <w:lang w:eastAsia="en-GB"/>
          <w14:ligatures w14:val="none"/>
        </w:rPr>
        <w:t xml:space="preserve"> (Accessed: 18 July 2026).</w:t>
      </w:r>
    </w:p>
    <w:p w14:paraId="667C2828"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Vodafone UK (2024) 'S172(1) statement', 24 September. Available at: </w:t>
      </w:r>
      <w:hyperlink r:id="rId19" w:history="1">
        <w:r w:rsidRPr="0010077F">
          <w:rPr>
            <w:rFonts w:ascii="Times New Roman" w:eastAsia="Times New Roman" w:hAnsi="Times New Roman" w:cs="Times New Roman"/>
            <w:color w:val="0000FF"/>
            <w:kern w:val="0"/>
            <w:u w:val="single"/>
            <w:lang w:eastAsia="en-GB"/>
            <w14:ligatures w14:val="none"/>
          </w:rPr>
          <w:t>https://www.vodafone.co.uk/about-us/our-way-of-working/s172-1-statement</w:t>
        </w:r>
      </w:hyperlink>
      <w:r w:rsidRPr="0010077F">
        <w:rPr>
          <w:rFonts w:ascii="Times New Roman" w:eastAsia="Times New Roman" w:hAnsi="Times New Roman" w:cs="Times New Roman"/>
          <w:kern w:val="0"/>
          <w:lang w:eastAsia="en-GB"/>
          <w14:ligatures w14:val="none"/>
        </w:rPr>
        <w:t xml:space="preserve"> (Accessed: 6 August 2026).</w:t>
      </w:r>
    </w:p>
    <w:p w14:paraId="441D6BC2" w14:textId="77777777" w:rsidR="002046CC"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Weijers, L. (2025) 'Mendelow Matrix', </w:t>
      </w:r>
      <w:r w:rsidRPr="0010077F">
        <w:rPr>
          <w:rFonts w:ascii="Times New Roman" w:eastAsia="Times New Roman" w:hAnsi="Times New Roman" w:cs="Times New Roman"/>
          <w:i/>
          <w:iCs/>
          <w:kern w:val="0"/>
          <w:lang w:eastAsia="en-GB"/>
          <w14:ligatures w14:val="none"/>
        </w:rPr>
        <w:t>Toolshero</w:t>
      </w:r>
      <w:r w:rsidRPr="0010077F">
        <w:rPr>
          <w:rFonts w:ascii="Times New Roman" w:eastAsia="Times New Roman" w:hAnsi="Times New Roman" w:cs="Times New Roman"/>
          <w:kern w:val="0"/>
          <w:lang w:eastAsia="en-GB"/>
          <w14:ligatures w14:val="none"/>
        </w:rPr>
        <w:t xml:space="preserve">. Available at: </w:t>
      </w:r>
      <w:hyperlink r:id="rId20" w:history="1">
        <w:r w:rsidRPr="0010077F">
          <w:rPr>
            <w:rFonts w:ascii="Times New Roman" w:eastAsia="Times New Roman" w:hAnsi="Times New Roman" w:cs="Times New Roman"/>
            <w:color w:val="0000FF"/>
            <w:kern w:val="0"/>
            <w:u w:val="single"/>
            <w:lang w:eastAsia="en-GB"/>
            <w14:ligatures w14:val="none"/>
          </w:rPr>
          <w:t>https://www.toolshero.com/strategy/mendelow-matrix/</w:t>
        </w:r>
      </w:hyperlink>
      <w:r w:rsidRPr="0010077F">
        <w:rPr>
          <w:rFonts w:ascii="Times New Roman" w:eastAsia="Times New Roman" w:hAnsi="Times New Roman" w:cs="Times New Roman"/>
          <w:kern w:val="0"/>
          <w:lang w:eastAsia="en-GB"/>
          <w14:ligatures w14:val="none"/>
        </w:rPr>
        <w:t xml:space="preserve"> (Accessed: 6 August 2026).</w:t>
      </w:r>
    </w:p>
    <w:p w14:paraId="4818D650" w14:textId="28DE9A68" w:rsidR="00BC6A7A" w:rsidRPr="0010077F" w:rsidRDefault="002046CC" w:rsidP="0010077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0077F">
        <w:rPr>
          <w:rFonts w:ascii="Times New Roman" w:eastAsia="Times New Roman" w:hAnsi="Times New Roman" w:cs="Times New Roman"/>
          <w:kern w:val="0"/>
          <w:lang w:eastAsia="en-GB"/>
          <w14:ligatures w14:val="none"/>
        </w:rPr>
        <w:t xml:space="preserve">Zolfani, S.H., Bazrafshan, R., Akaberi, P., Yazdani, M. and Ecer, F. (2021) 'Combining the Suitability-Feasibility-Acceptability (SFA) strategy with the MCDM approach', </w:t>
      </w:r>
      <w:r w:rsidRPr="0010077F">
        <w:rPr>
          <w:rFonts w:ascii="Times New Roman" w:eastAsia="Times New Roman" w:hAnsi="Times New Roman" w:cs="Times New Roman"/>
          <w:i/>
          <w:iCs/>
          <w:kern w:val="0"/>
          <w:lang w:eastAsia="en-GB"/>
          <w14:ligatures w14:val="none"/>
        </w:rPr>
        <w:t>Facta Universitatis, Series: Mechanical Engineering</w:t>
      </w:r>
      <w:r w:rsidRPr="0010077F">
        <w:rPr>
          <w:rFonts w:ascii="Times New Roman" w:eastAsia="Times New Roman" w:hAnsi="Times New Roman" w:cs="Times New Roman"/>
          <w:kern w:val="0"/>
          <w:lang w:eastAsia="en-GB"/>
          <w14:ligatures w14:val="none"/>
        </w:rPr>
        <w:t>, 19(3), pp. 579-600. doi: 10.22190/FUME210711062Z.</w:t>
      </w:r>
    </w:p>
    <w:sectPr w:rsidR="00BC6A7A" w:rsidRPr="001007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BE7C5A"/>
    <w:multiLevelType w:val="multilevel"/>
    <w:tmpl w:val="AD32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42BA9"/>
    <w:multiLevelType w:val="multilevel"/>
    <w:tmpl w:val="A588D5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01F589E"/>
    <w:multiLevelType w:val="multilevel"/>
    <w:tmpl w:val="A588D5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3AD79B9"/>
    <w:multiLevelType w:val="hybridMultilevel"/>
    <w:tmpl w:val="8E909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FF14F1"/>
    <w:multiLevelType w:val="multilevel"/>
    <w:tmpl w:val="3DCE9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7B431E"/>
    <w:multiLevelType w:val="multilevel"/>
    <w:tmpl w:val="A588D5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9A322B8"/>
    <w:multiLevelType w:val="multilevel"/>
    <w:tmpl w:val="3C144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73233">
    <w:abstractNumId w:val="3"/>
  </w:num>
  <w:num w:numId="2" w16cid:durableId="844243341">
    <w:abstractNumId w:val="5"/>
  </w:num>
  <w:num w:numId="3" w16cid:durableId="2121217465">
    <w:abstractNumId w:val="2"/>
  </w:num>
  <w:num w:numId="4" w16cid:durableId="1193610464">
    <w:abstractNumId w:val="1"/>
  </w:num>
  <w:num w:numId="5" w16cid:durableId="1242369098">
    <w:abstractNumId w:val="0"/>
  </w:num>
  <w:num w:numId="6" w16cid:durableId="1408527559">
    <w:abstractNumId w:val="6"/>
  </w:num>
  <w:num w:numId="7" w16cid:durableId="253055281">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A7A"/>
    <w:rsid w:val="0009259A"/>
    <w:rsid w:val="0010077F"/>
    <w:rsid w:val="002046CC"/>
    <w:rsid w:val="003A2B79"/>
    <w:rsid w:val="003F7CB4"/>
    <w:rsid w:val="00487870"/>
    <w:rsid w:val="004B7B33"/>
    <w:rsid w:val="006F62E8"/>
    <w:rsid w:val="00B01377"/>
    <w:rsid w:val="00BC6A7A"/>
    <w:rsid w:val="00CC70CD"/>
    <w:rsid w:val="00DD6BAF"/>
    <w:rsid w:val="00DE2C5C"/>
    <w:rsid w:val="00EB2828"/>
    <w:rsid w:val="00F90FA8"/>
    <w:rsid w:val="00FE6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8A50B"/>
  <w15:chartTrackingRefBased/>
  <w15:docId w15:val="{088C0A3C-B025-F248-8F87-EA3A74899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A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6A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A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A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A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A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A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A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A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A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6A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A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A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A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A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A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A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A7A"/>
    <w:rPr>
      <w:rFonts w:eastAsiaTheme="majorEastAsia" w:cstheme="majorBidi"/>
      <w:color w:val="272727" w:themeColor="text1" w:themeTint="D8"/>
    </w:rPr>
  </w:style>
  <w:style w:type="paragraph" w:styleId="Title">
    <w:name w:val="Title"/>
    <w:basedOn w:val="Normal"/>
    <w:next w:val="Normal"/>
    <w:link w:val="TitleChar"/>
    <w:uiPriority w:val="10"/>
    <w:qFormat/>
    <w:rsid w:val="00BC6A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A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A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A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A7A"/>
    <w:pPr>
      <w:spacing w:before="160"/>
      <w:jc w:val="center"/>
    </w:pPr>
    <w:rPr>
      <w:i/>
      <w:iCs/>
      <w:color w:val="404040" w:themeColor="text1" w:themeTint="BF"/>
    </w:rPr>
  </w:style>
  <w:style w:type="character" w:customStyle="1" w:styleId="QuoteChar">
    <w:name w:val="Quote Char"/>
    <w:basedOn w:val="DefaultParagraphFont"/>
    <w:link w:val="Quote"/>
    <w:uiPriority w:val="29"/>
    <w:rsid w:val="00BC6A7A"/>
    <w:rPr>
      <w:i/>
      <w:iCs/>
      <w:color w:val="404040" w:themeColor="text1" w:themeTint="BF"/>
    </w:rPr>
  </w:style>
  <w:style w:type="paragraph" w:styleId="ListParagraph">
    <w:name w:val="List Paragraph"/>
    <w:basedOn w:val="Normal"/>
    <w:uiPriority w:val="34"/>
    <w:qFormat/>
    <w:rsid w:val="00BC6A7A"/>
    <w:pPr>
      <w:ind w:left="720"/>
      <w:contextualSpacing/>
    </w:pPr>
  </w:style>
  <w:style w:type="character" w:styleId="IntenseEmphasis">
    <w:name w:val="Intense Emphasis"/>
    <w:basedOn w:val="DefaultParagraphFont"/>
    <w:uiPriority w:val="21"/>
    <w:qFormat/>
    <w:rsid w:val="00BC6A7A"/>
    <w:rPr>
      <w:i/>
      <w:iCs/>
      <w:color w:val="0F4761" w:themeColor="accent1" w:themeShade="BF"/>
    </w:rPr>
  </w:style>
  <w:style w:type="paragraph" w:styleId="IntenseQuote">
    <w:name w:val="Intense Quote"/>
    <w:basedOn w:val="Normal"/>
    <w:next w:val="Normal"/>
    <w:link w:val="IntenseQuoteChar"/>
    <w:uiPriority w:val="30"/>
    <w:qFormat/>
    <w:rsid w:val="00BC6A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A7A"/>
    <w:rPr>
      <w:i/>
      <w:iCs/>
      <w:color w:val="0F4761" w:themeColor="accent1" w:themeShade="BF"/>
    </w:rPr>
  </w:style>
  <w:style w:type="character" w:styleId="IntenseReference">
    <w:name w:val="Intense Reference"/>
    <w:basedOn w:val="DefaultParagraphFont"/>
    <w:uiPriority w:val="32"/>
    <w:qFormat/>
    <w:rsid w:val="00BC6A7A"/>
    <w:rPr>
      <w:b/>
      <w:bCs/>
      <w:smallCaps/>
      <w:color w:val="0F4761" w:themeColor="accent1" w:themeShade="BF"/>
      <w:spacing w:val="5"/>
    </w:rPr>
  </w:style>
  <w:style w:type="paragraph" w:styleId="TOCHeading">
    <w:name w:val="TOC Heading"/>
    <w:basedOn w:val="Heading1"/>
    <w:next w:val="Normal"/>
    <w:uiPriority w:val="39"/>
    <w:unhideWhenUsed/>
    <w:qFormat/>
    <w:rsid w:val="00BC6A7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C6A7A"/>
    <w:pPr>
      <w:spacing w:before="120" w:after="0"/>
    </w:pPr>
    <w:rPr>
      <w:b/>
      <w:bCs/>
      <w:i/>
      <w:iCs/>
    </w:rPr>
  </w:style>
  <w:style w:type="paragraph" w:styleId="TOC2">
    <w:name w:val="toc 2"/>
    <w:basedOn w:val="Normal"/>
    <w:next w:val="Normal"/>
    <w:autoRedefine/>
    <w:uiPriority w:val="39"/>
    <w:unhideWhenUsed/>
    <w:rsid w:val="00BC6A7A"/>
    <w:pPr>
      <w:spacing w:before="120" w:after="0"/>
      <w:ind w:left="240"/>
    </w:pPr>
    <w:rPr>
      <w:b/>
      <w:bCs/>
      <w:sz w:val="22"/>
      <w:szCs w:val="22"/>
    </w:rPr>
  </w:style>
  <w:style w:type="paragraph" w:styleId="TOC3">
    <w:name w:val="toc 3"/>
    <w:basedOn w:val="Normal"/>
    <w:next w:val="Normal"/>
    <w:autoRedefine/>
    <w:uiPriority w:val="39"/>
    <w:unhideWhenUsed/>
    <w:rsid w:val="00BC6A7A"/>
    <w:pPr>
      <w:spacing w:after="0"/>
      <w:ind w:left="480"/>
    </w:pPr>
    <w:rPr>
      <w:sz w:val="20"/>
      <w:szCs w:val="20"/>
    </w:rPr>
  </w:style>
  <w:style w:type="paragraph" w:styleId="TOC4">
    <w:name w:val="toc 4"/>
    <w:basedOn w:val="Normal"/>
    <w:next w:val="Normal"/>
    <w:autoRedefine/>
    <w:uiPriority w:val="39"/>
    <w:semiHidden/>
    <w:unhideWhenUsed/>
    <w:rsid w:val="00BC6A7A"/>
    <w:pPr>
      <w:spacing w:after="0"/>
      <w:ind w:left="720"/>
    </w:pPr>
    <w:rPr>
      <w:sz w:val="20"/>
      <w:szCs w:val="20"/>
    </w:rPr>
  </w:style>
  <w:style w:type="paragraph" w:styleId="TOC5">
    <w:name w:val="toc 5"/>
    <w:basedOn w:val="Normal"/>
    <w:next w:val="Normal"/>
    <w:autoRedefine/>
    <w:uiPriority w:val="39"/>
    <w:semiHidden/>
    <w:unhideWhenUsed/>
    <w:rsid w:val="00BC6A7A"/>
    <w:pPr>
      <w:spacing w:after="0"/>
      <w:ind w:left="960"/>
    </w:pPr>
    <w:rPr>
      <w:sz w:val="20"/>
      <w:szCs w:val="20"/>
    </w:rPr>
  </w:style>
  <w:style w:type="paragraph" w:styleId="TOC6">
    <w:name w:val="toc 6"/>
    <w:basedOn w:val="Normal"/>
    <w:next w:val="Normal"/>
    <w:autoRedefine/>
    <w:uiPriority w:val="39"/>
    <w:semiHidden/>
    <w:unhideWhenUsed/>
    <w:rsid w:val="00BC6A7A"/>
    <w:pPr>
      <w:spacing w:after="0"/>
      <w:ind w:left="1200"/>
    </w:pPr>
    <w:rPr>
      <w:sz w:val="20"/>
      <w:szCs w:val="20"/>
    </w:rPr>
  </w:style>
  <w:style w:type="paragraph" w:styleId="TOC7">
    <w:name w:val="toc 7"/>
    <w:basedOn w:val="Normal"/>
    <w:next w:val="Normal"/>
    <w:autoRedefine/>
    <w:uiPriority w:val="39"/>
    <w:semiHidden/>
    <w:unhideWhenUsed/>
    <w:rsid w:val="00BC6A7A"/>
    <w:pPr>
      <w:spacing w:after="0"/>
      <w:ind w:left="1440"/>
    </w:pPr>
    <w:rPr>
      <w:sz w:val="20"/>
      <w:szCs w:val="20"/>
    </w:rPr>
  </w:style>
  <w:style w:type="paragraph" w:styleId="TOC8">
    <w:name w:val="toc 8"/>
    <w:basedOn w:val="Normal"/>
    <w:next w:val="Normal"/>
    <w:autoRedefine/>
    <w:uiPriority w:val="39"/>
    <w:semiHidden/>
    <w:unhideWhenUsed/>
    <w:rsid w:val="00BC6A7A"/>
    <w:pPr>
      <w:spacing w:after="0"/>
      <w:ind w:left="1680"/>
    </w:pPr>
    <w:rPr>
      <w:sz w:val="20"/>
      <w:szCs w:val="20"/>
    </w:rPr>
  </w:style>
  <w:style w:type="paragraph" w:styleId="TOC9">
    <w:name w:val="toc 9"/>
    <w:basedOn w:val="Normal"/>
    <w:next w:val="Normal"/>
    <w:autoRedefine/>
    <w:uiPriority w:val="39"/>
    <w:semiHidden/>
    <w:unhideWhenUsed/>
    <w:rsid w:val="00BC6A7A"/>
    <w:pPr>
      <w:spacing w:after="0"/>
      <w:ind w:left="1920"/>
    </w:pPr>
    <w:rPr>
      <w:sz w:val="20"/>
      <w:szCs w:val="20"/>
    </w:rPr>
  </w:style>
  <w:style w:type="character" w:styleId="Hyperlink">
    <w:name w:val="Hyperlink"/>
    <w:basedOn w:val="DefaultParagraphFont"/>
    <w:uiPriority w:val="99"/>
    <w:unhideWhenUsed/>
    <w:rsid w:val="00BC6A7A"/>
    <w:rPr>
      <w:color w:val="467886" w:themeColor="hyperlink"/>
      <w:u w:val="single"/>
    </w:rPr>
  </w:style>
  <w:style w:type="paragraph" w:styleId="NormalWeb">
    <w:name w:val="Normal (Web)"/>
    <w:basedOn w:val="Normal"/>
    <w:uiPriority w:val="99"/>
    <w:unhideWhenUsed/>
    <w:rsid w:val="00BC6A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3A2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7973-vodafone.html" TargetMode="External"/><Relationship Id="rId13" Type="http://schemas.openxmlformats.org/officeDocument/2006/relationships/hyperlink" Target="https://www.swotandpestle.com/vodafone-swot-pestle" TargetMode="External"/><Relationship Id="rId18" Type="http://schemas.openxmlformats.org/officeDocument/2006/relationships/hyperlink" Target="https://www.vodafone.com/our-company/our-miss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gustdebacker.com/downloads/sfa-matrix/" TargetMode="External"/><Relationship Id="rId12" Type="http://schemas.openxmlformats.org/officeDocument/2006/relationships/hyperlink" Target="https://stakeholdertheory.org/about/" TargetMode="External"/><Relationship Id="rId17" Type="http://schemas.openxmlformats.org/officeDocument/2006/relationships/hyperlink" Target="https://www.vodafone.com/our-company/european-policy-and-regulation" TargetMode="External"/><Relationship Id="rId2" Type="http://schemas.openxmlformats.org/officeDocument/2006/relationships/numbering" Target="numbering.xml"/><Relationship Id="rId16" Type="http://schemas.openxmlformats.org/officeDocument/2006/relationships/hyperlink" Target="https://reports.investors.vodafone.com/view/897876789/21/" TargetMode="External"/><Relationship Id="rId20" Type="http://schemas.openxmlformats.org/officeDocument/2006/relationships/hyperlink" Target="https://www.toolshero.com/strategy/mendelow-matrix/"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lordslibrary.parliament.uk/coronavirus-and-the-telecoms-industry/" TargetMode="External"/><Relationship Id="rId5" Type="http://schemas.openxmlformats.org/officeDocument/2006/relationships/webSettings" Target="webSettings.xml"/><Relationship Id="rId15" Type="http://schemas.openxmlformats.org/officeDocument/2006/relationships/hyperlink" Target="https://jobs.three.co.uk/vision-values" TargetMode="External"/><Relationship Id="rId10" Type="http://schemas.openxmlformats.org/officeDocument/2006/relationships/hyperlink" Target="https://www.ig.com/en/news-and-trade-ideas/vodafone-three-merger--what-next-after-the-creation-of-the-uk-s--250611" TargetMode="External"/><Relationship Id="rId19" Type="http://schemas.openxmlformats.org/officeDocument/2006/relationships/hyperlink" Target="https://www.vodafone.co.uk/about-us/our-way-of-working/s172-1-statement" TargetMode="External"/><Relationship Id="rId4" Type="http://schemas.openxmlformats.org/officeDocument/2006/relationships/settings" Target="settings.xml"/><Relationship Id="rId9" Type="http://schemas.openxmlformats.org/officeDocument/2006/relationships/hyperlink" Target="https://corporatefinanceinstitute.com/resources/management/ansoff-matrix/" TargetMode="External"/><Relationship Id="rId14" Type="http://schemas.openxmlformats.org/officeDocument/2006/relationships/hyperlink" Target="https://www.thestrategyinstitute.org/insights/strategy-implementation-key-concepts-for-organizational-succ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E15D0-DF3F-6845-97BA-A59887DAF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18</Pages>
  <Words>5875</Words>
  <Characters>33488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Sanches Tavares</dc:creator>
  <cp:keywords/>
  <dc:description/>
  <cp:lastModifiedBy>Tamara Sanches Tavares</cp:lastModifiedBy>
  <cp:revision>11</cp:revision>
  <dcterms:created xsi:type="dcterms:W3CDTF">2026-08-12T12:43:00Z</dcterms:created>
  <dcterms:modified xsi:type="dcterms:W3CDTF">2026-08-12T12:51:00Z</dcterms:modified>
</cp:coreProperties>
</file>