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92FC7" w14:textId="703BBF9B" w:rsidR="00A40993" w:rsidRPr="00870248" w:rsidRDefault="00A40993" w:rsidP="00080DA6">
      <w:pPr>
        <w:spacing w:line="360" w:lineRule="auto"/>
        <w:rPr>
          <w:rFonts w:ascii="Arial" w:hAnsi="Arial" w:cs="Arial"/>
          <w:color w:val="000000" w:themeColor="text1"/>
        </w:rPr>
      </w:pPr>
      <w:r w:rsidRPr="00870248">
        <w:rPr>
          <w:rFonts w:ascii="Arial" w:hAnsi="Arial" w:cs="Arial"/>
          <w:noProof/>
          <w:color w:val="000000" w:themeColor="text1"/>
        </w:rPr>
        <w:drawing>
          <wp:anchor distT="0" distB="0" distL="114300" distR="114300" simplePos="0" relativeHeight="251659264" behindDoc="0" locked="0" layoutInCell="1" allowOverlap="1" wp14:anchorId="3F329C9D" wp14:editId="72AC11D7">
            <wp:simplePos x="0" y="0"/>
            <wp:positionH relativeFrom="page">
              <wp:posOffset>914400</wp:posOffset>
            </wp:positionH>
            <wp:positionV relativeFrom="paragraph">
              <wp:posOffset>0</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14CF0D37" w14:textId="77777777" w:rsidR="00A40993" w:rsidRPr="00870248" w:rsidRDefault="00A40993" w:rsidP="00080DA6">
      <w:pPr>
        <w:spacing w:line="360" w:lineRule="auto"/>
        <w:rPr>
          <w:rFonts w:ascii="Arial" w:hAnsi="Arial" w:cs="Arial"/>
          <w:color w:val="000000" w:themeColor="text1"/>
        </w:rPr>
      </w:pPr>
    </w:p>
    <w:p w14:paraId="7747B288" w14:textId="77777777" w:rsidR="00A40993" w:rsidRPr="00870248" w:rsidRDefault="00A40993" w:rsidP="00080DA6">
      <w:pPr>
        <w:spacing w:line="360" w:lineRule="auto"/>
        <w:rPr>
          <w:rFonts w:ascii="Arial" w:hAnsi="Arial" w:cs="Arial"/>
          <w:color w:val="000000" w:themeColor="text1"/>
        </w:rPr>
      </w:pPr>
    </w:p>
    <w:p w14:paraId="4AE9D940" w14:textId="77777777" w:rsidR="00A40993" w:rsidRPr="00870248" w:rsidRDefault="00A40993" w:rsidP="00080DA6">
      <w:pPr>
        <w:spacing w:line="360" w:lineRule="auto"/>
        <w:rPr>
          <w:rFonts w:ascii="Arial" w:hAnsi="Arial" w:cs="Arial"/>
          <w:color w:val="000000" w:themeColor="text1"/>
        </w:rPr>
      </w:pPr>
    </w:p>
    <w:tbl>
      <w:tblPr>
        <w:tblStyle w:val="Tabelgril"/>
        <w:tblpPr w:vertAnchor="text" w:horzAnchor="page" w:tblpX="1111"/>
        <w:tblOverlap w:val="never"/>
        <w:tblW w:w="9894" w:type="dxa"/>
        <w:tblLayout w:type="fixed"/>
        <w:tblLook w:val="04A0" w:firstRow="1" w:lastRow="0" w:firstColumn="1" w:lastColumn="0" w:noHBand="0" w:noVBand="1"/>
      </w:tblPr>
      <w:tblGrid>
        <w:gridCol w:w="2080"/>
        <w:gridCol w:w="3286"/>
        <w:gridCol w:w="112"/>
        <w:gridCol w:w="2049"/>
        <w:gridCol w:w="103"/>
        <w:gridCol w:w="2264"/>
      </w:tblGrid>
      <w:tr w:rsidR="00870248" w:rsidRPr="00870248" w14:paraId="4589DA1C" w14:textId="77777777" w:rsidTr="00A40993">
        <w:trPr>
          <w:trHeight w:hRule="exact" w:val="474"/>
        </w:trPr>
        <w:tc>
          <w:tcPr>
            <w:tcW w:w="2080" w:type="dxa"/>
          </w:tcPr>
          <w:p w14:paraId="5BBDC622" w14:textId="77777777" w:rsidR="00A40993" w:rsidRPr="00870248" w:rsidRDefault="00A40993" w:rsidP="00080DA6">
            <w:pPr>
              <w:spacing w:before="73" w:line="360" w:lineRule="auto"/>
              <w:ind w:left="8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65408" behindDoc="0" locked="0" layoutInCell="1" allowOverlap="1" wp14:anchorId="5C55476B" wp14:editId="4EA1CE14">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5F950E" id="Freeform 109" o:spid="_x0000_s1026" style="position:absolute;margin-left:-.5pt;margin-top:-1.5pt;width:.5pt;height:.5pt;z-index:25166540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64384" behindDoc="0" locked="0" layoutInCell="1" allowOverlap="1" wp14:anchorId="306BB8EC" wp14:editId="2FA1FF8A">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B059430" id="Freeform 110" o:spid="_x0000_s1026" style="position:absolute;margin-left:-.5pt;margin-top:-1.5pt;width:.5pt;height:.5pt;z-index:251664384;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Student name:  </w:t>
            </w:r>
          </w:p>
        </w:tc>
        <w:tc>
          <w:tcPr>
            <w:tcW w:w="3286" w:type="dxa"/>
          </w:tcPr>
          <w:p w14:paraId="1A66F5D9" w14:textId="2D7EAACC" w:rsidR="00A40993" w:rsidRPr="00870248" w:rsidRDefault="00A40993" w:rsidP="00080DA6">
            <w:pPr>
              <w:spacing w:line="360" w:lineRule="auto"/>
              <w:rPr>
                <w:rFonts w:ascii="Arial" w:hAnsi="Arial" w:cs="Arial"/>
                <w:color w:val="000000" w:themeColor="text1"/>
              </w:rPr>
            </w:pPr>
            <w:r w:rsidRPr="00870248">
              <w:rPr>
                <w:rFonts w:ascii="Arial" w:hAnsi="Arial" w:cs="Arial"/>
                <w:color w:val="000000" w:themeColor="text1"/>
              </w:rPr>
              <w:t>Elena Vasmina Radu</w:t>
            </w:r>
            <w:r w:rsidRPr="00870248">
              <w:rPr>
                <w:rFonts w:ascii="Arial" w:hAnsi="Arial" w:cs="Arial"/>
                <w:noProof/>
                <w:color w:val="000000" w:themeColor="text1"/>
              </w:rPr>
              <w:t xml:space="preserve"> </w:t>
            </w:r>
            <w:r w:rsidRPr="00870248">
              <w:rPr>
                <w:rFonts w:ascii="Arial" w:hAnsi="Arial" w:cs="Arial"/>
                <w:noProof/>
                <w:color w:val="000000" w:themeColor="text1"/>
              </w:rPr>
              <mc:AlternateContent>
                <mc:Choice Requires="wps">
                  <w:drawing>
                    <wp:anchor distT="0" distB="0" distL="114300" distR="114300" simplePos="0" relativeHeight="251666432" behindDoc="0" locked="0" layoutInCell="1" allowOverlap="1" wp14:anchorId="74D527BF" wp14:editId="3062C9B1">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10F624" id="Freeform 111" o:spid="_x0000_s1026" style="position:absolute;margin-left:0;margin-top:-.5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67456" behindDoc="0" locked="0" layoutInCell="1" allowOverlap="1" wp14:anchorId="58E05627" wp14:editId="3156019E">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1F41737" id="Freeform 112" o:spid="_x0000_s1026" style="position:absolute;margin-left:164.65pt;margin-top:-.5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p>
        </w:tc>
        <w:tc>
          <w:tcPr>
            <w:tcW w:w="112" w:type="dxa"/>
            <w:tcBorders>
              <w:right w:val="nil"/>
            </w:tcBorders>
            <w:shd w:val="clear" w:color="auto" w:fill="DADADA"/>
          </w:tcPr>
          <w:p w14:paraId="7AF24418" w14:textId="77777777" w:rsidR="00A40993" w:rsidRPr="00870248" w:rsidRDefault="00A40993" w:rsidP="00080DA6">
            <w:pPr>
              <w:spacing w:line="360" w:lineRule="auto"/>
              <w:rPr>
                <w:rFonts w:ascii="Arial" w:hAnsi="Arial" w:cs="Arial"/>
                <w:color w:val="000000" w:themeColor="text1"/>
              </w:rPr>
            </w:pPr>
          </w:p>
        </w:tc>
        <w:tc>
          <w:tcPr>
            <w:tcW w:w="2049" w:type="dxa"/>
            <w:tcBorders>
              <w:left w:val="nil"/>
              <w:right w:val="nil"/>
            </w:tcBorders>
            <w:shd w:val="clear" w:color="auto" w:fill="DADADA"/>
          </w:tcPr>
          <w:p w14:paraId="3B2B4AC0" w14:textId="77777777" w:rsidR="00A40993" w:rsidRPr="00870248" w:rsidRDefault="00A40993" w:rsidP="00080DA6">
            <w:pPr>
              <w:spacing w:before="73" w:line="360" w:lineRule="auto"/>
              <w:ind w:right="-8"/>
              <w:rPr>
                <w:rFonts w:ascii="Arial" w:hAnsi="Arial" w:cs="Arial"/>
                <w:color w:val="000000" w:themeColor="text1"/>
              </w:rPr>
            </w:pPr>
            <w:r w:rsidRPr="00870248">
              <w:rPr>
                <w:rFonts w:ascii="Arial" w:hAnsi="Arial" w:cs="Arial"/>
                <w:color w:val="000000" w:themeColor="text1"/>
              </w:rPr>
              <w:t xml:space="preserve">Student ID number: </w:t>
            </w:r>
          </w:p>
        </w:tc>
        <w:tc>
          <w:tcPr>
            <w:tcW w:w="103" w:type="dxa"/>
            <w:tcBorders>
              <w:left w:val="nil"/>
            </w:tcBorders>
            <w:shd w:val="clear" w:color="auto" w:fill="DADADA"/>
          </w:tcPr>
          <w:p w14:paraId="06DF6F4F" w14:textId="77777777" w:rsidR="00A40993" w:rsidRPr="00870248" w:rsidRDefault="00A40993" w:rsidP="00080DA6">
            <w:pPr>
              <w:spacing w:line="360" w:lineRule="auto"/>
              <w:rPr>
                <w:rFonts w:ascii="Arial" w:hAnsi="Arial" w:cs="Arial"/>
                <w:color w:val="000000" w:themeColor="text1"/>
              </w:rPr>
            </w:pPr>
          </w:p>
        </w:tc>
        <w:tc>
          <w:tcPr>
            <w:tcW w:w="2264" w:type="dxa"/>
          </w:tcPr>
          <w:p w14:paraId="497A9B05" w14:textId="77777777" w:rsidR="00A40993" w:rsidRPr="00870248" w:rsidRDefault="00A40993" w:rsidP="00080DA6">
            <w:pPr>
              <w:spacing w:line="360" w:lineRule="auto"/>
              <w:rPr>
                <w:rFonts w:ascii="Arial" w:hAnsi="Arial" w:cs="Arial"/>
                <w:color w:val="000000" w:themeColor="text1"/>
                <w:lang w:val="en-GB"/>
              </w:rPr>
            </w:pPr>
            <w:r w:rsidRPr="00870248">
              <w:rPr>
                <w:rFonts w:ascii="Arial" w:hAnsi="Arial" w:cs="Arial"/>
                <w:color w:val="000000" w:themeColor="text1"/>
                <w:lang w:val="en-GB"/>
              </w:rPr>
              <w:t>2422553</w:t>
            </w:r>
          </w:p>
          <w:p w14:paraId="44BDEF15" w14:textId="77777777" w:rsidR="00A40993" w:rsidRPr="00870248" w:rsidRDefault="00A40993" w:rsidP="00080DA6">
            <w:pPr>
              <w:spacing w:line="360" w:lineRule="auto"/>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68480" behindDoc="0" locked="0" layoutInCell="1" allowOverlap="1" wp14:anchorId="4B88D002" wp14:editId="5AA0ACC0">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DD85EF9" id="Freeform 113" o:spid="_x0000_s1026" style="position:absolute;margin-left:0;margin-top:-.5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70528" behindDoc="0" locked="0" layoutInCell="1" allowOverlap="1" wp14:anchorId="61101B4A" wp14:editId="41F3C20B">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A8947FE" id="Freeform 114" o:spid="_x0000_s1026" style="position:absolute;margin-left:113.4pt;margin-top:-.5pt;width:.5pt;height:.5pt;z-index:25167052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69504" behindDoc="0" locked="0" layoutInCell="1" allowOverlap="1" wp14:anchorId="3F6809DF" wp14:editId="154F7CBE">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74F8ADA" id="Freeform 115" o:spid="_x0000_s1026" style="position:absolute;margin-left:113.4pt;margin-top:-.5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870248" w:rsidRPr="00870248" w14:paraId="489D3A74" w14:textId="77777777" w:rsidTr="00A40993">
        <w:trPr>
          <w:trHeight w:hRule="exact" w:val="481"/>
        </w:trPr>
        <w:tc>
          <w:tcPr>
            <w:tcW w:w="2080" w:type="dxa"/>
          </w:tcPr>
          <w:p w14:paraId="54814A13" w14:textId="77777777" w:rsidR="00A40993" w:rsidRPr="00870248" w:rsidRDefault="00A40993" w:rsidP="00080DA6">
            <w:pPr>
              <w:spacing w:before="81" w:line="360" w:lineRule="auto"/>
              <w:ind w:left="8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71552" behindDoc="0" locked="0" layoutInCell="1" allowOverlap="1" wp14:anchorId="25713880" wp14:editId="0391582D">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6078BC2" id="Freeform 116" o:spid="_x0000_s1026" style="position:absolute;margin-left:-.5pt;margin-top:-1.1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Programme:  </w:t>
            </w:r>
          </w:p>
        </w:tc>
        <w:tc>
          <w:tcPr>
            <w:tcW w:w="5447" w:type="dxa"/>
            <w:gridSpan w:val="3"/>
            <w:tcBorders>
              <w:right w:val="nil"/>
            </w:tcBorders>
          </w:tcPr>
          <w:p w14:paraId="7F0395F0" w14:textId="6DB6E7B4" w:rsidR="00A40993" w:rsidRPr="00870248" w:rsidRDefault="00A40993" w:rsidP="00080DA6">
            <w:pPr>
              <w:spacing w:before="81" w:line="360" w:lineRule="auto"/>
              <w:ind w:left="110" w:right="-18"/>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79F0695F" wp14:editId="1707561A">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FBAF7" id="Freeform 117" o:spid="_x0000_s1026" style="position:absolute;margin-left:0;margin-top:-1.1pt;width:.5pt;height:.5pt;z-index:25167257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0F7EEF33" wp14:editId="13AB4382">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5A86A84" id="Freeform 118" o:spid="_x0000_s1026" style="position:absolute;margin-left:164.65pt;margin-top:-1.1pt;width:.5pt;height:.5pt;z-index:251673600;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870248">
              <w:rPr>
                <w:rFonts w:ascii="Arial" w:hAnsi="Arial" w:cs="Arial"/>
                <w:color w:val="000000" w:themeColor="text1"/>
                <w:spacing w:val="-2"/>
              </w:rPr>
              <w:t>CertHE Skills for the Workplace Health and Social C</w:t>
            </w:r>
            <w:r w:rsidR="00A605D9" w:rsidRPr="00870248">
              <w:rPr>
                <w:rFonts w:ascii="Arial" w:hAnsi="Arial" w:cs="Arial"/>
                <w:color w:val="000000" w:themeColor="text1"/>
                <w:spacing w:val="-2"/>
              </w:rPr>
              <w:t>are</w:t>
            </w:r>
            <w:r w:rsidRPr="00870248">
              <w:rPr>
                <w:rFonts w:ascii="Arial" w:hAnsi="Arial" w:cs="Arial"/>
                <w:color w:val="000000" w:themeColor="text1"/>
              </w:rPr>
              <w:t xml:space="preserve"> </w:t>
            </w:r>
          </w:p>
        </w:tc>
        <w:tc>
          <w:tcPr>
            <w:tcW w:w="2367" w:type="dxa"/>
            <w:gridSpan w:val="2"/>
            <w:tcBorders>
              <w:left w:val="nil"/>
            </w:tcBorders>
          </w:tcPr>
          <w:p w14:paraId="479C0CA0" w14:textId="26E2621E" w:rsidR="00A40993" w:rsidRPr="00870248" w:rsidRDefault="00A40993" w:rsidP="00080DA6">
            <w:pPr>
              <w:spacing w:before="81" w:line="360" w:lineRule="auto"/>
              <w:ind w:right="-18"/>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74624" behindDoc="0" locked="0" layoutInCell="1" allowOverlap="1" wp14:anchorId="2C498CBF" wp14:editId="1CA94FE9">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6AFDDF" id="Freeform 119" o:spid="_x0000_s1026" style="position:absolute;margin-left:5.15pt;margin-top:-1.1pt;width:.5pt;height:.5pt;z-index:25167462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266B4CED" wp14:editId="7D72EB2C">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8B4217C" id="Freeform 120" o:spid="_x0000_s1026" style="position:absolute;margin-left:118.55pt;margin-top:-1.1pt;width:.5pt;height:.5pt;z-index:25167564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 </w:t>
            </w:r>
          </w:p>
        </w:tc>
      </w:tr>
      <w:tr w:rsidR="00870248" w:rsidRPr="00870248" w14:paraId="6EE957A6" w14:textId="77777777" w:rsidTr="00A40993">
        <w:trPr>
          <w:trHeight w:hRule="exact" w:val="484"/>
        </w:trPr>
        <w:tc>
          <w:tcPr>
            <w:tcW w:w="2080" w:type="dxa"/>
          </w:tcPr>
          <w:p w14:paraId="52D8564C" w14:textId="77777777" w:rsidR="00A40993" w:rsidRPr="00870248" w:rsidRDefault="00A40993" w:rsidP="00080DA6">
            <w:pPr>
              <w:spacing w:before="83" w:line="360" w:lineRule="auto"/>
              <w:ind w:left="8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76672" behindDoc="0" locked="0" layoutInCell="1" allowOverlap="1" wp14:anchorId="3CB4F756" wp14:editId="05817DEE">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48121D3" id="Freeform 121" o:spid="_x0000_s1026" style="position:absolute;margin-left:-.5pt;margin-top:-1.1pt;width:.5pt;height:.5pt;z-index:25167667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Module:  </w:t>
            </w:r>
          </w:p>
        </w:tc>
        <w:tc>
          <w:tcPr>
            <w:tcW w:w="5447" w:type="dxa"/>
            <w:gridSpan w:val="3"/>
            <w:tcBorders>
              <w:right w:val="nil"/>
            </w:tcBorders>
          </w:tcPr>
          <w:p w14:paraId="4E2F28F6" w14:textId="77777777" w:rsidR="007128A5" w:rsidRPr="00870248" w:rsidRDefault="007128A5" w:rsidP="007128A5">
            <w:pPr>
              <w:autoSpaceDE w:val="0"/>
              <w:autoSpaceDN w:val="0"/>
              <w:adjustRightInd w:val="0"/>
              <w:spacing w:before="190"/>
              <w:rPr>
                <w:rFonts w:ascii="Arial" w:hAnsi="Arial" w:cs="Arial"/>
                <w:color w:val="000000" w:themeColor="text1"/>
              </w:rPr>
            </w:pPr>
            <w:r w:rsidRPr="00870248">
              <w:rPr>
                <w:rFonts w:ascii="Arial" w:hAnsi="Arial" w:cs="Arial"/>
                <w:color w:val="000000" w:themeColor="text1"/>
              </w:rPr>
              <w:t xml:space="preserve">Changemakers: Creativity and Value Creation </w:t>
            </w:r>
          </w:p>
          <w:p w14:paraId="50737980" w14:textId="0A60D1C0" w:rsidR="00A40993" w:rsidRPr="00870248" w:rsidRDefault="00A40993" w:rsidP="00080DA6">
            <w:pPr>
              <w:spacing w:before="83" w:line="360" w:lineRule="auto"/>
              <w:ind w:left="110"/>
              <w:rPr>
                <w:rFonts w:ascii="Arial" w:hAnsi="Arial" w:cs="Arial"/>
                <w:color w:val="000000" w:themeColor="text1"/>
              </w:rPr>
            </w:pPr>
          </w:p>
        </w:tc>
        <w:tc>
          <w:tcPr>
            <w:tcW w:w="103" w:type="dxa"/>
            <w:tcBorders>
              <w:left w:val="nil"/>
              <w:right w:val="nil"/>
            </w:tcBorders>
          </w:tcPr>
          <w:p w14:paraId="7908FFCF" w14:textId="77777777" w:rsidR="00A40993" w:rsidRPr="00870248" w:rsidRDefault="00A40993" w:rsidP="00080DA6">
            <w:pPr>
              <w:spacing w:line="360" w:lineRule="auto"/>
              <w:rPr>
                <w:rFonts w:ascii="Arial" w:hAnsi="Arial" w:cs="Arial"/>
                <w:color w:val="000000" w:themeColor="text1"/>
              </w:rPr>
            </w:pPr>
          </w:p>
        </w:tc>
        <w:tc>
          <w:tcPr>
            <w:tcW w:w="2264" w:type="dxa"/>
            <w:tcBorders>
              <w:left w:val="nil"/>
            </w:tcBorders>
          </w:tcPr>
          <w:p w14:paraId="694AA002" w14:textId="77777777" w:rsidR="00A40993" w:rsidRPr="00870248" w:rsidRDefault="00A40993" w:rsidP="00080DA6">
            <w:pPr>
              <w:spacing w:line="360" w:lineRule="auto"/>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678720" behindDoc="0" locked="0" layoutInCell="1" allowOverlap="1" wp14:anchorId="0E146BD4" wp14:editId="407969A0">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F7F517B" id="Freeform 123" o:spid="_x0000_s1026" style="position:absolute;margin-left:113.4pt;margin-top:0;width:.5pt;height:.5pt;z-index:25167872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870248" w:rsidRPr="00870248" w14:paraId="5C1C3E94" w14:textId="77777777" w:rsidTr="00A40993">
        <w:trPr>
          <w:trHeight w:hRule="exact" w:val="254"/>
        </w:trPr>
        <w:tc>
          <w:tcPr>
            <w:tcW w:w="2080" w:type="dxa"/>
            <w:vMerge w:val="restart"/>
            <w:tcBorders>
              <w:bottom w:val="nil"/>
            </w:tcBorders>
          </w:tcPr>
          <w:p w14:paraId="08D45CDD" w14:textId="77777777" w:rsidR="00B66464" w:rsidRPr="00870248" w:rsidRDefault="00B66464" w:rsidP="00080DA6">
            <w:pPr>
              <w:spacing w:after="349" w:line="360" w:lineRule="auto"/>
              <w:ind w:left="8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2512" behindDoc="0" locked="0" layoutInCell="1" allowOverlap="1" wp14:anchorId="0CD5EF27" wp14:editId="06445E59">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A060803" id="Freeform 124" o:spid="_x0000_s1026" style="position:absolute;margin-left:-.5pt;margin-top:-5.15pt;width:.5pt;height:.5pt;z-index:2517125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" path="m,6096r6108,l6108,,,,,6096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Module code:  </w:t>
            </w:r>
          </w:p>
        </w:tc>
        <w:tc>
          <w:tcPr>
            <w:tcW w:w="3286" w:type="dxa"/>
            <w:vMerge w:val="restart"/>
            <w:tcBorders>
              <w:bottom w:val="nil"/>
            </w:tcBorders>
          </w:tcPr>
          <w:p w14:paraId="31E6288D" w14:textId="52B17A7C" w:rsidR="007128A5" w:rsidRPr="00870248" w:rsidRDefault="007128A5" w:rsidP="007128A5">
            <w:pPr>
              <w:autoSpaceDE w:val="0"/>
              <w:autoSpaceDN w:val="0"/>
              <w:adjustRightInd w:val="0"/>
              <w:spacing w:before="86" w:line="364" w:lineRule="exact"/>
              <w:rPr>
                <w:rFonts w:ascii="Arial" w:hAnsi="Arial" w:cs="Arial"/>
                <w:color w:val="000000" w:themeColor="text1"/>
              </w:rPr>
            </w:pPr>
            <w:r w:rsidRPr="00870248">
              <w:rPr>
                <w:rFonts w:ascii="Arial" w:hAnsi="Arial" w:cs="Arial"/>
                <w:color w:val="000000" w:themeColor="text1"/>
              </w:rPr>
              <w:t>BMHP501</w:t>
            </w:r>
            <w:r w:rsidR="00A86540">
              <w:rPr>
                <w:rFonts w:ascii="Arial" w:hAnsi="Arial" w:cs="Arial"/>
                <w:color w:val="000000" w:themeColor="text1"/>
              </w:rPr>
              <w:t>4</w:t>
            </w:r>
          </w:p>
          <w:p w14:paraId="55FB50F1" w14:textId="12D1828D" w:rsidR="00B66464" w:rsidRPr="00870248" w:rsidRDefault="00B66464" w:rsidP="00080DA6">
            <w:pPr>
              <w:spacing w:after="349" w:line="360" w:lineRule="auto"/>
              <w:ind w:left="110"/>
              <w:rPr>
                <w:rFonts w:ascii="Arial" w:hAnsi="Arial" w:cs="Arial"/>
                <w:color w:val="000000" w:themeColor="text1"/>
              </w:rPr>
            </w:pPr>
          </w:p>
        </w:tc>
        <w:tc>
          <w:tcPr>
            <w:tcW w:w="112" w:type="dxa"/>
            <w:vMerge w:val="restart"/>
            <w:tcBorders>
              <w:bottom w:val="nil"/>
              <w:right w:val="nil"/>
            </w:tcBorders>
            <w:shd w:val="clear" w:color="auto" w:fill="DADADA"/>
          </w:tcPr>
          <w:p w14:paraId="255D1268" w14:textId="77777777" w:rsidR="00B66464" w:rsidRPr="00870248" w:rsidRDefault="00B66464" w:rsidP="00080DA6">
            <w:pPr>
              <w:spacing w:line="360" w:lineRule="auto"/>
              <w:rPr>
                <w:rFonts w:ascii="Arial" w:hAnsi="Arial" w:cs="Arial"/>
                <w:color w:val="000000" w:themeColor="text1"/>
              </w:rPr>
            </w:pPr>
          </w:p>
        </w:tc>
        <w:tc>
          <w:tcPr>
            <w:tcW w:w="2049" w:type="dxa"/>
            <w:tcBorders>
              <w:left w:val="nil"/>
              <w:bottom w:val="nil"/>
              <w:right w:val="nil"/>
            </w:tcBorders>
            <w:shd w:val="clear" w:color="auto" w:fill="DADADA"/>
          </w:tcPr>
          <w:p w14:paraId="7E97E5FC" w14:textId="77777777" w:rsidR="00B66464" w:rsidRPr="00870248" w:rsidRDefault="00B66464" w:rsidP="00080DA6">
            <w:pPr>
              <w:tabs>
                <w:tab w:val="left" w:pos="1847"/>
              </w:tabs>
              <w:spacing w:line="360" w:lineRule="auto"/>
              <w:ind w:right="-18"/>
              <w:rPr>
                <w:rFonts w:ascii="Arial" w:hAnsi="Arial" w:cs="Arial"/>
                <w:color w:val="000000" w:themeColor="text1"/>
              </w:rPr>
            </w:pPr>
            <w:r w:rsidRPr="00870248">
              <w:rPr>
                <w:rFonts w:ascii="Arial" w:hAnsi="Arial" w:cs="Arial"/>
                <w:color w:val="000000" w:themeColor="text1"/>
              </w:rPr>
              <w:t xml:space="preserve">Contribution </w:t>
            </w:r>
            <w:r w:rsidRPr="00870248">
              <w:rPr>
                <w:rFonts w:ascii="Arial" w:hAnsi="Arial" w:cs="Arial"/>
                <w:color w:val="000000" w:themeColor="text1"/>
              </w:rPr>
              <w:tab/>
            </w:r>
            <w:r w:rsidRPr="00870248">
              <w:rPr>
                <w:rFonts w:ascii="Arial" w:hAnsi="Arial" w:cs="Arial"/>
                <w:color w:val="000000" w:themeColor="text1"/>
                <w:spacing w:val="-2"/>
              </w:rPr>
              <w:t>to</w:t>
            </w:r>
            <w:r w:rsidRPr="00870248">
              <w:rPr>
                <w:rFonts w:ascii="Arial" w:hAnsi="Arial" w:cs="Arial"/>
                <w:color w:val="000000" w:themeColor="text1"/>
              </w:rPr>
              <w:t xml:space="preserve"> </w:t>
            </w:r>
          </w:p>
        </w:tc>
        <w:tc>
          <w:tcPr>
            <w:tcW w:w="103" w:type="dxa"/>
            <w:vMerge w:val="restart"/>
            <w:tcBorders>
              <w:left w:val="nil"/>
              <w:bottom w:val="nil"/>
            </w:tcBorders>
            <w:shd w:val="clear" w:color="auto" w:fill="DADADA"/>
          </w:tcPr>
          <w:p w14:paraId="245EFC52" w14:textId="77777777" w:rsidR="00B66464" w:rsidRPr="00870248" w:rsidRDefault="00B66464" w:rsidP="00080DA6">
            <w:pPr>
              <w:spacing w:line="360" w:lineRule="auto"/>
              <w:rPr>
                <w:rFonts w:ascii="Arial" w:hAnsi="Arial" w:cs="Arial"/>
                <w:color w:val="000000" w:themeColor="text1"/>
              </w:rPr>
            </w:pPr>
          </w:p>
        </w:tc>
        <w:tc>
          <w:tcPr>
            <w:tcW w:w="2264" w:type="dxa"/>
            <w:vMerge w:val="restart"/>
            <w:tcBorders>
              <w:bottom w:val="nil"/>
            </w:tcBorders>
          </w:tcPr>
          <w:p w14:paraId="6B028E5C" w14:textId="77777777" w:rsidR="00B66464" w:rsidRPr="00870248" w:rsidRDefault="00B66464" w:rsidP="00080DA6">
            <w:pPr>
              <w:spacing w:line="360" w:lineRule="auto"/>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3536" behindDoc="0" locked="0" layoutInCell="1" allowOverlap="1" wp14:anchorId="77B5B421" wp14:editId="10CC55BF">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305A78" id="Freeform 127" o:spid="_x0000_s1026" style="position:absolute;margin-left:0;margin-top:0;width:.5pt;height:.5pt;z-index:251713536;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uBUWQ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" path="m,6096r6096,l6096,,,,,6096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714560" behindDoc="0" locked="0" layoutInCell="1" allowOverlap="1" wp14:anchorId="0A022854" wp14:editId="0FD1CAE0">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B3C38A" id="Freeform 128" o:spid="_x0000_s1026" style="position:absolute;margin-left:113.4pt;margin-top:0;width:.5pt;height:.5pt;z-index:2517145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" path="m,6096r6096,l6096,,,,,6096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710464" behindDoc="0" locked="0" layoutInCell="1" allowOverlap="1" wp14:anchorId="7E60BB3A" wp14:editId="5FFBA7B0">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wps:txbx>
                            <wps:bodyPr wrap="square" lIns="0" tIns="0" rIns="0" bIns="0"/>
                          </wps:wsp>
                        </a:graphicData>
                      </a:graphic>
                    </wp:anchor>
                  </w:drawing>
                </mc:Choice>
                <mc:Fallback>
                  <w:pict>
                    <v:shape w14:anchorId="7E60BB3A" id="Freeform 129" o:spid="_x0000_s1026" style="position:absolute;margin-left:5.65pt;margin-top:5.15pt;width:40.15pt;height:24.8pt;z-index:2517104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" adj="-11796480,,5400" path="al10800,10800@8@8@4@6,10800,10800,10800,10800@9@7l@30@31@17@18@24@25@15@16@32@33xe" filled="f" strokecolor="red" strokeweight="1pt">
                      <v:stroke miterlimit="83231f" joinstyle="miter"/>
                      <v:formulas/>
                      <v:path arrowok="t" o:connecttype="custom" textboxrect="@1,@1,@1,@1"/>
                      <v:textbox inset="0,0,0,0">
                        <w:txbxContent>
                          <w:p w14:paraId="7910E783" w14:textId="3101823D" w:rsidR="00B66464" w:rsidRDefault="00B66464" w:rsidP="00A40993">
                            <w:pPr>
                              <w:spacing w:line="316" w:lineRule="exact"/>
                              <w:rPr>
                                <w:rFonts w:ascii="Times New Roman" w:hAnsi="Times New Roman" w:cs="Times New Roman"/>
                                <w:color w:val="010302"/>
                              </w:rPr>
                            </w:pPr>
                            <w:r>
                              <w:rPr>
                                <w:rFonts w:ascii="Arial" w:hAnsi="Arial" w:cs="Arial"/>
                                <w:b/>
                                <w:bCs/>
                                <w:color w:val="000000"/>
                                <w:lang w:val="en-US"/>
                              </w:rPr>
                              <w:t xml:space="preserve">50%  </w:t>
                            </w:r>
                          </w:p>
                        </w:txbxContent>
                      </v:textbox>
                      <w10:wrap anchorx="page"/>
                    </v:shape>
                  </w:pict>
                </mc:Fallback>
              </mc:AlternateContent>
            </w:r>
          </w:p>
        </w:tc>
      </w:tr>
      <w:tr w:rsidR="00870248" w:rsidRPr="00870248" w14:paraId="41EF02E7" w14:textId="77777777" w:rsidTr="00A40993">
        <w:trPr>
          <w:trHeight w:hRule="exact" w:val="251"/>
        </w:trPr>
        <w:tc>
          <w:tcPr>
            <w:tcW w:w="2080" w:type="dxa"/>
            <w:vMerge/>
            <w:tcBorders>
              <w:top w:val="nil"/>
              <w:bottom w:val="nil"/>
            </w:tcBorders>
          </w:tcPr>
          <w:p w14:paraId="4299A7FB" w14:textId="77777777" w:rsidR="00B66464" w:rsidRPr="00870248" w:rsidRDefault="00B66464" w:rsidP="00080DA6">
            <w:pPr>
              <w:spacing w:line="360" w:lineRule="auto"/>
              <w:rPr>
                <w:rFonts w:ascii="Arial" w:hAnsi="Arial" w:cs="Arial"/>
                <w:color w:val="000000" w:themeColor="text1"/>
              </w:rPr>
            </w:pPr>
          </w:p>
        </w:tc>
        <w:tc>
          <w:tcPr>
            <w:tcW w:w="3286" w:type="dxa"/>
            <w:vMerge/>
            <w:tcBorders>
              <w:top w:val="nil"/>
              <w:bottom w:val="nil"/>
            </w:tcBorders>
          </w:tcPr>
          <w:p w14:paraId="1BCE1776" w14:textId="77777777" w:rsidR="00B66464" w:rsidRPr="00870248" w:rsidRDefault="00B66464" w:rsidP="00080DA6">
            <w:pPr>
              <w:spacing w:line="360" w:lineRule="auto"/>
              <w:rPr>
                <w:rFonts w:ascii="Arial" w:hAnsi="Arial" w:cs="Arial"/>
                <w:color w:val="000000" w:themeColor="text1"/>
              </w:rPr>
            </w:pPr>
          </w:p>
        </w:tc>
        <w:tc>
          <w:tcPr>
            <w:tcW w:w="112" w:type="dxa"/>
            <w:vMerge/>
            <w:tcBorders>
              <w:top w:val="nil"/>
              <w:bottom w:val="nil"/>
              <w:right w:val="nil"/>
            </w:tcBorders>
            <w:shd w:val="clear" w:color="auto" w:fill="DADADA"/>
          </w:tcPr>
          <w:p w14:paraId="4C66C416" w14:textId="77777777" w:rsidR="00B66464" w:rsidRPr="00870248" w:rsidRDefault="00B66464" w:rsidP="00080DA6">
            <w:pPr>
              <w:spacing w:line="360" w:lineRule="auto"/>
              <w:rPr>
                <w:rFonts w:ascii="Arial" w:hAnsi="Arial" w:cs="Arial"/>
                <w:color w:val="000000" w:themeColor="text1"/>
              </w:rPr>
            </w:pPr>
          </w:p>
        </w:tc>
        <w:tc>
          <w:tcPr>
            <w:tcW w:w="2049" w:type="dxa"/>
            <w:tcBorders>
              <w:top w:val="nil"/>
              <w:left w:val="nil"/>
              <w:bottom w:val="nil"/>
              <w:right w:val="nil"/>
            </w:tcBorders>
            <w:shd w:val="clear" w:color="auto" w:fill="DADADA"/>
          </w:tcPr>
          <w:p w14:paraId="1D7D5F01" w14:textId="77777777" w:rsidR="00B66464" w:rsidRPr="00870248" w:rsidRDefault="00B66464" w:rsidP="00080DA6">
            <w:pPr>
              <w:spacing w:line="360" w:lineRule="auto"/>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1488" behindDoc="0" locked="0" layoutInCell="1" allowOverlap="1" wp14:anchorId="545D0272" wp14:editId="0F33C4C1">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wps:txbx>
                            <wps:bodyPr wrap="square" lIns="0" tIns="0" rIns="0" bIns="0"/>
                          </wps:wsp>
                        </a:graphicData>
                      </a:graphic>
                    </wp:anchor>
                  </w:drawing>
                </mc:Choice>
                <mc:Fallback>
                  <w:pict>
                    <v:shape w14:anchorId="545D0272" id="Freeform 130" o:spid="_x0000_s1027" style="position:absolute;margin-left:0;margin-top:-1.35pt;width:114.65pt;height:37.4pt;z-index:2517114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" adj="-11796480,,5400" path="al10800,10800@8@8@4@6,10800,10800,10800,10800@9@7l@30@31@17@18@24@25@15@16@32@33xe" filled="f" strokecolor="red" strokeweight="1pt">
                      <v:stroke miterlimit="83231f" joinstyle="miter"/>
                      <v:formulas/>
                      <v:path arrowok="t" o:connecttype="custom" textboxrect="@1,@1,@1,@1"/>
                      <v:textbox inset="0,0,0,0">
                        <w:txbxContent>
                          <w:p w14:paraId="42B3725C" w14:textId="24F4DF1E" w:rsidR="00B66464" w:rsidRPr="00FB5D01" w:rsidRDefault="00B66464" w:rsidP="00FB5D01">
                            <w:pPr>
                              <w:tabs>
                                <w:tab w:val="left" w:pos="1283"/>
                              </w:tabs>
                              <w:spacing w:line="316" w:lineRule="exact"/>
                              <w:rPr>
                                <w:rFonts w:ascii="Times New Roman" w:hAnsi="Times New Roman" w:cs="Times New Roman"/>
                                <w:color w:val="010302"/>
                              </w:rPr>
                            </w:pPr>
                            <w:r>
                              <w:rPr>
                                <w:rFonts w:ascii="Arial" w:hAnsi="Arial" w:cs="Arial"/>
                                <w:b/>
                                <w:bCs/>
                                <w:color w:val="000000"/>
                                <w:lang w:val="en-US"/>
                              </w:rPr>
                              <w:t xml:space="preserve">Overall </w:t>
                            </w:r>
                            <w:r>
                              <w:rPr>
                                <w:rFonts w:ascii="Arial" w:hAnsi="Arial" w:cs="Arial"/>
                                <w:b/>
                                <w:bCs/>
                                <w:color w:val="000000"/>
                                <w:lang w:val="en-US"/>
                              </w:rPr>
                              <w:tab/>
                              <w:t xml:space="preserve">Module Assessment (%):  </w:t>
                            </w:r>
                          </w:p>
                          <w:p w14:paraId="53BF9ABA" w14:textId="77777777" w:rsidR="00B66464" w:rsidRDefault="00B66464" w:rsidP="00A40993">
                            <w:pPr>
                              <w:spacing w:line="251" w:lineRule="exact"/>
                              <w:rPr>
                                <w:rFonts w:ascii="Times New Roman" w:hAnsi="Times New Roman" w:cs="Times New Roman"/>
                                <w:color w:val="010302"/>
                              </w:rPr>
                            </w:pPr>
                          </w:p>
                        </w:txbxContent>
                      </v:textbox>
                      <w10:wrap anchorx="page"/>
                    </v:shape>
                  </w:pict>
                </mc:Fallback>
              </mc:AlternateContent>
            </w:r>
          </w:p>
        </w:tc>
        <w:tc>
          <w:tcPr>
            <w:tcW w:w="103" w:type="dxa"/>
            <w:vMerge/>
            <w:tcBorders>
              <w:top w:val="nil"/>
              <w:left w:val="nil"/>
              <w:bottom w:val="nil"/>
            </w:tcBorders>
            <w:shd w:val="clear" w:color="auto" w:fill="DADADA"/>
          </w:tcPr>
          <w:p w14:paraId="6DB26920" w14:textId="77777777" w:rsidR="00B66464" w:rsidRPr="00870248" w:rsidRDefault="00B66464" w:rsidP="00080DA6">
            <w:pPr>
              <w:spacing w:line="360" w:lineRule="auto"/>
              <w:rPr>
                <w:rFonts w:ascii="Arial" w:hAnsi="Arial" w:cs="Arial"/>
                <w:color w:val="000000" w:themeColor="text1"/>
              </w:rPr>
            </w:pPr>
          </w:p>
        </w:tc>
        <w:tc>
          <w:tcPr>
            <w:tcW w:w="2264" w:type="dxa"/>
            <w:vMerge/>
            <w:tcBorders>
              <w:top w:val="nil"/>
              <w:bottom w:val="nil"/>
            </w:tcBorders>
          </w:tcPr>
          <w:p w14:paraId="7077E091" w14:textId="77777777" w:rsidR="00B66464" w:rsidRPr="00870248" w:rsidRDefault="00B66464" w:rsidP="00080DA6">
            <w:pPr>
              <w:spacing w:line="360" w:lineRule="auto"/>
              <w:rPr>
                <w:rFonts w:ascii="Arial" w:hAnsi="Arial" w:cs="Arial"/>
                <w:color w:val="000000" w:themeColor="text1"/>
              </w:rPr>
            </w:pPr>
          </w:p>
        </w:tc>
      </w:tr>
      <w:tr w:rsidR="00870248" w:rsidRPr="00870248" w14:paraId="2CD569C7" w14:textId="77777777" w:rsidTr="00543490">
        <w:trPr>
          <w:trHeight w:hRule="exact" w:val="744"/>
        </w:trPr>
        <w:tc>
          <w:tcPr>
            <w:tcW w:w="2080" w:type="dxa"/>
            <w:vMerge/>
            <w:tcBorders>
              <w:top w:val="nil"/>
            </w:tcBorders>
          </w:tcPr>
          <w:p w14:paraId="094F24DF" w14:textId="77777777" w:rsidR="00B66464" w:rsidRPr="00870248" w:rsidRDefault="00B66464" w:rsidP="00080DA6">
            <w:pPr>
              <w:spacing w:line="360" w:lineRule="auto"/>
              <w:rPr>
                <w:rFonts w:ascii="Arial" w:hAnsi="Arial" w:cs="Arial"/>
                <w:color w:val="000000" w:themeColor="text1"/>
              </w:rPr>
            </w:pPr>
          </w:p>
        </w:tc>
        <w:tc>
          <w:tcPr>
            <w:tcW w:w="3286" w:type="dxa"/>
            <w:vMerge/>
            <w:tcBorders>
              <w:top w:val="nil"/>
            </w:tcBorders>
          </w:tcPr>
          <w:p w14:paraId="3C464765" w14:textId="77777777" w:rsidR="00B66464" w:rsidRPr="00870248" w:rsidRDefault="00B66464" w:rsidP="00080DA6">
            <w:pPr>
              <w:spacing w:line="360" w:lineRule="auto"/>
              <w:rPr>
                <w:rFonts w:ascii="Arial" w:hAnsi="Arial" w:cs="Arial"/>
                <w:color w:val="000000" w:themeColor="text1"/>
              </w:rPr>
            </w:pPr>
          </w:p>
        </w:tc>
        <w:tc>
          <w:tcPr>
            <w:tcW w:w="112" w:type="dxa"/>
            <w:vMerge/>
            <w:tcBorders>
              <w:top w:val="nil"/>
              <w:right w:val="nil"/>
            </w:tcBorders>
            <w:shd w:val="clear" w:color="auto" w:fill="DADADA"/>
          </w:tcPr>
          <w:p w14:paraId="6F2DB2FF" w14:textId="77777777" w:rsidR="00B66464" w:rsidRPr="00870248" w:rsidRDefault="00B66464" w:rsidP="00080DA6">
            <w:pPr>
              <w:spacing w:line="360" w:lineRule="auto"/>
              <w:rPr>
                <w:rFonts w:ascii="Arial" w:hAnsi="Arial" w:cs="Arial"/>
                <w:color w:val="000000" w:themeColor="text1"/>
              </w:rPr>
            </w:pPr>
          </w:p>
        </w:tc>
        <w:tc>
          <w:tcPr>
            <w:tcW w:w="2049" w:type="dxa"/>
            <w:tcBorders>
              <w:top w:val="nil"/>
              <w:left w:val="nil"/>
              <w:right w:val="nil"/>
            </w:tcBorders>
            <w:shd w:val="clear" w:color="auto" w:fill="DADADA"/>
          </w:tcPr>
          <w:p w14:paraId="4738E183" w14:textId="77777777" w:rsidR="00B66464" w:rsidRPr="00870248" w:rsidRDefault="00B66464" w:rsidP="00080DA6">
            <w:pPr>
              <w:spacing w:line="360" w:lineRule="auto"/>
              <w:rPr>
                <w:rFonts w:ascii="Arial" w:hAnsi="Arial" w:cs="Arial"/>
                <w:color w:val="000000" w:themeColor="text1"/>
              </w:rPr>
            </w:pPr>
          </w:p>
        </w:tc>
        <w:tc>
          <w:tcPr>
            <w:tcW w:w="103" w:type="dxa"/>
            <w:vMerge/>
            <w:tcBorders>
              <w:top w:val="nil"/>
              <w:left w:val="nil"/>
            </w:tcBorders>
            <w:shd w:val="clear" w:color="auto" w:fill="DADADA"/>
          </w:tcPr>
          <w:p w14:paraId="6C30489C" w14:textId="77777777" w:rsidR="00B66464" w:rsidRPr="00870248" w:rsidRDefault="00B66464" w:rsidP="00080DA6">
            <w:pPr>
              <w:spacing w:line="360" w:lineRule="auto"/>
              <w:rPr>
                <w:rFonts w:ascii="Arial" w:hAnsi="Arial" w:cs="Arial"/>
                <w:color w:val="000000" w:themeColor="text1"/>
              </w:rPr>
            </w:pPr>
          </w:p>
        </w:tc>
        <w:tc>
          <w:tcPr>
            <w:tcW w:w="2264" w:type="dxa"/>
            <w:vMerge/>
            <w:tcBorders>
              <w:top w:val="nil"/>
            </w:tcBorders>
          </w:tcPr>
          <w:p w14:paraId="135E89B4" w14:textId="77777777" w:rsidR="00B66464" w:rsidRPr="00870248" w:rsidRDefault="00B66464" w:rsidP="00080DA6">
            <w:pPr>
              <w:spacing w:line="360" w:lineRule="auto"/>
              <w:rPr>
                <w:rFonts w:ascii="Arial" w:hAnsi="Arial" w:cs="Arial"/>
                <w:color w:val="000000" w:themeColor="text1"/>
              </w:rPr>
            </w:pPr>
          </w:p>
        </w:tc>
      </w:tr>
      <w:tr w:rsidR="00870248" w:rsidRPr="00870248" w14:paraId="292339EA" w14:textId="77777777" w:rsidTr="00543490">
        <w:trPr>
          <w:trHeight w:hRule="exact" w:val="2734"/>
        </w:trPr>
        <w:tc>
          <w:tcPr>
            <w:tcW w:w="2080" w:type="dxa"/>
          </w:tcPr>
          <w:p w14:paraId="6957BEE0" w14:textId="6F835956" w:rsidR="00B66464" w:rsidRPr="00870248" w:rsidRDefault="00B66464" w:rsidP="00080DA6">
            <w:pPr>
              <w:spacing w:before="103" w:line="360" w:lineRule="auto"/>
              <w:ind w:left="8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6608" behindDoc="0" locked="0" layoutInCell="1" allowOverlap="1" wp14:anchorId="03C36030" wp14:editId="794DBC25">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58371EB" id="Freeform 136" o:spid="_x0000_s1026" style="position:absolute;margin-left:-.5pt;margin-top:0;width:.5pt;height:.5pt;z-index:251716608;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saLWgIAAJcFAAAOAAAAZHJzL2Uyb0RvYy54bWysVMGO2yAQvVfqPyDuje1U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" path="m,6109r6108,l6108,,,,,6109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Assignment Title:  </w:t>
            </w:r>
          </w:p>
        </w:tc>
        <w:tc>
          <w:tcPr>
            <w:tcW w:w="3286" w:type="dxa"/>
          </w:tcPr>
          <w:p w14:paraId="602D4999" w14:textId="77777777" w:rsidR="007128A5" w:rsidRPr="00870248" w:rsidRDefault="007128A5" w:rsidP="007128A5">
            <w:pPr>
              <w:autoSpaceDE w:val="0"/>
              <w:autoSpaceDN w:val="0"/>
              <w:adjustRightInd w:val="0"/>
              <w:spacing w:line="254" w:lineRule="exact"/>
              <w:rPr>
                <w:rFonts w:ascii="Arial" w:hAnsi="Arial" w:cs="Arial"/>
                <w:color w:val="000000" w:themeColor="text1"/>
              </w:rPr>
            </w:pPr>
            <w:r w:rsidRPr="00870248">
              <w:rPr>
                <w:rFonts w:ascii="Arial" w:hAnsi="Arial" w:cs="Arial"/>
                <w:color w:val="000000" w:themeColor="text1"/>
              </w:rPr>
              <w:t>Component 1: Online portfolio</w:t>
            </w:r>
          </w:p>
          <w:p w14:paraId="446D5137" w14:textId="77777777" w:rsidR="007128A5" w:rsidRPr="00870248" w:rsidRDefault="007128A5" w:rsidP="007128A5">
            <w:pPr>
              <w:autoSpaceDE w:val="0"/>
              <w:autoSpaceDN w:val="0"/>
              <w:adjustRightInd w:val="0"/>
              <w:ind w:right="1590"/>
              <w:jc w:val="right"/>
              <w:rPr>
                <w:rFonts w:ascii="Arial" w:hAnsi="Arial" w:cs="Arial"/>
                <w:color w:val="000000" w:themeColor="text1"/>
              </w:rPr>
            </w:pPr>
            <w:r w:rsidRPr="00870248">
              <w:rPr>
                <w:rFonts w:ascii="Arial" w:hAnsi="Arial" w:cs="Arial"/>
                <w:color w:val="000000" w:themeColor="text1"/>
              </w:rPr>
              <w:t>of set exercises</w:t>
            </w:r>
          </w:p>
          <w:p w14:paraId="66427ABA" w14:textId="0B5F402A" w:rsidR="00B66464" w:rsidRPr="00870248" w:rsidRDefault="00B66464" w:rsidP="00080DA6">
            <w:pPr>
              <w:spacing w:before="103" w:line="360" w:lineRule="auto"/>
              <w:ind w:left="110"/>
              <w:rPr>
                <w:rFonts w:ascii="Arial" w:hAnsi="Arial" w:cs="Arial"/>
                <w:color w:val="000000" w:themeColor="text1"/>
              </w:rPr>
            </w:pPr>
          </w:p>
        </w:tc>
        <w:tc>
          <w:tcPr>
            <w:tcW w:w="2161" w:type="dxa"/>
            <w:gridSpan w:val="2"/>
            <w:tcBorders>
              <w:right w:val="nil"/>
            </w:tcBorders>
          </w:tcPr>
          <w:p w14:paraId="1F6B2C3B" w14:textId="77777777" w:rsidR="00B66464" w:rsidRPr="00870248" w:rsidRDefault="00B66464" w:rsidP="00080DA6">
            <w:pPr>
              <w:tabs>
                <w:tab w:val="left" w:pos="977"/>
                <w:tab w:val="left" w:pos="1872"/>
              </w:tabs>
              <w:spacing w:before="103" w:line="360" w:lineRule="auto"/>
              <w:ind w:left="112" w:right="-18"/>
              <w:rPr>
                <w:rFonts w:ascii="Arial" w:hAnsi="Arial" w:cs="Arial"/>
                <w:color w:val="000000" w:themeColor="text1"/>
              </w:rPr>
            </w:pPr>
            <w:r w:rsidRPr="00870248">
              <w:rPr>
                <w:rFonts w:ascii="Arial" w:hAnsi="Arial" w:cs="Arial"/>
                <w:color w:val="000000" w:themeColor="text1"/>
              </w:rPr>
              <w:t xml:space="preserve">Word </w:t>
            </w:r>
            <w:r w:rsidRPr="00870248">
              <w:rPr>
                <w:rFonts w:ascii="Arial" w:hAnsi="Arial" w:cs="Arial"/>
                <w:color w:val="000000" w:themeColor="text1"/>
              </w:rPr>
              <w:tab/>
              <w:t xml:space="preserve">count </w:t>
            </w:r>
            <w:r w:rsidRPr="00870248">
              <w:rPr>
                <w:rFonts w:ascii="Arial" w:hAnsi="Arial" w:cs="Arial"/>
                <w:color w:val="000000" w:themeColor="text1"/>
              </w:rPr>
              <w:tab/>
              <w:t xml:space="preserve">(or </w:t>
            </w:r>
          </w:p>
          <w:p w14:paraId="6D8C942B" w14:textId="77777777" w:rsidR="00B66464" w:rsidRPr="00870248" w:rsidRDefault="00B66464" w:rsidP="00080DA6">
            <w:pPr>
              <w:spacing w:after="83" w:line="360" w:lineRule="auto"/>
              <w:ind w:left="32" w:right="739"/>
              <w:jc w:val="right"/>
              <w:rPr>
                <w:rFonts w:ascii="Arial" w:hAnsi="Arial" w:cs="Arial"/>
                <w:color w:val="000000" w:themeColor="text1"/>
              </w:rPr>
            </w:pPr>
            <w:r w:rsidRPr="00870248">
              <w:rPr>
                <w:rFonts w:ascii="Arial" w:hAnsi="Arial" w:cs="Arial"/>
                <w:color w:val="000000" w:themeColor="text1"/>
              </w:rPr>
              <w:t xml:space="preserve">equivalent):  </w:t>
            </w:r>
          </w:p>
        </w:tc>
        <w:tc>
          <w:tcPr>
            <w:tcW w:w="103" w:type="dxa"/>
            <w:tcBorders>
              <w:left w:val="nil"/>
            </w:tcBorders>
          </w:tcPr>
          <w:p w14:paraId="451D336D" w14:textId="77777777" w:rsidR="00B66464" w:rsidRPr="00870248" w:rsidRDefault="00B66464" w:rsidP="00080DA6">
            <w:pPr>
              <w:spacing w:line="360" w:lineRule="auto"/>
              <w:rPr>
                <w:rFonts w:ascii="Arial" w:hAnsi="Arial" w:cs="Arial"/>
                <w:color w:val="000000" w:themeColor="text1"/>
              </w:rPr>
            </w:pPr>
          </w:p>
        </w:tc>
        <w:tc>
          <w:tcPr>
            <w:tcW w:w="2264" w:type="dxa"/>
          </w:tcPr>
          <w:p w14:paraId="0C4AB58B" w14:textId="77777777" w:rsidR="00B66464" w:rsidRPr="00870248" w:rsidRDefault="00B66464" w:rsidP="00080DA6">
            <w:pPr>
              <w:spacing w:line="360" w:lineRule="auto"/>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7632" behindDoc="0" locked="0" layoutInCell="1" allowOverlap="1" wp14:anchorId="7492D5C9" wp14:editId="40206865">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8C1362" id="Freeform 139" o:spid="_x0000_s1026" style="position:absolute;margin-left:0;margin-top:0;width:.5pt;height:.5pt;z-index:251717632;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" path="m,6109r6096,l6096,,,,,6109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718656" behindDoc="0" locked="0" layoutInCell="1" allowOverlap="1" wp14:anchorId="3651C595" wp14:editId="7A15A544">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4434D5" id="Freeform 140" o:spid="_x0000_s1026" style="position:absolute;margin-left:113.4pt;margin-top:0;width:.5pt;height:.5pt;z-index:25171865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" path="m,6109r6096,l6096,,,,,6109xe" fillcolor="black" stroked="f" strokeweight="1pt">
                      <v:stroke joinstyle="miter"/>
                      <v:path arrowok="t"/>
                      <w10:wrap anchorx="page"/>
                    </v:shape>
                  </w:pict>
                </mc:Fallback>
              </mc:AlternateContent>
            </w:r>
            <w:r w:rsidRPr="00870248">
              <w:rPr>
                <w:rFonts w:ascii="Arial" w:hAnsi="Arial" w:cs="Arial"/>
                <w:noProof/>
                <w:color w:val="000000" w:themeColor="text1"/>
              </w:rPr>
              <mc:AlternateContent>
                <mc:Choice Requires="wps">
                  <w:drawing>
                    <wp:anchor distT="0" distB="0" distL="114300" distR="114300" simplePos="0" relativeHeight="251715584" behindDoc="0" locked="0" layoutInCell="1" allowOverlap="1" wp14:anchorId="2B720E20" wp14:editId="5194B52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37624143" w14:textId="4FD53913"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6C30C6">
                                    <w:rPr>
                                      <w:rFonts w:ascii="Arial" w:hAnsi="Arial" w:cs="Arial"/>
                                      <w:color w:val="000000"/>
                                      <w:lang w:val="en-US"/>
                                    </w:rPr>
                                    <w:t>1</w:t>
                                  </w:r>
                                  <w:r w:rsidR="00647C15">
                                    <w:rPr>
                                      <w:rFonts w:ascii="Arial" w:hAnsi="Arial" w:cs="Arial"/>
                                      <w:color w:val="000000"/>
                                      <w:lang w:val="en-US"/>
                                    </w:rPr>
                                    <w:t>9</w:t>
                                  </w:r>
                                  <w:r w:rsidR="006C30C6">
                                    <w:rPr>
                                      <w:rFonts w:ascii="Arial" w:hAnsi="Arial" w:cs="Arial"/>
                                      <w:color w:val="000000"/>
                                      <w:lang w:val="en-US"/>
                                    </w:rPr>
                                    <w:t>6</w:t>
                                  </w:r>
                                  <w:r w:rsidRPr="00543490">
                                    <w:rPr>
                                      <w:rFonts w:ascii="Arial" w:hAnsi="Arial" w:cs="Arial"/>
                                      <w:color w:val="000000"/>
                                      <w:lang w:val="en-US"/>
                                    </w:rPr>
                                    <w:t xml:space="preserve"> words</w:t>
                                  </w:r>
                                </w:p>
                              </w:txbxContent>
                            </wps:txbx>
                            <wps:bodyPr wrap="square" lIns="0" tIns="0" rIns="0" bIns="0"/>
                          </wps:wsp>
                        </a:graphicData>
                      </a:graphic>
                    </wp:anchor>
                  </w:drawing>
                </mc:Choice>
                <mc:Fallback>
                  <w:pict>
                    <v:shape w14:anchorId="2B720E20" id="Freeform 141" o:spid="_x0000_s1028" style="position:absolute;margin-left:5.65pt;margin-top:5.15pt;width:114.65pt;height:37.55pt;z-index:25171558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" adj="-11796480,,5400" path="al10800,10800@8@8@4@6,10800,10800,10800,10800@9@7l@30@31@17@18@24@25@15@16@32@33xe" filled="f" strokecolor="red" strokeweight="1pt">
                      <v:stroke miterlimit="83231f" joinstyle="miter"/>
                      <v:formulas/>
                      <v:path arrowok="t" o:connecttype="custom" textboxrect="@1,@1,@1,@1"/>
                      <v:textbox inset="0,0,0,0">
                        <w:txbxContent>
                          <w:p w14:paraId="37624143" w14:textId="4FD53913" w:rsidR="00B66464" w:rsidRPr="00543490" w:rsidRDefault="00B66464" w:rsidP="00A40993">
                            <w:pPr>
                              <w:spacing w:line="254" w:lineRule="exact"/>
                              <w:rPr>
                                <w:rFonts w:ascii="Times New Roman" w:hAnsi="Times New Roman" w:cs="Times New Roman"/>
                                <w:color w:val="010302"/>
                              </w:rPr>
                            </w:pPr>
                            <w:r w:rsidRPr="00543490">
                              <w:rPr>
                                <w:rFonts w:ascii="Arial" w:hAnsi="Arial" w:cs="Arial"/>
                                <w:color w:val="000000"/>
                                <w:lang w:val="en-US"/>
                              </w:rPr>
                              <w:t xml:space="preserve"> </w:t>
                            </w:r>
                            <w:r w:rsidR="0008682D">
                              <w:rPr>
                                <w:rFonts w:ascii="Arial" w:hAnsi="Arial" w:cs="Arial"/>
                                <w:color w:val="000000"/>
                                <w:lang w:val="en-US"/>
                              </w:rPr>
                              <w:t>2</w:t>
                            </w:r>
                            <w:r w:rsidR="006C30C6">
                              <w:rPr>
                                <w:rFonts w:ascii="Arial" w:hAnsi="Arial" w:cs="Arial"/>
                                <w:color w:val="000000"/>
                                <w:lang w:val="en-US"/>
                              </w:rPr>
                              <w:t>1</w:t>
                            </w:r>
                            <w:r w:rsidR="00647C15">
                              <w:rPr>
                                <w:rFonts w:ascii="Arial" w:hAnsi="Arial" w:cs="Arial"/>
                                <w:color w:val="000000"/>
                                <w:lang w:val="en-US"/>
                              </w:rPr>
                              <w:t>9</w:t>
                            </w:r>
                            <w:r w:rsidR="006C30C6">
                              <w:rPr>
                                <w:rFonts w:ascii="Arial" w:hAnsi="Arial" w:cs="Arial"/>
                                <w:color w:val="000000"/>
                                <w:lang w:val="en-US"/>
                              </w:rPr>
                              <w:t>6</w:t>
                            </w:r>
                            <w:r w:rsidRPr="00543490">
                              <w:rPr>
                                <w:rFonts w:ascii="Arial" w:hAnsi="Arial" w:cs="Arial"/>
                                <w:color w:val="000000"/>
                                <w:lang w:val="en-US"/>
                              </w:rPr>
                              <w:t xml:space="preserve"> words</w:t>
                            </w:r>
                          </w:p>
                        </w:txbxContent>
                      </v:textbox>
                      <w10:wrap anchorx="page"/>
                    </v:shape>
                  </w:pict>
                </mc:Fallback>
              </mc:AlternateContent>
            </w:r>
          </w:p>
        </w:tc>
      </w:tr>
      <w:tr w:rsidR="00870248" w:rsidRPr="00870248" w14:paraId="56B4379E" w14:textId="77777777" w:rsidTr="00A40993">
        <w:trPr>
          <w:trHeight w:hRule="exact" w:val="2480"/>
        </w:trPr>
        <w:tc>
          <w:tcPr>
            <w:tcW w:w="2080" w:type="dxa"/>
          </w:tcPr>
          <w:p w14:paraId="47718420" w14:textId="77777777" w:rsidR="00B66464" w:rsidRPr="00870248" w:rsidRDefault="00B66464" w:rsidP="00080DA6">
            <w:pPr>
              <w:spacing w:before="103" w:after="1828" w:line="360" w:lineRule="auto"/>
              <w:ind w:left="84" w:right="634"/>
              <w:rPr>
                <w:rFonts w:ascii="Arial" w:hAnsi="Arial" w:cs="Arial"/>
                <w:color w:val="000000" w:themeColor="text1"/>
              </w:rPr>
            </w:pPr>
            <w:r w:rsidRPr="00870248">
              <w:rPr>
                <w:rFonts w:ascii="Arial" w:hAnsi="Arial" w:cs="Arial"/>
                <w:noProof/>
                <w:color w:val="000000" w:themeColor="text1"/>
              </w:rPr>
              <mc:AlternateContent>
                <mc:Choice Requires="wps">
                  <w:drawing>
                    <wp:anchor distT="0" distB="0" distL="114300" distR="114300" simplePos="0" relativeHeight="251719680" behindDoc="0" locked="0" layoutInCell="1" allowOverlap="1" wp14:anchorId="50F720C4" wp14:editId="33B0D97E">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193FFA7" id="Freeform 142" o:spid="_x0000_s1026" style="position:absolute;margin-left:-.5pt;margin-top:.45pt;width:.5pt;height:.5pt;z-index:251719680;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" path="m,6109r6108,l6108,,,,,6109xe" fillcolor="black" stroked="f" strokeweight="1pt">
                      <v:stroke joinstyle="miter"/>
                      <v:path arrowok="t"/>
                      <w10:wrap anchorx="page" anchory="line"/>
                    </v:shape>
                  </w:pict>
                </mc:Fallback>
              </mc:AlternateContent>
            </w:r>
            <w:r w:rsidRPr="00870248">
              <w:rPr>
                <w:rFonts w:ascii="Arial" w:hAnsi="Arial" w:cs="Arial"/>
                <w:color w:val="000000" w:themeColor="text1"/>
              </w:rPr>
              <w:t xml:space="preserve">Submission deadline:  </w:t>
            </w:r>
          </w:p>
        </w:tc>
        <w:tc>
          <w:tcPr>
            <w:tcW w:w="3286" w:type="dxa"/>
          </w:tcPr>
          <w:p w14:paraId="3BB70ADC" w14:textId="77777777" w:rsidR="007128A5" w:rsidRPr="00870248" w:rsidRDefault="007128A5" w:rsidP="007128A5">
            <w:pPr>
              <w:autoSpaceDE w:val="0"/>
              <w:autoSpaceDN w:val="0"/>
              <w:adjustRightInd w:val="0"/>
              <w:spacing w:line="366" w:lineRule="auto"/>
              <w:rPr>
                <w:rFonts w:ascii="Arial" w:hAnsi="Arial" w:cs="Arial"/>
                <w:color w:val="000000" w:themeColor="text1"/>
              </w:rPr>
            </w:pPr>
            <w:r w:rsidRPr="00870248">
              <w:rPr>
                <w:rFonts w:ascii="Arial" w:hAnsi="Arial" w:cs="Arial"/>
                <w:color w:val="000000" w:themeColor="text1"/>
              </w:rPr>
              <w:t>Friday 31st July  2026 14:00 (2:00PM)</w:t>
            </w:r>
          </w:p>
          <w:p w14:paraId="5690D77A" w14:textId="01E2CF9E" w:rsidR="00B66464" w:rsidRPr="00870248" w:rsidRDefault="00B66464" w:rsidP="00080DA6">
            <w:pPr>
              <w:spacing w:before="40" w:after="83" w:line="360" w:lineRule="auto"/>
              <w:ind w:left="90" w:right="-18"/>
              <w:rPr>
                <w:rFonts w:ascii="Arial" w:hAnsi="Arial" w:cs="Arial"/>
                <w:color w:val="000000" w:themeColor="text1"/>
              </w:rPr>
            </w:pPr>
          </w:p>
        </w:tc>
        <w:tc>
          <w:tcPr>
            <w:tcW w:w="112" w:type="dxa"/>
            <w:tcBorders>
              <w:right w:val="nil"/>
            </w:tcBorders>
          </w:tcPr>
          <w:p w14:paraId="0DA75943" w14:textId="77777777" w:rsidR="00B66464" w:rsidRPr="00870248" w:rsidRDefault="00B66464" w:rsidP="00080DA6">
            <w:pPr>
              <w:spacing w:line="360" w:lineRule="auto"/>
              <w:rPr>
                <w:rFonts w:ascii="Arial" w:hAnsi="Arial" w:cs="Arial"/>
                <w:color w:val="000000" w:themeColor="text1"/>
              </w:rPr>
            </w:pPr>
          </w:p>
        </w:tc>
        <w:tc>
          <w:tcPr>
            <w:tcW w:w="2049" w:type="dxa"/>
            <w:tcBorders>
              <w:left w:val="nil"/>
              <w:right w:val="nil"/>
            </w:tcBorders>
          </w:tcPr>
          <w:p w14:paraId="68180F11" w14:textId="77777777" w:rsidR="00B66464" w:rsidRPr="00870248" w:rsidRDefault="00B66464" w:rsidP="00080DA6">
            <w:pPr>
              <w:tabs>
                <w:tab w:val="left" w:pos="1053"/>
                <w:tab w:val="left" w:pos="1848"/>
              </w:tabs>
              <w:spacing w:before="103" w:after="1576" w:line="360" w:lineRule="auto"/>
              <w:ind w:right="-98"/>
              <w:jc w:val="both"/>
              <w:rPr>
                <w:rFonts w:ascii="Arial" w:hAnsi="Arial" w:cs="Arial"/>
                <w:color w:val="000000" w:themeColor="text1"/>
              </w:rPr>
            </w:pPr>
            <w:r w:rsidRPr="00870248">
              <w:rPr>
                <w:rFonts w:ascii="Arial" w:hAnsi="Arial" w:cs="Arial"/>
                <w:color w:val="000000" w:themeColor="text1"/>
              </w:rPr>
              <w:t xml:space="preserve">Return </w:t>
            </w:r>
            <w:r w:rsidRPr="00870248">
              <w:rPr>
                <w:rFonts w:ascii="Arial" w:hAnsi="Arial" w:cs="Arial"/>
                <w:color w:val="000000" w:themeColor="text1"/>
              </w:rPr>
              <w:tab/>
              <w:t xml:space="preserve">date </w:t>
            </w:r>
            <w:r w:rsidRPr="00870248">
              <w:rPr>
                <w:rFonts w:ascii="Arial" w:hAnsi="Arial" w:cs="Arial"/>
                <w:color w:val="000000" w:themeColor="text1"/>
              </w:rPr>
              <w:tab/>
            </w:r>
            <w:r w:rsidRPr="00870248">
              <w:rPr>
                <w:rFonts w:ascii="Arial" w:hAnsi="Arial" w:cs="Arial"/>
                <w:color w:val="000000" w:themeColor="text1"/>
                <w:spacing w:val="-3"/>
              </w:rPr>
              <w:t>of</w:t>
            </w:r>
            <w:r w:rsidRPr="00870248">
              <w:rPr>
                <w:rFonts w:ascii="Arial" w:hAnsi="Arial" w:cs="Arial"/>
                <w:color w:val="000000" w:themeColor="text1"/>
              </w:rPr>
              <w:t xml:space="preserve"> provisional</w:t>
            </w:r>
            <w:r w:rsidRPr="00870248">
              <w:rPr>
                <w:rFonts w:ascii="Arial" w:hAnsi="Arial" w:cs="Arial"/>
                <w:color w:val="000000" w:themeColor="text1"/>
                <w:spacing w:val="14"/>
              </w:rPr>
              <w:t xml:space="preserve">   </w:t>
            </w:r>
            <w:r w:rsidRPr="00870248">
              <w:rPr>
                <w:rFonts w:ascii="Arial" w:hAnsi="Arial" w:cs="Arial"/>
                <w:color w:val="000000" w:themeColor="text1"/>
                <w:spacing w:val="-1"/>
              </w:rPr>
              <w:t>marks</w:t>
            </w:r>
            <w:r w:rsidRPr="00870248">
              <w:rPr>
                <w:rFonts w:ascii="Arial" w:hAnsi="Arial" w:cs="Arial"/>
                <w:color w:val="000000" w:themeColor="text1"/>
              </w:rPr>
              <w:t xml:space="preserve"> &amp; written feedback: </w:t>
            </w:r>
          </w:p>
        </w:tc>
        <w:tc>
          <w:tcPr>
            <w:tcW w:w="103" w:type="dxa"/>
            <w:tcBorders>
              <w:left w:val="nil"/>
            </w:tcBorders>
          </w:tcPr>
          <w:p w14:paraId="7E06F40F" w14:textId="77777777" w:rsidR="00B66464" w:rsidRPr="00870248" w:rsidRDefault="00B66464" w:rsidP="00080DA6">
            <w:pPr>
              <w:spacing w:line="360" w:lineRule="auto"/>
              <w:rPr>
                <w:rFonts w:ascii="Arial" w:hAnsi="Arial" w:cs="Arial"/>
                <w:color w:val="000000" w:themeColor="text1"/>
              </w:rPr>
            </w:pPr>
          </w:p>
        </w:tc>
        <w:tc>
          <w:tcPr>
            <w:tcW w:w="2264" w:type="dxa"/>
          </w:tcPr>
          <w:p w14:paraId="2F92D3B8" w14:textId="77777777" w:rsidR="007128A5" w:rsidRPr="00870248" w:rsidRDefault="007128A5" w:rsidP="007128A5">
            <w:pPr>
              <w:autoSpaceDE w:val="0"/>
              <w:autoSpaceDN w:val="0"/>
              <w:adjustRightInd w:val="0"/>
              <w:rPr>
                <w:rFonts w:ascii="Arial" w:hAnsi="Arial" w:cs="Arial"/>
                <w:color w:val="000000" w:themeColor="text1"/>
              </w:rPr>
            </w:pPr>
            <w:r w:rsidRPr="00870248">
              <w:rPr>
                <w:rFonts w:ascii="Arial" w:hAnsi="Arial" w:cs="Arial"/>
                <w:color w:val="000000" w:themeColor="text1"/>
              </w:rPr>
              <w:t>28-Aug-26</w:t>
            </w:r>
          </w:p>
          <w:p w14:paraId="6BCDF170" w14:textId="085F224B" w:rsidR="00B66464" w:rsidRPr="00870248" w:rsidRDefault="00B66464" w:rsidP="00080DA6">
            <w:pPr>
              <w:spacing w:before="103" w:after="2082" w:line="360" w:lineRule="auto"/>
              <w:ind w:left="93" w:right="-18"/>
              <w:rPr>
                <w:rFonts w:ascii="Arial" w:hAnsi="Arial" w:cs="Arial"/>
                <w:color w:val="000000" w:themeColor="text1"/>
              </w:rPr>
            </w:pPr>
          </w:p>
        </w:tc>
      </w:tr>
    </w:tbl>
    <w:p w14:paraId="26464116" w14:textId="77777777" w:rsidR="00A40993" w:rsidRPr="00870248" w:rsidRDefault="00A40993" w:rsidP="00080DA6">
      <w:pPr>
        <w:spacing w:line="360" w:lineRule="auto"/>
        <w:rPr>
          <w:rFonts w:ascii="Arial" w:hAnsi="Arial" w:cs="Arial"/>
          <w:color w:val="000000" w:themeColor="text1"/>
        </w:rPr>
      </w:pPr>
    </w:p>
    <w:p w14:paraId="7AED1202" w14:textId="77777777" w:rsidR="00A40993" w:rsidRPr="00870248" w:rsidRDefault="00A40993" w:rsidP="00080DA6">
      <w:pPr>
        <w:spacing w:line="360" w:lineRule="auto"/>
        <w:rPr>
          <w:rFonts w:ascii="Arial" w:hAnsi="Arial" w:cs="Arial"/>
          <w:color w:val="000000" w:themeColor="text1"/>
        </w:rPr>
      </w:pPr>
    </w:p>
    <w:p w14:paraId="60417FA3" w14:textId="77777777" w:rsidR="00A40993" w:rsidRPr="00870248" w:rsidRDefault="00A40993" w:rsidP="00080DA6">
      <w:pPr>
        <w:spacing w:line="360" w:lineRule="auto"/>
        <w:rPr>
          <w:rFonts w:ascii="Arial" w:hAnsi="Arial" w:cs="Arial"/>
          <w:color w:val="000000" w:themeColor="text1"/>
        </w:rPr>
      </w:pPr>
    </w:p>
    <w:p w14:paraId="33417F7F" w14:textId="77777777" w:rsidR="00A40993" w:rsidRPr="00870248" w:rsidRDefault="00A40993" w:rsidP="00080DA6">
      <w:pPr>
        <w:spacing w:line="360" w:lineRule="auto"/>
        <w:rPr>
          <w:rFonts w:ascii="Arial" w:hAnsi="Arial" w:cs="Arial"/>
          <w:color w:val="000000" w:themeColor="text1"/>
        </w:rPr>
      </w:pPr>
    </w:p>
    <w:p w14:paraId="07DBE4D8" w14:textId="77777777" w:rsidR="00A40993" w:rsidRPr="00870248" w:rsidRDefault="00A40993" w:rsidP="00080DA6">
      <w:pPr>
        <w:spacing w:line="360" w:lineRule="auto"/>
        <w:rPr>
          <w:rFonts w:ascii="Arial" w:hAnsi="Arial" w:cs="Arial"/>
          <w:color w:val="000000" w:themeColor="text1"/>
        </w:rPr>
      </w:pPr>
    </w:p>
    <w:p w14:paraId="4CFBA4F6" w14:textId="77777777" w:rsidR="00A40993" w:rsidRPr="00870248" w:rsidRDefault="00A40993" w:rsidP="00080DA6">
      <w:pPr>
        <w:spacing w:line="360" w:lineRule="auto"/>
        <w:rPr>
          <w:rFonts w:ascii="Arial" w:hAnsi="Arial" w:cs="Arial"/>
          <w:color w:val="000000" w:themeColor="text1"/>
        </w:rPr>
      </w:pPr>
    </w:p>
    <w:p w14:paraId="734C3E0B" w14:textId="77777777" w:rsidR="00A40993" w:rsidRPr="00870248" w:rsidRDefault="00A40993" w:rsidP="00080DA6">
      <w:pPr>
        <w:spacing w:line="360" w:lineRule="auto"/>
        <w:rPr>
          <w:rFonts w:ascii="Arial" w:hAnsi="Arial" w:cs="Arial"/>
          <w:color w:val="000000" w:themeColor="text1"/>
        </w:rPr>
      </w:pPr>
    </w:p>
    <w:p w14:paraId="2D5481CB" w14:textId="77777777" w:rsidR="00A40993" w:rsidRPr="00870248" w:rsidRDefault="00A40993" w:rsidP="00080DA6">
      <w:pPr>
        <w:spacing w:line="360" w:lineRule="auto"/>
        <w:rPr>
          <w:rFonts w:ascii="Arial" w:hAnsi="Arial" w:cs="Arial"/>
          <w:color w:val="000000" w:themeColor="text1"/>
        </w:rPr>
      </w:pPr>
    </w:p>
    <w:p w14:paraId="2008C228" w14:textId="77777777" w:rsidR="00A40993" w:rsidRPr="00870248" w:rsidRDefault="00A40993" w:rsidP="00080DA6">
      <w:pPr>
        <w:spacing w:line="360" w:lineRule="auto"/>
        <w:rPr>
          <w:rFonts w:ascii="Arial" w:hAnsi="Arial" w:cs="Arial"/>
          <w:color w:val="000000" w:themeColor="text1"/>
        </w:rPr>
      </w:pPr>
    </w:p>
    <w:p w14:paraId="0015E6AB" w14:textId="77777777" w:rsidR="00080DA6" w:rsidRPr="00870248" w:rsidRDefault="00080DA6" w:rsidP="00080DA6">
      <w:pPr>
        <w:spacing w:line="360" w:lineRule="auto"/>
        <w:jc w:val="center"/>
        <w:rPr>
          <w:rFonts w:ascii="Arial" w:hAnsi="Arial" w:cs="Arial"/>
          <w:noProof/>
          <w:color w:val="000000" w:themeColor="text1"/>
        </w:rPr>
      </w:pPr>
    </w:p>
    <w:p w14:paraId="2C5CD0FB" w14:textId="32DC79E4" w:rsidR="00543490" w:rsidRPr="00870248" w:rsidRDefault="00543490" w:rsidP="00080DA6">
      <w:pPr>
        <w:spacing w:line="360" w:lineRule="auto"/>
        <w:jc w:val="center"/>
        <w:rPr>
          <w:rFonts w:ascii="Arial" w:hAnsi="Arial" w:cs="Arial"/>
          <w:color w:val="000000" w:themeColor="text1"/>
        </w:rPr>
      </w:pPr>
      <w:r w:rsidRPr="00870248">
        <w:rPr>
          <w:rFonts w:ascii="Arial" w:hAnsi="Arial" w:cs="Arial"/>
          <w:color w:val="000000" w:themeColor="text1"/>
        </w:rPr>
        <w:t xml:space="preserve">TABLE OF CONTENTS </w:t>
      </w:r>
    </w:p>
    <w:p w14:paraId="7A80475A"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Introduction</w:t>
      </w:r>
    </w:p>
    <w:p w14:paraId="263E31FE"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1 – Defining Key Concepts in Practice</w:t>
      </w:r>
    </w:p>
    <w:p w14:paraId="3B10A62E"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2 – Mind Map</w:t>
      </w:r>
    </w:p>
    <w:p w14:paraId="08C40270"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3 – Self-Reflection on Group Activity</w:t>
      </w:r>
    </w:p>
    <w:p w14:paraId="629E405A"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4 – Case Study Analysis of a UK Innovation</w:t>
      </w:r>
    </w:p>
    <w:p w14:paraId="6C17A957"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5 – Research Task</w:t>
      </w:r>
    </w:p>
    <w:p w14:paraId="62C856FB"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6 – Exploring Digital Innovation in Health and Social Care</w:t>
      </w:r>
    </w:p>
    <w:p w14:paraId="3ABDB612"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7 – Understanding the NHS Leadership Framework</w:t>
      </w:r>
    </w:p>
    <w:p w14:paraId="1AFEB70B"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Task 8 – Self-Reflection Journal Entry</w:t>
      </w:r>
    </w:p>
    <w:p w14:paraId="38C0E70E" w14:textId="77777777" w:rsidR="00EB27BF" w:rsidRPr="00870248" w:rsidRDefault="00EB27BF" w:rsidP="00EB27BF">
      <w:pPr>
        <w:pStyle w:val="NormalWeb"/>
        <w:rPr>
          <w:rFonts w:ascii="Arial" w:hAnsi="Arial" w:cs="Arial"/>
          <w:color w:val="000000" w:themeColor="text1"/>
          <w:sz w:val="22"/>
          <w:szCs w:val="22"/>
        </w:rPr>
      </w:pPr>
      <w:r w:rsidRPr="00870248">
        <w:rPr>
          <w:rFonts w:ascii="Arial" w:hAnsi="Arial" w:cs="Arial"/>
          <w:color w:val="000000" w:themeColor="text1"/>
          <w:sz w:val="22"/>
          <w:szCs w:val="22"/>
        </w:rPr>
        <w:t>Reference List</w:t>
      </w:r>
    </w:p>
    <w:p w14:paraId="4EB4D94D" w14:textId="6FC2D352" w:rsidR="00543490" w:rsidRPr="00870248" w:rsidRDefault="00484A89" w:rsidP="00F8448C">
      <w:pPr>
        <w:spacing w:after="0" w:line="360" w:lineRule="auto"/>
        <w:rPr>
          <w:rFonts w:ascii="Arial" w:hAnsi="Arial" w:cs="Arial"/>
          <w:color w:val="000000" w:themeColor="text1"/>
        </w:rPr>
      </w:pPr>
      <w:r w:rsidRPr="00870248">
        <w:rPr>
          <w:rFonts w:ascii="Arial" w:eastAsia="Times New Roman" w:hAnsi="Arial" w:cs="Arial"/>
          <w:color w:val="000000" w:themeColor="text1"/>
          <w:kern w:val="0"/>
          <w:lang w:eastAsia="en-GB"/>
          <w14:ligatures w14:val="none"/>
        </w:rPr>
        <w:t xml:space="preserve"> </w:t>
      </w:r>
    </w:p>
    <w:p w14:paraId="73BE5506" w14:textId="77777777" w:rsidR="00543490" w:rsidRPr="00870248" w:rsidRDefault="00543490" w:rsidP="00080DA6">
      <w:pPr>
        <w:spacing w:line="360" w:lineRule="auto"/>
        <w:jc w:val="center"/>
        <w:rPr>
          <w:rFonts w:ascii="Arial" w:hAnsi="Arial" w:cs="Arial"/>
          <w:color w:val="000000" w:themeColor="text1"/>
        </w:rPr>
      </w:pPr>
    </w:p>
    <w:p w14:paraId="42357B27" w14:textId="77777777" w:rsidR="00B7010C" w:rsidRPr="00870248" w:rsidRDefault="00B7010C" w:rsidP="00080DA6">
      <w:pPr>
        <w:spacing w:line="360" w:lineRule="auto"/>
        <w:rPr>
          <w:rFonts w:ascii="Arial" w:hAnsi="Arial" w:cs="Arial"/>
          <w:color w:val="000000" w:themeColor="text1"/>
        </w:rPr>
      </w:pPr>
    </w:p>
    <w:p w14:paraId="7169F9EB" w14:textId="77777777" w:rsidR="00B7010C" w:rsidRPr="00870248" w:rsidRDefault="00B7010C" w:rsidP="00080DA6">
      <w:pPr>
        <w:spacing w:line="360" w:lineRule="auto"/>
        <w:rPr>
          <w:rFonts w:ascii="Arial" w:hAnsi="Arial" w:cs="Arial"/>
          <w:color w:val="000000" w:themeColor="text1"/>
        </w:rPr>
      </w:pPr>
    </w:p>
    <w:p w14:paraId="6FF295EC" w14:textId="77777777" w:rsidR="00543490" w:rsidRPr="00870248" w:rsidRDefault="00543490" w:rsidP="00080DA6">
      <w:pPr>
        <w:spacing w:line="360" w:lineRule="auto"/>
        <w:rPr>
          <w:rFonts w:ascii="Arial" w:hAnsi="Arial" w:cs="Arial"/>
          <w:color w:val="000000" w:themeColor="text1"/>
        </w:rPr>
      </w:pPr>
    </w:p>
    <w:p w14:paraId="4F7C0C37" w14:textId="77777777" w:rsidR="00543490" w:rsidRPr="00870248" w:rsidRDefault="00543490" w:rsidP="00080DA6">
      <w:pPr>
        <w:spacing w:line="360" w:lineRule="auto"/>
        <w:rPr>
          <w:rFonts w:ascii="Arial" w:hAnsi="Arial" w:cs="Arial"/>
          <w:color w:val="000000" w:themeColor="text1"/>
        </w:rPr>
      </w:pPr>
    </w:p>
    <w:p w14:paraId="06A61843" w14:textId="77777777" w:rsidR="00543490" w:rsidRPr="00870248" w:rsidRDefault="00543490" w:rsidP="00080DA6">
      <w:pPr>
        <w:spacing w:line="360" w:lineRule="auto"/>
        <w:rPr>
          <w:rFonts w:ascii="Arial" w:hAnsi="Arial" w:cs="Arial"/>
          <w:color w:val="000000" w:themeColor="text1"/>
        </w:rPr>
      </w:pPr>
    </w:p>
    <w:p w14:paraId="1552656F" w14:textId="3679E489" w:rsidR="00543490" w:rsidRPr="00870248" w:rsidRDefault="00543490" w:rsidP="00080DA6">
      <w:pPr>
        <w:spacing w:line="360" w:lineRule="auto"/>
        <w:rPr>
          <w:rFonts w:ascii="Arial" w:hAnsi="Arial" w:cs="Arial"/>
          <w:color w:val="000000" w:themeColor="text1"/>
        </w:rPr>
      </w:pPr>
    </w:p>
    <w:p w14:paraId="7D411DC7" w14:textId="46205C78" w:rsidR="00D429DC" w:rsidRPr="00870248" w:rsidRDefault="00D429DC" w:rsidP="00080DA6">
      <w:pPr>
        <w:spacing w:line="360" w:lineRule="auto"/>
        <w:rPr>
          <w:rFonts w:ascii="Arial" w:hAnsi="Arial" w:cs="Arial"/>
          <w:color w:val="000000" w:themeColor="text1"/>
        </w:rPr>
      </w:pPr>
    </w:p>
    <w:p w14:paraId="62884720" w14:textId="211D872B" w:rsidR="00D429DC" w:rsidRPr="00870248" w:rsidRDefault="00D429DC" w:rsidP="00080DA6">
      <w:pPr>
        <w:spacing w:line="360" w:lineRule="auto"/>
        <w:rPr>
          <w:rFonts w:ascii="Arial" w:hAnsi="Arial" w:cs="Arial"/>
          <w:color w:val="000000" w:themeColor="text1"/>
        </w:rPr>
      </w:pPr>
    </w:p>
    <w:p w14:paraId="04D74FB8" w14:textId="531A0A2D" w:rsidR="00D429DC" w:rsidRPr="00870248" w:rsidRDefault="00D429DC" w:rsidP="00080DA6">
      <w:pPr>
        <w:spacing w:line="360" w:lineRule="auto"/>
        <w:rPr>
          <w:rFonts w:ascii="Arial" w:hAnsi="Arial" w:cs="Arial"/>
          <w:color w:val="000000" w:themeColor="text1"/>
        </w:rPr>
      </w:pPr>
    </w:p>
    <w:p w14:paraId="2905535D" w14:textId="4C5BE9A8" w:rsidR="00D429DC" w:rsidRPr="00870248" w:rsidRDefault="00D429DC" w:rsidP="00080DA6">
      <w:pPr>
        <w:spacing w:line="360" w:lineRule="auto"/>
        <w:rPr>
          <w:rFonts w:ascii="Arial" w:hAnsi="Arial" w:cs="Arial"/>
          <w:color w:val="000000" w:themeColor="text1"/>
        </w:rPr>
      </w:pPr>
    </w:p>
    <w:p w14:paraId="279C70EF" w14:textId="77777777" w:rsidR="00D429DC" w:rsidRPr="001B4A5F" w:rsidRDefault="00D429DC" w:rsidP="00D429DC">
      <w:pPr>
        <w:pStyle w:val="Titlu1"/>
        <w:rPr>
          <w:rFonts w:ascii="Arial" w:hAnsi="Arial" w:cs="Arial"/>
          <w:color w:val="000000" w:themeColor="text1"/>
          <w:sz w:val="22"/>
          <w:szCs w:val="22"/>
        </w:rPr>
      </w:pPr>
      <w:r w:rsidRPr="001B4A5F">
        <w:rPr>
          <w:rStyle w:val="Robust"/>
          <w:rFonts w:ascii="Arial" w:hAnsi="Arial" w:cs="Arial"/>
          <w:color w:val="000000" w:themeColor="text1"/>
          <w:sz w:val="22"/>
          <w:szCs w:val="22"/>
        </w:rPr>
        <w:t>1. Introduction</w:t>
      </w:r>
    </w:p>
    <w:p w14:paraId="53A5B6FD" w14:textId="77777777" w:rsidR="00870248" w:rsidRPr="00870248" w:rsidRDefault="00870248" w:rsidP="00A05349">
      <w:pPr>
        <w:pStyle w:val="Titlu2"/>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This portfolio considers ways in which creativity, innovation, value creation and effective leadership can help promote the improvement of health and social care. It blends theory with real-world instances of staff burnout, virtual wards, digital health technologies and the NHS Healthcare Leadership Model. The conversation critically explores both the potential benefits and constraints of innovation including patient safety, digital inequality and implementation issues. Reflective parts also reflect on how this learning will potentially impact on my teamwork, decision-making and future professional practice.</w:t>
      </w:r>
    </w:p>
    <w:p w14:paraId="515278DE" w14:textId="08056FFB" w:rsidR="00A05349" w:rsidRPr="001B4A5F" w:rsidRDefault="00A05349" w:rsidP="00A05349">
      <w:pPr>
        <w:pStyle w:val="Titlu2"/>
        <w:rPr>
          <w:rFonts w:ascii="Arial" w:hAnsi="Arial" w:cs="Arial"/>
          <w:b/>
          <w:bCs/>
          <w:color w:val="000000" w:themeColor="text1"/>
          <w:sz w:val="22"/>
          <w:szCs w:val="22"/>
        </w:rPr>
      </w:pPr>
      <w:r w:rsidRPr="001B4A5F">
        <w:rPr>
          <w:rFonts w:ascii="Arial" w:hAnsi="Arial" w:cs="Arial"/>
          <w:b/>
          <w:bCs/>
          <w:color w:val="000000" w:themeColor="text1"/>
          <w:sz w:val="22"/>
          <w:szCs w:val="22"/>
        </w:rPr>
        <w:t>Task 1 – Defining Key Concepts in Practice</w:t>
      </w:r>
    </w:p>
    <w:p w14:paraId="3D9F2798" w14:textId="2BA0AD18" w:rsidR="00870248" w:rsidRPr="00870248" w:rsidRDefault="00870248" w:rsidP="001B4A5F">
      <w:pPr>
        <w:pStyle w:val="Titlu3"/>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Health and social care institutions function in complicated contexts, influenced by changing population requirements, workforce challenges, technological innovations and limited resources. Therefore, the understanding of innovation, creativity, value creation and change is important in developing services responsibly.</w:t>
      </w:r>
      <w:r w:rsidR="001B4A5F">
        <w:rPr>
          <w:rFonts w:ascii="Arial" w:hAnsi="Arial" w:cs="Arial"/>
          <w:color w:val="000000" w:themeColor="text1"/>
          <w:sz w:val="22"/>
          <w:szCs w:val="22"/>
          <w:shd w:val="clear" w:color="auto" w:fill="FFFFFF"/>
        </w:rPr>
        <w:t xml:space="preserve">                                                        </w:t>
      </w:r>
      <w:r w:rsidRPr="00870248">
        <w:rPr>
          <w:rFonts w:ascii="Arial" w:hAnsi="Arial" w:cs="Arial"/>
          <w:color w:val="000000" w:themeColor="text1"/>
          <w:sz w:val="22"/>
          <w:szCs w:val="22"/>
          <w:shd w:val="clear" w:color="auto" w:fill="FFFFFF"/>
        </w:rPr>
        <w:br/>
        <w:t xml:space="preserve">Innovation refers to the adoption and use of an idea, technique or technology that is viewed as innovative in a certain situation (Rogers, 2003). It varies from invention in that a concept becomes an innovation only when it is put to use and brings about significant improvement. Innovation in health and social care can enhance access, safety and efficiency. NHS virtual wards allow patients who meet the criteria to be monitored at a hospital level in their own homes. Rogers’ Diffusion of Innovations Theory states that adoption depends largely on perceived advantage, compatibility and convenience of use. </w:t>
      </w:r>
      <w:r w:rsidRPr="00870248">
        <w:rPr>
          <w:rFonts w:ascii="Arial" w:hAnsi="Arial" w:cs="Arial"/>
          <w:color w:val="000000" w:themeColor="text1"/>
          <w:sz w:val="22"/>
          <w:szCs w:val="22"/>
          <w:shd w:val="clear" w:color="auto" w:fill="FFFFFF"/>
        </w:rPr>
        <w:br/>
        <w:t>Creativity.</w:t>
      </w:r>
      <w:r w:rsidRPr="00870248">
        <w:rPr>
          <w:rFonts w:ascii="Arial" w:hAnsi="Arial" w:cs="Arial"/>
          <w:color w:val="000000" w:themeColor="text1"/>
          <w:sz w:val="22"/>
          <w:szCs w:val="22"/>
          <w:shd w:val="clear" w:color="auto" w:fill="FFFFFF"/>
        </w:rPr>
        <w:br/>
        <w:t>Creativity is the creation of ideas that are both new and appropriate (Amabile, 1996). It allows practitioners to question conventional ways of working and to respond flexibly to complicated service-user needs. For example, a multidisciplinary team might involve patients, carers, pharmacists and community services earlier in the redesign of discharge planning. According to Amabile’s Componential Theory, creativity is the function of domain competence, creative-thinking skills and intrinsic desire. But creativity in care is not about free-for-all experimentation, ideas need to be ethical, evidence-informed and consistent with safeguarding duties.</w:t>
      </w:r>
      <w:r w:rsidRPr="00870248">
        <w:rPr>
          <w:rFonts w:ascii="Arial" w:hAnsi="Arial" w:cs="Arial"/>
          <w:color w:val="000000" w:themeColor="text1"/>
          <w:sz w:val="22"/>
          <w:szCs w:val="22"/>
          <w:shd w:val="clear" w:color="auto" w:fill="FFFFFF"/>
        </w:rPr>
        <w:br/>
        <w:t>Value generation</w:t>
      </w:r>
      <w:r w:rsidRPr="00870248">
        <w:rPr>
          <w:rFonts w:ascii="Arial" w:hAnsi="Arial" w:cs="Arial"/>
          <w:color w:val="000000" w:themeColor="text1"/>
          <w:sz w:val="22"/>
          <w:szCs w:val="22"/>
          <w:shd w:val="clear" w:color="auto" w:fill="FFFFFF"/>
        </w:rPr>
        <w:br/>
        <w:t>Value creation is about creating outcomes that are important to service consumers with appropriately accessible resources. Health care value is defined by Porter (2010) as the patient outcomes relative to the expenses of delivering those outcomes. For example, an integrated falls-prevention approach could result in increased mobility and independence and fewer emergency hospitalizations. Why is this important? It focuses attention beyond activity levels on meaningful outcomes. Porter’s outcome-to-cost formulation may be too restrictive for social care, where dignity, autonomy, connections and prevention may be difficult to assess. Therefore value should be co-defined with service consumers and not be evaluated exclusively by financial criteria.</w:t>
      </w:r>
      <w:r w:rsidRPr="00870248">
        <w:rPr>
          <w:rFonts w:ascii="Arial" w:hAnsi="Arial" w:cs="Arial"/>
          <w:color w:val="000000" w:themeColor="text1"/>
          <w:sz w:val="22"/>
          <w:szCs w:val="22"/>
          <w:shd w:val="clear" w:color="auto" w:fill="FFFFFF"/>
        </w:rPr>
        <w:br/>
        <w:t>Alter</w:t>
      </w:r>
      <w:r w:rsidRPr="00870248">
        <w:rPr>
          <w:rFonts w:ascii="Arial" w:hAnsi="Arial" w:cs="Arial"/>
          <w:color w:val="000000" w:themeColor="text1"/>
          <w:sz w:val="22"/>
          <w:szCs w:val="22"/>
          <w:shd w:val="clear" w:color="auto" w:fill="FFFFFF"/>
        </w:rPr>
        <w:br/>
        <w:t xml:space="preserve">Change is the process of moving from current practice to a different way of working for individuals or organisations. This is important because evidence-based innovations are of little benefit unless professional habits, workflow and organisational structures are changed. For example, implementing electronic health records needs training, new information-sharing methods and staff engagement. In Lewin’s approach, change is conceptualized through unfreezing, movement and refreezing (Burnes, 2004). Although beneficial for structuring planned change, the approach may seem overly linear for ever changing care systems. </w:t>
      </w:r>
    </w:p>
    <w:p w14:paraId="3B792F31" w14:textId="77777777" w:rsidR="00870248" w:rsidRPr="00870248" w:rsidRDefault="00870248" w:rsidP="00A05349">
      <w:pPr>
        <w:pStyle w:val="Titlu2"/>
        <w:rPr>
          <w:rFonts w:ascii="Arial" w:hAnsi="Arial" w:cs="Arial"/>
          <w:color w:val="000000" w:themeColor="text1"/>
          <w:sz w:val="22"/>
          <w:szCs w:val="22"/>
          <w:shd w:val="clear" w:color="auto" w:fill="FFFFFF"/>
        </w:rPr>
      </w:pPr>
    </w:p>
    <w:p w14:paraId="29EAECA7" w14:textId="77777777" w:rsidR="00870248" w:rsidRPr="00870248" w:rsidRDefault="00870248" w:rsidP="00A05349">
      <w:pPr>
        <w:pStyle w:val="Titlu2"/>
        <w:rPr>
          <w:rFonts w:ascii="Arial" w:hAnsi="Arial" w:cs="Arial"/>
          <w:color w:val="000000" w:themeColor="text1"/>
          <w:sz w:val="22"/>
          <w:szCs w:val="22"/>
          <w:shd w:val="clear" w:color="auto" w:fill="FFFFFF"/>
        </w:rPr>
      </w:pPr>
    </w:p>
    <w:p w14:paraId="4E811FCB" w14:textId="33143967" w:rsidR="00A05349" w:rsidRPr="001B4A5F" w:rsidRDefault="00A05349" w:rsidP="00A05349">
      <w:pPr>
        <w:pStyle w:val="Titlu2"/>
        <w:rPr>
          <w:rFonts w:ascii="Arial" w:hAnsi="Arial" w:cs="Arial"/>
          <w:b/>
          <w:bCs/>
          <w:color w:val="000000" w:themeColor="text1"/>
          <w:sz w:val="22"/>
          <w:szCs w:val="22"/>
        </w:rPr>
      </w:pPr>
      <w:r w:rsidRPr="001B4A5F">
        <w:rPr>
          <w:rFonts w:ascii="Arial" w:hAnsi="Arial" w:cs="Arial"/>
          <w:b/>
          <w:bCs/>
          <w:color w:val="000000" w:themeColor="text1"/>
          <w:sz w:val="22"/>
          <w:szCs w:val="22"/>
        </w:rPr>
        <w:t>Task 2 – Mind Map: Staff Burnout in Health and Social Care</w:t>
      </w:r>
    </w:p>
    <w:p w14:paraId="315844C3" w14:textId="6C6FF00B" w:rsidR="00A05349" w:rsidRPr="00870248" w:rsidRDefault="00A05349" w:rsidP="00A05349">
      <w:pPr>
        <w:rPr>
          <w:rFonts w:ascii="Arial" w:hAnsi="Arial" w:cs="Arial"/>
          <w:color w:val="000000" w:themeColor="text1"/>
        </w:rPr>
      </w:pPr>
      <w:r w:rsidRPr="00870248">
        <w:rPr>
          <w:rFonts w:ascii="Arial" w:hAnsi="Arial" w:cs="Arial"/>
          <w:noProof/>
          <w:color w:val="000000" w:themeColor="text1"/>
        </w:rPr>
        <w:drawing>
          <wp:inline distT="0" distB="0" distL="0" distR="0" wp14:anchorId="1D58D48D" wp14:editId="6D63816B">
            <wp:extent cx="5731510" cy="374967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49675"/>
                    </a:xfrm>
                    <a:prstGeom prst="rect">
                      <a:avLst/>
                    </a:prstGeom>
                  </pic:spPr>
                </pic:pic>
              </a:graphicData>
            </a:graphic>
          </wp:inline>
        </w:drawing>
      </w:r>
    </w:p>
    <w:p w14:paraId="70FBA041" w14:textId="77777777" w:rsidR="00870248" w:rsidRPr="00870248" w:rsidRDefault="00870248" w:rsidP="00744019">
      <w:pPr>
        <w:pStyle w:val="Titlu2"/>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Staff burnout is important because it undermines workforce sustainability and patient safety. The map shows a vicious circle. Staff shortages and increased demand raise workload; extended stress leads to burnout and lower professional performance; illness absence and attrition aggravate existing shortages. Hall et al. (2016) reported that the majority of research included in their systematic review revealed inferior patient-safety outcomes were associated with poor staff wellbeing or moderate-to-high burnout, but that causation should not be assumed automatically due to variation between studies. A systems perspective so avoids criticizing individual resilience and instead looks at feedback linkages and organizational settings (Meadows, 2008). Directly impacted are frontline personnel, and patients may face rushed communication, discontinuity and errors. If burnout is not addressed, retention and waiting times may worsen. Counselling can help people but lasting progress also involves safe staffing, moderate workloads, supportive leadership, protected recuperation time and wellbeing monitoring.</w:t>
      </w:r>
    </w:p>
    <w:p w14:paraId="28B56025" w14:textId="77777777" w:rsidR="00870248" w:rsidRPr="00870248" w:rsidRDefault="00870248" w:rsidP="00744019">
      <w:pPr>
        <w:pStyle w:val="Titlu2"/>
        <w:rPr>
          <w:rFonts w:ascii="Arial" w:hAnsi="Arial" w:cs="Arial"/>
          <w:color w:val="000000" w:themeColor="text1"/>
          <w:sz w:val="22"/>
          <w:szCs w:val="22"/>
          <w:shd w:val="clear" w:color="auto" w:fill="FFFFFF"/>
        </w:rPr>
      </w:pPr>
    </w:p>
    <w:p w14:paraId="4A364BC2" w14:textId="003FC000" w:rsidR="00744019" w:rsidRPr="001B4A5F" w:rsidRDefault="00744019" w:rsidP="00744019">
      <w:pPr>
        <w:pStyle w:val="Titlu2"/>
        <w:rPr>
          <w:rFonts w:ascii="Arial" w:hAnsi="Arial" w:cs="Arial"/>
          <w:b/>
          <w:bCs/>
          <w:color w:val="000000" w:themeColor="text1"/>
          <w:sz w:val="22"/>
          <w:szCs w:val="22"/>
        </w:rPr>
      </w:pPr>
      <w:r w:rsidRPr="001B4A5F">
        <w:rPr>
          <w:rFonts w:ascii="Arial" w:hAnsi="Arial" w:cs="Arial"/>
          <w:b/>
          <w:bCs/>
          <w:color w:val="000000" w:themeColor="text1"/>
          <w:sz w:val="22"/>
          <w:szCs w:val="22"/>
        </w:rPr>
        <w:t>Task 3 – Self-Reflection on the Group Activity</w:t>
      </w:r>
    </w:p>
    <w:p w14:paraId="5A488B87" w14:textId="77777777" w:rsidR="001B4A5F" w:rsidRDefault="00870248" w:rsidP="001B4A5F">
      <w:pPr>
        <w:rPr>
          <w:rFonts w:ascii="Arial" w:hAnsi="Arial" w:cs="Arial"/>
          <w:b/>
          <w:bCs/>
          <w:color w:val="000000" w:themeColor="text1"/>
        </w:rPr>
      </w:pPr>
      <w:r w:rsidRPr="00870248">
        <w:rPr>
          <w:rFonts w:ascii="Arial" w:hAnsi="Arial" w:cs="Arial"/>
          <w:color w:val="000000" w:themeColor="text1"/>
          <w:shd w:val="clear" w:color="auto" w:fill="FFFFFF"/>
        </w:rPr>
        <w:t>I utilized Gibbs’ Reflective Cycle to investigate the 15 minute class debate on whether innovation changes health and social care for the better (Gibbs, 1988). Divergent thinking is the ability to generate a number of possible ideas, whereas convergent thinking is the ability to assess options and arrive at a reasoned conclusion (Guilford, 1956).</w:t>
      </w:r>
      <w:r w:rsidRPr="00870248">
        <w:rPr>
          <w:rFonts w:ascii="Arial" w:hAnsi="Arial" w:cs="Arial"/>
          <w:color w:val="000000" w:themeColor="text1"/>
          <w:shd w:val="clear" w:color="auto" w:fill="FFFFFF"/>
        </w:rPr>
        <w:br/>
        <w:t>In the debate, I employed divergent thinking by analysing ideas from both sides. Innovation can increase access, efficiency, communication and patient outcomes but at the same time it can raise expenses, safety hazards, staff resistance and digital inequalities. My first impression was that the response must be obviously in the positive. But hearing different perspectives made me question myself and wonder who benefits and who might be left out.</w:t>
      </w:r>
      <w:r w:rsidRPr="00870248">
        <w:rPr>
          <w:rFonts w:ascii="Arial" w:hAnsi="Arial" w:cs="Arial"/>
          <w:color w:val="000000" w:themeColor="text1"/>
          <w:shd w:val="clear" w:color="auto" w:fill="FFFFFF"/>
        </w:rPr>
        <w:br/>
        <w:t>The conversation was useful in that the group provided a wider range of ideas than I would have done on my own. Convergent thinking was then required to analyze these arguments and establish a balanced conclusion: innovation can improve care, but only when it responds to an identified need, is evidence based and is implemented equitably. I learnt that I can get too focused on the answer I want, and that listening to many perspectives increases my reasoning and teamwork.</w:t>
      </w:r>
      <w:r w:rsidRPr="00870248">
        <w:rPr>
          <w:rFonts w:ascii="Arial" w:hAnsi="Arial" w:cs="Arial"/>
          <w:color w:val="000000" w:themeColor="text1"/>
          <w:shd w:val="clear" w:color="auto" w:fill="FFFFFF"/>
        </w:rPr>
        <w:br/>
        <w:t>Next time I would keep a record of all submissions, without judging them. I would then advise we agree on the criteria - patient safety, accessibility, outcomes and cost — to compare the arguments systematically before coming to a judgment.</w:t>
      </w:r>
      <w:r w:rsidRPr="00870248">
        <w:rPr>
          <w:rFonts w:ascii="Arial" w:hAnsi="Arial" w:cs="Arial"/>
          <w:color w:val="000000" w:themeColor="text1"/>
          <w:shd w:val="clear" w:color="auto" w:fill="FFFFFF"/>
        </w:rPr>
        <w:br/>
      </w:r>
    </w:p>
    <w:p w14:paraId="1FDA7247" w14:textId="77777777" w:rsidR="001B4A5F" w:rsidRDefault="0019578B" w:rsidP="001B4A5F">
      <w:pPr>
        <w:rPr>
          <w:rFonts w:ascii="Arial" w:hAnsi="Arial" w:cs="Arial"/>
          <w:b/>
          <w:bCs/>
          <w:color w:val="000000" w:themeColor="text1"/>
        </w:rPr>
      </w:pPr>
      <w:r w:rsidRPr="001B4A5F">
        <w:rPr>
          <w:rFonts w:ascii="Arial" w:hAnsi="Arial" w:cs="Arial"/>
          <w:b/>
          <w:bCs/>
          <w:color w:val="000000" w:themeColor="text1"/>
        </w:rPr>
        <w:t>Task 4 – Case Study Analysis of a UK Innovation</w:t>
      </w:r>
    </w:p>
    <w:p w14:paraId="4691FE19" w14:textId="77777777" w:rsidR="001B4A5F" w:rsidRDefault="0019578B" w:rsidP="001B4A5F">
      <w:pPr>
        <w:rPr>
          <w:rFonts w:ascii="Arial" w:hAnsi="Arial" w:cs="Arial"/>
          <w:color w:val="000000" w:themeColor="text1"/>
        </w:rPr>
      </w:pPr>
      <w:r w:rsidRPr="00870248">
        <w:rPr>
          <w:rFonts w:ascii="Arial" w:hAnsi="Arial" w:cs="Arial"/>
          <w:color w:val="000000" w:themeColor="text1"/>
        </w:rPr>
        <w:t>NHS Virtual Wards in South East England</w:t>
      </w:r>
    </w:p>
    <w:p w14:paraId="090F584A" w14:textId="1CC77A04" w:rsidR="001B4A5F" w:rsidRDefault="00870248" w:rsidP="001B4A5F">
      <w:pPr>
        <w:rPr>
          <w:rFonts w:ascii="Arial" w:hAnsi="Arial" w:cs="Arial"/>
          <w:color w:val="000000" w:themeColor="text1"/>
          <w:shd w:val="clear" w:color="auto" w:fill="FFFFFF"/>
        </w:rPr>
      </w:pPr>
      <w:r w:rsidRPr="00870248">
        <w:rPr>
          <w:rFonts w:ascii="Arial" w:hAnsi="Arial" w:cs="Arial"/>
          <w:color w:val="000000" w:themeColor="text1"/>
          <w:shd w:val="clear" w:color="auto" w:fill="FFFFFF"/>
        </w:rPr>
        <w:t>Virtual wards respond to hospital-capacity challenges by permitting selected patients to receive acute-level treatment at home, rather than remaining in, or being admitted to, hospital. Multidisciplinary teams use remote monitoring, digital communication, medicine, diagnostics and face-to-face visits and keep clinical responsibility for the patient (NHS England, 2024b).</w:t>
      </w:r>
      <w:r w:rsidRPr="00870248">
        <w:rPr>
          <w:rFonts w:ascii="Arial" w:hAnsi="Arial" w:cs="Arial"/>
          <w:color w:val="000000" w:themeColor="text1"/>
          <w:shd w:val="clear" w:color="auto" w:fill="FFFFFF"/>
        </w:rPr>
        <w:br/>
        <w:t xml:space="preserve">The innovation is not only in the introduction of technology, but in the re-design of the setting and methods of acute care delivery. Resources in the existing hospital, community and digital world are assembled around the patient’s house. This generates potential value through increased comfort, independence for patients, earlier discharge and additional capacity in hospitals. </w:t>
      </w:r>
      <w:r w:rsidRPr="00870248">
        <w:rPr>
          <w:rFonts w:ascii="Arial" w:hAnsi="Arial" w:cs="Arial"/>
          <w:color w:val="000000" w:themeColor="text1"/>
          <w:shd w:val="clear" w:color="auto" w:fill="FFFFFF"/>
        </w:rPr>
        <w:br/>
      </w:r>
      <w:r w:rsidR="001B4A5F" w:rsidRPr="001B4A5F">
        <w:rPr>
          <w:rFonts w:ascii="Arial" w:hAnsi="Arial" w:cs="Arial"/>
          <w:color w:val="000000" w:themeColor="text1"/>
          <w:shd w:val="clear" w:color="auto" w:fill="FFFFFF"/>
        </w:rPr>
        <w:t>Analysis of more than 22,000 admissions to 29 virtual-ward paths in South East England. It discovered that each prevented non-elective hospital admission was associated with around 2.5 virtual-ward admissions, and the routes yielded an anticipated net financial gain of £10.4 million per year (NHS England, 2024a).</w:t>
      </w:r>
      <w:r w:rsidRPr="001B4A5F">
        <w:rPr>
          <w:rFonts w:ascii="Arial" w:hAnsi="Arial" w:cs="Arial"/>
          <w:color w:val="000000" w:themeColor="text1"/>
          <w:shd w:val="clear" w:color="auto" w:fill="FFFFFF"/>
        </w:rPr>
        <w:t>Patients were largely satisfied with their experience, especially with their rehabilitation at home.</w:t>
      </w:r>
      <w:r w:rsidRPr="001B4A5F">
        <w:rPr>
          <w:rFonts w:ascii="Arial" w:hAnsi="Arial" w:cs="Arial"/>
          <w:color w:val="000000" w:themeColor="text1"/>
          <w:shd w:val="clear" w:color="auto" w:fill="FFFFFF"/>
        </w:rPr>
        <w:br/>
        <w:t xml:space="preserve">But the observational nature of these connections cannot confirm that virtual wards themselves led to the reductions. The study also found that there was a lack of patients from ethnic minorities, data on ethnicity and added burden on unpaid carers was lacking. According to Rogers’ Diffusion of Innovations Theory, the chances of wider adoption increase when the benefits are obvious and the service is consistent with existing workflows (Rogers, 2003). </w:t>
      </w:r>
    </w:p>
    <w:p w14:paraId="5BCBD69B" w14:textId="77777777" w:rsidR="001B4A5F" w:rsidRDefault="0019578B" w:rsidP="001B4A5F">
      <w:pPr>
        <w:rPr>
          <w:rFonts w:ascii="Arial" w:hAnsi="Arial" w:cs="Arial"/>
          <w:b/>
          <w:bCs/>
          <w:color w:val="000000" w:themeColor="text1"/>
        </w:rPr>
      </w:pPr>
      <w:r w:rsidRPr="001B4A5F">
        <w:rPr>
          <w:rFonts w:ascii="Arial" w:hAnsi="Arial" w:cs="Arial"/>
          <w:b/>
          <w:bCs/>
          <w:color w:val="000000" w:themeColor="text1"/>
        </w:rPr>
        <w:t>Task 5 – Research Task: Causes of Staff Burnout</w:t>
      </w:r>
    </w:p>
    <w:p w14:paraId="7FA6380D" w14:textId="1363193C" w:rsidR="00870248" w:rsidRPr="00870248" w:rsidRDefault="00870248" w:rsidP="001B4A5F">
      <w:pPr>
        <w:rPr>
          <w:rFonts w:ascii="Arial" w:hAnsi="Arial" w:cs="Arial"/>
          <w:color w:val="000000" w:themeColor="text1"/>
        </w:rPr>
      </w:pPr>
      <w:r w:rsidRPr="00870248">
        <w:rPr>
          <w:rFonts w:ascii="Arial" w:hAnsi="Arial" w:cs="Arial"/>
          <w:color w:val="000000" w:themeColor="text1"/>
          <w:shd w:val="clear" w:color="auto" w:fill="FFFFFF"/>
        </w:rPr>
        <w:t>In health and social care, staff burnout is evident when ongoing stresses in the job lead to emotional tiredness, a sense of alienation from service users and a feeling of impaired professional achievement. In practice, an understaffed ward may mean that staff members work long shifts, miss breaks and deal with emotionally complicated circumstances without proper recovery or assistance.</w:t>
      </w:r>
      <w:r w:rsidRPr="00870248">
        <w:rPr>
          <w:rFonts w:ascii="Arial" w:hAnsi="Arial" w:cs="Arial"/>
          <w:color w:val="000000" w:themeColor="text1"/>
          <w:shd w:val="clear" w:color="auto" w:fill="FFFFFF"/>
        </w:rPr>
        <w:br/>
        <w:t>A review of nursing studies by Dall’Ora et al. (2020) applied established burnout theories, including Maslach’s three-dimensional conceptualisation. Important contributory factors discovered were: heavy workload, long shifts, little staffing, limited control, poor teamwork and insufficient incentive. Their analysis is particularly pertinent to healthcare as it links burnout with the arrangement of nursing work and not as a personal failure.</w:t>
      </w:r>
      <w:r w:rsidRPr="00870248">
        <w:rPr>
          <w:rFonts w:ascii="Arial" w:hAnsi="Arial" w:cs="Arial"/>
          <w:color w:val="000000" w:themeColor="text1"/>
          <w:shd w:val="clear" w:color="auto" w:fill="FFFFFF"/>
        </w:rPr>
        <w:br/>
        <w:t>Aronsson et al. (2017) reviewed prospective studies across several occupations. In their meta-analysis, they found minimal evidence that job control protects against emotional weariness, and insufficient workplace assistance promotes it. Workplace unfairness, job insecurity, low remuneration and high demands were also linked to burnout, however there was minimal evidence for some of these characteristics.</w:t>
      </w:r>
      <w:r w:rsidRPr="00870248">
        <w:rPr>
          <w:rFonts w:ascii="Arial" w:hAnsi="Arial" w:cs="Arial"/>
          <w:color w:val="000000" w:themeColor="text1"/>
          <w:shd w:val="clear" w:color="auto" w:fill="FFFFFF"/>
        </w:rPr>
        <w:br/>
        <w:t>All articles agree that burnout develops when job expectations are greater than available resources. However, Dall’Ora et al. offer healthcare-specific explanations related to staffing and shift patterns, and Aronsson et al. present stronger longitudinal data on control and support across occupations. Both reviews are hindered by uneven measurements of burnout and a focus on emotional weariness. But combined they reveal that wellbeing programmes alone are not enough: prevention also requires enough staffing, employee engagement, good management and supportive working conditions.</w:t>
      </w:r>
    </w:p>
    <w:p w14:paraId="5DA6D766" w14:textId="77777777" w:rsidR="00870248" w:rsidRPr="00870248" w:rsidRDefault="00870248" w:rsidP="0019578B">
      <w:pPr>
        <w:pStyle w:val="Titlu2"/>
        <w:rPr>
          <w:rFonts w:ascii="Arial" w:hAnsi="Arial" w:cs="Arial"/>
          <w:color w:val="000000" w:themeColor="text1"/>
          <w:sz w:val="22"/>
          <w:szCs w:val="22"/>
          <w:shd w:val="clear" w:color="auto" w:fill="FFFFFF"/>
        </w:rPr>
      </w:pPr>
    </w:p>
    <w:p w14:paraId="2E2A2B6A" w14:textId="26C138A5" w:rsidR="0019578B" w:rsidRPr="00870248" w:rsidRDefault="0019578B" w:rsidP="0019578B">
      <w:pPr>
        <w:pStyle w:val="Titlu2"/>
        <w:rPr>
          <w:rFonts w:ascii="Arial" w:hAnsi="Arial" w:cs="Arial"/>
          <w:b/>
          <w:bCs/>
          <w:color w:val="000000" w:themeColor="text1"/>
          <w:sz w:val="22"/>
          <w:szCs w:val="22"/>
        </w:rPr>
      </w:pPr>
      <w:r w:rsidRPr="00870248">
        <w:rPr>
          <w:rFonts w:ascii="Arial" w:hAnsi="Arial" w:cs="Arial"/>
          <w:b/>
          <w:bCs/>
          <w:color w:val="000000" w:themeColor="text1"/>
          <w:sz w:val="22"/>
          <w:szCs w:val="22"/>
        </w:rPr>
        <w:t>Task 6 – Exploring Digital Innovation in Health and Social Care</w:t>
      </w:r>
    </w:p>
    <w:p w14:paraId="22D04818" w14:textId="77777777"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6.1 Wearable technologies and chronic-condition management</w:t>
      </w:r>
    </w:p>
    <w:p w14:paraId="730998B3" w14:textId="77777777" w:rsidR="00870248" w:rsidRPr="00870248" w:rsidRDefault="00870248" w:rsidP="0019578B">
      <w:pPr>
        <w:pStyle w:val="Titlu3"/>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People with diabetes can wear continuous glucose monitors that give real-time information regarding changing glucose levels. They don’t show single finger-prick readings, but trends over the day, and can warn users of dangerously high or low readings. For example, a person with type 1 diabetes can see how food, exercise and insulin affect their glucose levels and can alter treatment according to an agreed clinical plan. In the randomised controlled DIAMOND study, persons utilizing continuous glucose monitoring had a higher reduction in glycated haemoglobin than participants getting conventional care (Beck et al., 2017). This implies that obtaining input from wearables can help self-management and enable more informed discussions. But the advantage relies on affordability, on correct interpretation and on continued use. Frequent alarms might induce anxiety or alarm fatigue . Inaccurate readings can lead to improper decision making. Wearables should consequently supplement, rather than replace, professional assessment, education and shared decision-making.</w:t>
      </w:r>
    </w:p>
    <w:p w14:paraId="725B083A" w14:textId="081A465A"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6.2 Electronic health records and professional collaboration</w:t>
      </w:r>
    </w:p>
    <w:p w14:paraId="7F6BED34" w14:textId="77777777" w:rsidR="00870248" w:rsidRPr="00870248" w:rsidRDefault="00870248" w:rsidP="0019578B">
      <w:pPr>
        <w:pStyle w:val="Titlu3"/>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Electronic health records increase communication by providing approved professionals with up-to-date, time-stamped accounts of diagnoses, drugs, allergies, test results and care plans. For example, if a patient transfers from a general practice to an emergency department and subsequently to community care, all teams can see pertinent information and record decisions in the same clinical history. This lowers reliance on handwritten notes, patient recall and duplicate phone calls. A comprehensive review and meta-analysis found an association between EHR adoption and increased guideline adherence, less time spent on documentation, decreased medication mistakes and adverse drug events (Campanella et al., 2016). However, availability of electronic media does not guarantee collaboration. Incompatible systems can inhibit information interchange, and too many alarms, duplicate entries or incomplete data might hide crucial information. And privacy, and role-based access, also need to be carefully handled. Effective EHRs require interoperability, standardized documentation standards, staff training and clear accountability for reviewing and updating information.</w:t>
      </w:r>
    </w:p>
    <w:p w14:paraId="2DD21BFC" w14:textId="061F722D"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6.3 Digital technology for preventative care and health promotion</w:t>
      </w:r>
    </w:p>
    <w:p w14:paraId="08DE5C68" w14:textId="0BC2706D" w:rsidR="00870248" w:rsidRPr="00870248" w:rsidRDefault="00870248" w:rsidP="0019578B">
      <w:pPr>
        <w:pStyle w:val="Titlu2"/>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Digital technology can deliver prompt, scalable support before preventable sickness begins or worsens. The UK txt2stop campaign employed automated, customized text messages to encourage smoking cessation, providing motivational counsel, coping methods, and behavioural prompts. A randomized controlled research showed that biochemically validated abstinence at six months was 10.7% among txt2stop users compared with 4.9% in the control group, demonstrating that cellphone support more than doubled successful quitting (Free et al., 2011). Such interventions can reach patients at relatively low marginal cost between consultations, and provide encouragement when cravings develop. However, messages may be less successful for those with inadequate literacy, shared phones or severe dependence requiring intensive support. Thus, digital prevention should be used as an add-on to available face-to-face and pharmaceutical interventions. According to the Technology Acceptance Model, the adoption process is influenced by perceived usefulness and simplicity of use (Davis, 1989).</w:t>
      </w:r>
    </w:p>
    <w:p w14:paraId="6DEE9D0A" w14:textId="77777777" w:rsidR="00870248" w:rsidRPr="00870248" w:rsidRDefault="00870248" w:rsidP="0019578B">
      <w:pPr>
        <w:pStyle w:val="Titlu2"/>
        <w:rPr>
          <w:rFonts w:ascii="Arial" w:hAnsi="Arial" w:cs="Arial"/>
          <w:color w:val="000000" w:themeColor="text1"/>
          <w:sz w:val="22"/>
          <w:szCs w:val="22"/>
          <w:shd w:val="clear" w:color="auto" w:fill="FFFFFF"/>
        </w:rPr>
      </w:pPr>
    </w:p>
    <w:p w14:paraId="2192D780" w14:textId="558BC418" w:rsidR="0019578B" w:rsidRPr="00870248" w:rsidRDefault="0019578B" w:rsidP="0019578B">
      <w:pPr>
        <w:pStyle w:val="Titlu2"/>
        <w:rPr>
          <w:rFonts w:ascii="Arial" w:hAnsi="Arial" w:cs="Arial"/>
          <w:b/>
          <w:bCs/>
          <w:color w:val="000000" w:themeColor="text1"/>
          <w:sz w:val="22"/>
          <w:szCs w:val="22"/>
        </w:rPr>
      </w:pPr>
      <w:r w:rsidRPr="00870248">
        <w:rPr>
          <w:rFonts w:ascii="Arial" w:hAnsi="Arial" w:cs="Arial"/>
          <w:b/>
          <w:bCs/>
          <w:color w:val="000000" w:themeColor="text1"/>
          <w:sz w:val="22"/>
          <w:szCs w:val="22"/>
        </w:rPr>
        <w:t>Task 7 – Understanding the NHS Leadership Framework</w:t>
      </w:r>
    </w:p>
    <w:p w14:paraId="614F3C2D" w14:textId="77777777"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7.1 Summary of the NHS Healthcare Leadership Model</w:t>
      </w:r>
    </w:p>
    <w:p w14:paraId="22A82E00" w14:textId="754315AF" w:rsidR="00870248" w:rsidRPr="00870248" w:rsidRDefault="00870248" w:rsidP="0019578B">
      <w:pPr>
        <w:pStyle w:val="Titlu3"/>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 xml:space="preserve">The NHS Healthcare Leadership Model is a behaviour-based model for clinical and non-clinical workers, including those who do not have official management authority. There are nine interlinked dimensions, which include inspiring shared purpose, leading with care, analyzing information, connecting our service, sharing the vision, engaging the team, holding to account, developing competence and influencing for results (NHS Leadership Academy, 2013). Each dimension defines observable behaviours at four levels of sophistication – essential, proficient, strong and exemplary. The framework is crucial as leadership impacts on organisational culture, personnel wellness, service quality and patient experience. It enables leaders to align strategic priorities with compassionate, evidence-informed practice while working across professional and organizational boundaries. Its self-assessment approach can also help you know your strengths and areas to progress. But the approach is not a checklist for ensuring that leadership is effective. Behaviour needs to be modified to the clinical environment, available resources and demands of personnel and service consumers. </w:t>
      </w:r>
    </w:p>
    <w:p w14:paraId="307A962C" w14:textId="0A7AC36F"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7.2 Using “Leading with Care” to encourage creativity</w:t>
      </w:r>
    </w:p>
    <w:p w14:paraId="2353A06D" w14:textId="395B99A5" w:rsidR="00870248" w:rsidRPr="00870248" w:rsidRDefault="00870248" w:rsidP="0019578B">
      <w:pPr>
        <w:pStyle w:val="Titlu3"/>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 xml:space="preserve">A leader that practices "Leading with Care" will create a psychologically secure workplace, where employees can question routines, report problems and suggest improvements without fear of embarrassment. For example, the leader could urge front-line staff and patients to reimagine a tough discharging procedure, recognize the emotional toll and support a small, measured pilot. This method is supported by transformational leadership via personalized consideration, encouragement and intellectual stimulation (Bass and Avolio, 1994). Thus, compassion can assist creativity to build trust and involvement. Caring leadership doesn’t imply not making the hard calls. </w:t>
      </w:r>
    </w:p>
    <w:p w14:paraId="528E1175" w14:textId="515E2238" w:rsidR="0019578B" w:rsidRPr="00870248" w:rsidRDefault="0019578B" w:rsidP="0019578B">
      <w:pPr>
        <w:pStyle w:val="Titlu3"/>
        <w:rPr>
          <w:rFonts w:ascii="Arial" w:hAnsi="Arial" w:cs="Arial"/>
          <w:color w:val="000000" w:themeColor="text1"/>
          <w:sz w:val="22"/>
          <w:szCs w:val="22"/>
        </w:rPr>
      </w:pPr>
      <w:r w:rsidRPr="00870248">
        <w:rPr>
          <w:rFonts w:ascii="Arial" w:hAnsi="Arial" w:cs="Arial"/>
          <w:color w:val="000000" w:themeColor="text1"/>
          <w:sz w:val="22"/>
          <w:szCs w:val="22"/>
        </w:rPr>
        <w:t>7.3 Reflective journal entry</w:t>
      </w:r>
    </w:p>
    <w:p w14:paraId="7F6E6181" w14:textId="77777777" w:rsidR="00870248" w:rsidRPr="00870248" w:rsidRDefault="00870248" w:rsidP="0019578B">
      <w:pPr>
        <w:pStyle w:val="Titlu2"/>
        <w:rPr>
          <w:rFonts w:ascii="Arial" w:hAnsi="Arial" w:cs="Arial"/>
          <w:color w:val="000000" w:themeColor="text1"/>
          <w:sz w:val="22"/>
          <w:szCs w:val="22"/>
          <w:shd w:val="clear" w:color="auto" w:fill="FFFFFF"/>
        </w:rPr>
      </w:pPr>
      <w:r w:rsidRPr="00870248">
        <w:rPr>
          <w:rFonts w:ascii="Arial" w:hAnsi="Arial" w:cs="Arial"/>
          <w:color w:val="000000" w:themeColor="text1"/>
          <w:sz w:val="22"/>
          <w:szCs w:val="22"/>
          <w:shd w:val="clear" w:color="auto" w:fill="FFFFFF"/>
        </w:rPr>
        <w:t>My understanding of creativity at the beginning of this session was that it was the generation of novel ideas. I have learnt from the previous jobs that creativity is only valuable if ideas meet a real need, can be securely executed and produce outcomes that matter to consumers of services. Especially the burnout mind map indicated that care problems are interrelated and cannot always be treated by individual therapies. Seeing virtual wards also impacted my perspective since it highlighted that innovation could mean re-designing an existing service rather than inventing new technology. I will apply this understanding for future practice with service users, reviewing evidence and testing improvements on a manageable scale prior to supporting wider deployment.</w:t>
      </w:r>
    </w:p>
    <w:p w14:paraId="674EC42B" w14:textId="71EF2BC0" w:rsidR="0019578B" w:rsidRPr="00870248" w:rsidRDefault="0019578B" w:rsidP="0019578B">
      <w:pPr>
        <w:pStyle w:val="Titlu2"/>
        <w:rPr>
          <w:rFonts w:ascii="Arial" w:hAnsi="Arial" w:cs="Arial"/>
          <w:b/>
          <w:bCs/>
          <w:color w:val="000000" w:themeColor="text1"/>
          <w:sz w:val="22"/>
          <w:szCs w:val="22"/>
        </w:rPr>
      </w:pPr>
      <w:r w:rsidRPr="00870248">
        <w:rPr>
          <w:rFonts w:ascii="Arial" w:hAnsi="Arial" w:cs="Arial"/>
          <w:b/>
          <w:bCs/>
          <w:color w:val="000000" w:themeColor="text1"/>
          <w:sz w:val="22"/>
          <w:szCs w:val="22"/>
        </w:rPr>
        <w:t>Task 8 – Self-Reflection Journal Entry</w:t>
      </w:r>
    </w:p>
    <w:p w14:paraId="076E9E08" w14:textId="0FBC998B" w:rsidR="00870248" w:rsidRPr="00647C15" w:rsidRDefault="00870248" w:rsidP="00647C15">
      <w:pPr>
        <w:pStyle w:val="NormalWeb"/>
        <w:rPr>
          <w:rFonts w:ascii="Arial" w:hAnsi="Arial" w:cs="Arial"/>
          <w:color w:val="000000" w:themeColor="text1"/>
          <w:sz w:val="22"/>
          <w:szCs w:val="22"/>
        </w:rPr>
      </w:pPr>
      <w:r w:rsidRPr="00870248">
        <w:rPr>
          <w:rFonts w:ascii="Arial" w:hAnsi="Arial" w:cs="Arial"/>
          <w:color w:val="000000" w:themeColor="text1"/>
          <w:sz w:val="22"/>
          <w:szCs w:val="22"/>
          <w:shd w:val="clear" w:color="auto" w:fill="FFFFFF"/>
        </w:rPr>
        <w:t>Prior to this module, I usually linked innovation to sophisticated technology and creativity to coming up with strange ideas. The virtual-ward case study has changed my thinking, that innovation can be about reorganising existing workers, expertise and technology to deliver care in a different setting. The burnout mind map also informed me that the creative solutions need to be about the relationships within the wider care system rather than treating symptoms in isolation.</w:t>
      </w:r>
      <w:r w:rsidRPr="00870248">
        <w:rPr>
          <w:rFonts w:ascii="Arial" w:hAnsi="Arial" w:cs="Arial"/>
          <w:color w:val="000000" w:themeColor="text1"/>
          <w:sz w:val="22"/>
          <w:szCs w:val="22"/>
          <w:shd w:val="clear" w:color="auto" w:fill="FFFFFF"/>
        </w:rPr>
        <w:br/>
        <w:t>Amabile’s Componential Theory helped me understand that creativity is dependent on the relevant knowledge, creative-thinking skills and motivation (Amabile, 1996). But I have also realized that a unique concept is not necessarily a valuable idea or an ethical notion. In health and social care, its value rests on whether it improves outcomes that matter to service users and makes good use of resources (Porter, 2010).</w:t>
      </w:r>
      <w:r w:rsidRPr="00870248">
        <w:rPr>
          <w:rFonts w:ascii="Arial" w:hAnsi="Arial" w:cs="Arial"/>
          <w:color w:val="000000" w:themeColor="text1"/>
          <w:sz w:val="22"/>
          <w:szCs w:val="22"/>
          <w:shd w:val="clear" w:color="auto" w:fill="FFFFFF"/>
        </w:rPr>
        <w:br/>
        <w:t>In future I will involve service users and colleagues in identifying problems, develop various options before selecting an alternative and utilize evidence to test improvements. The main premise I will take forward is that responsible innovation blends imagination with inclusiveness, assessment and patient safety.</w:t>
      </w:r>
    </w:p>
    <w:p w14:paraId="6310EEA8" w14:textId="77777777" w:rsidR="00870248" w:rsidRPr="00870248" w:rsidRDefault="00870248" w:rsidP="00526EE1">
      <w:pPr>
        <w:rPr>
          <w:rFonts w:ascii="Arial" w:hAnsi="Arial" w:cs="Arial"/>
          <w:color w:val="000000" w:themeColor="text1"/>
        </w:rPr>
      </w:pPr>
    </w:p>
    <w:p w14:paraId="515EFFF1" w14:textId="433ECDA2" w:rsidR="00D429DC" w:rsidRPr="00870248" w:rsidRDefault="00D429DC" w:rsidP="00D429DC">
      <w:pPr>
        <w:pStyle w:val="Titlu1"/>
        <w:rPr>
          <w:rFonts w:ascii="Arial" w:hAnsi="Arial" w:cs="Arial"/>
          <w:color w:val="000000" w:themeColor="text1"/>
          <w:sz w:val="22"/>
          <w:szCs w:val="22"/>
        </w:rPr>
      </w:pPr>
      <w:r w:rsidRPr="00870248">
        <w:rPr>
          <w:rStyle w:val="Robust"/>
          <w:rFonts w:ascii="Arial" w:hAnsi="Arial" w:cs="Arial"/>
          <w:color w:val="000000" w:themeColor="text1"/>
          <w:sz w:val="22"/>
          <w:szCs w:val="22"/>
        </w:rPr>
        <w:t xml:space="preserve">7. Reference List </w:t>
      </w:r>
    </w:p>
    <w:p w14:paraId="0231C2DF" w14:textId="1B78CBBB" w:rsidR="00744019" w:rsidRPr="00870248" w:rsidRDefault="00744019" w:rsidP="00744019">
      <w:pPr>
        <w:pStyle w:val="pdq2pgselectionanchorcontainer"/>
        <w:rPr>
          <w:rFonts w:ascii="Arial" w:hAnsi="Arial" w:cs="Arial"/>
          <w:color w:val="000000" w:themeColor="text1"/>
          <w:sz w:val="22"/>
          <w:szCs w:val="22"/>
        </w:rPr>
      </w:pPr>
      <w:r w:rsidRPr="00870248">
        <w:rPr>
          <w:rFonts w:ascii="Arial" w:hAnsi="Arial" w:cs="Arial"/>
          <w:color w:val="000000" w:themeColor="text1"/>
          <w:sz w:val="22"/>
          <w:szCs w:val="22"/>
        </w:rPr>
        <w:t xml:space="preserve">Amabile, T.M. (1996) </w:t>
      </w:r>
      <w:r w:rsidRPr="00870248">
        <w:rPr>
          <w:rStyle w:val="Accentuat"/>
          <w:rFonts w:ascii="Arial" w:eastAsiaTheme="majorEastAsia" w:hAnsi="Arial" w:cs="Arial"/>
          <w:color w:val="000000" w:themeColor="text1"/>
          <w:sz w:val="22"/>
          <w:szCs w:val="22"/>
        </w:rPr>
        <w:t>Creativity in context: Update to the social psychology of creativity</w:t>
      </w:r>
      <w:r w:rsidRPr="00870248">
        <w:rPr>
          <w:rFonts w:ascii="Arial" w:hAnsi="Arial" w:cs="Arial"/>
          <w:color w:val="000000" w:themeColor="text1"/>
          <w:sz w:val="22"/>
          <w:szCs w:val="22"/>
        </w:rPr>
        <w:t xml:space="preserve">. Boulder, CO: Westview Press. Available at: </w:t>
      </w:r>
      <w:hyperlink r:id="rId9" w:tgtFrame="_new" w:history="1">
        <w:r w:rsidRPr="00870248">
          <w:rPr>
            <w:rStyle w:val="Hyperlink"/>
            <w:rFonts w:ascii="Arial" w:eastAsiaTheme="majorEastAsia" w:hAnsi="Arial" w:cs="Arial"/>
            <w:color w:val="000000" w:themeColor="text1"/>
            <w:sz w:val="22"/>
            <w:szCs w:val="22"/>
          </w:rPr>
          <w:t>https://doi.org/10.4324/9780429501234</w:t>
        </w:r>
      </w:hyperlink>
      <w:r w:rsidRPr="00870248">
        <w:rPr>
          <w:rFonts w:ascii="Arial" w:hAnsi="Arial" w:cs="Arial"/>
          <w:color w:val="000000" w:themeColor="text1"/>
          <w:sz w:val="22"/>
          <w:szCs w:val="22"/>
        </w:rPr>
        <w:t xml:space="preserve"> (Accessed: 16 July 2026).</w:t>
      </w:r>
    </w:p>
    <w:p w14:paraId="4A0D9A6F" w14:textId="0661C083"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Aronsson, G., Theorell, T., Grape, T., Hammarström, A., Hogstedt, C., Marteinsdottir, I., Skoog, I., Träskman-Bendz, L. and Hall, C. (2017) ‘A systematic review including meta-analysis of work environment and burnout symptoms’, </w:t>
      </w:r>
      <w:r w:rsidRPr="00870248">
        <w:rPr>
          <w:rStyle w:val="Accentuat"/>
          <w:rFonts w:ascii="Arial" w:eastAsiaTheme="majorEastAsia" w:hAnsi="Arial" w:cs="Arial"/>
          <w:color w:val="000000" w:themeColor="text1"/>
          <w:sz w:val="22"/>
          <w:szCs w:val="22"/>
        </w:rPr>
        <w:t>BMC Public Health</w:t>
      </w:r>
      <w:r w:rsidRPr="00870248">
        <w:rPr>
          <w:rFonts w:ascii="Arial" w:hAnsi="Arial" w:cs="Arial"/>
          <w:color w:val="000000" w:themeColor="text1"/>
          <w:sz w:val="22"/>
          <w:szCs w:val="22"/>
        </w:rPr>
        <w:t xml:space="preserve">, 17, article 264. Available at: </w:t>
      </w:r>
      <w:hyperlink r:id="rId10" w:tgtFrame="_new" w:history="1">
        <w:r w:rsidRPr="00870248">
          <w:rPr>
            <w:rStyle w:val="Hyperlink"/>
            <w:rFonts w:ascii="Arial" w:eastAsiaTheme="majorEastAsia" w:hAnsi="Arial" w:cs="Arial"/>
            <w:color w:val="000000" w:themeColor="text1"/>
            <w:sz w:val="22"/>
            <w:szCs w:val="22"/>
          </w:rPr>
          <w:t>https://doi.org/10.1186/s12889-017-4153-7</w:t>
        </w:r>
      </w:hyperlink>
      <w:r w:rsidRPr="00870248">
        <w:rPr>
          <w:rFonts w:ascii="Arial" w:hAnsi="Arial" w:cs="Arial"/>
          <w:color w:val="000000" w:themeColor="text1"/>
          <w:sz w:val="22"/>
          <w:szCs w:val="22"/>
        </w:rPr>
        <w:t xml:space="preserve"> (Accessed: 15 July 2026).</w:t>
      </w:r>
    </w:p>
    <w:p w14:paraId="06EA81BA" w14:textId="2716E8F1"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Bass, B.M. and Avolio, B.J. (eds.) (1994) </w:t>
      </w:r>
      <w:r w:rsidRPr="00870248">
        <w:rPr>
          <w:rStyle w:val="Accentuat"/>
          <w:rFonts w:ascii="Arial" w:eastAsiaTheme="majorEastAsia" w:hAnsi="Arial" w:cs="Arial"/>
          <w:color w:val="000000" w:themeColor="text1"/>
          <w:sz w:val="22"/>
          <w:szCs w:val="22"/>
        </w:rPr>
        <w:t>Improving organizational effectiveness through transformational leadership</w:t>
      </w:r>
      <w:r w:rsidRPr="00870248">
        <w:rPr>
          <w:rFonts w:ascii="Arial" w:hAnsi="Arial" w:cs="Arial"/>
          <w:color w:val="000000" w:themeColor="text1"/>
          <w:sz w:val="22"/>
          <w:szCs w:val="22"/>
        </w:rPr>
        <w:t xml:space="preserve">. Thousand Oaks, CA: SAGE Publications. Available at: </w:t>
      </w:r>
      <w:hyperlink r:id="rId11" w:tgtFrame="_new" w:history="1">
        <w:r w:rsidRPr="00870248">
          <w:rPr>
            <w:rStyle w:val="Hyperlink"/>
            <w:rFonts w:ascii="Arial" w:eastAsiaTheme="majorEastAsia" w:hAnsi="Arial" w:cs="Arial"/>
            <w:color w:val="000000" w:themeColor="text1"/>
            <w:sz w:val="22"/>
            <w:szCs w:val="22"/>
          </w:rPr>
          <w:t>Google Books</w:t>
        </w:r>
      </w:hyperlink>
      <w:r w:rsidRPr="00870248">
        <w:rPr>
          <w:rFonts w:ascii="Arial" w:hAnsi="Arial" w:cs="Arial"/>
          <w:color w:val="000000" w:themeColor="text1"/>
          <w:sz w:val="22"/>
          <w:szCs w:val="22"/>
        </w:rPr>
        <w:t xml:space="preserve"> (Accessed:15 July 2026).</w:t>
      </w:r>
    </w:p>
    <w:p w14:paraId="6D7F682D" w14:textId="05BC105D"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Beck, R.W., Riddlesworth, T., Ruedy, K., Ahmann, A., Bergenstal, R., Haller, S., Kollman, C., Kruger, D., McGill, J.B., Polonsky, W., Toschi, E., Wolpert, H. and Price, D. (2017) ‘Effect of continuous glucose monitoring on glycemic control in adults with type 1 diabetes using insulin injections: The DIAMOND randomized clinical trial’, </w:t>
      </w:r>
      <w:r w:rsidRPr="00870248">
        <w:rPr>
          <w:rStyle w:val="Accentuat"/>
          <w:rFonts w:ascii="Arial" w:eastAsiaTheme="majorEastAsia" w:hAnsi="Arial" w:cs="Arial"/>
          <w:color w:val="000000" w:themeColor="text1"/>
          <w:sz w:val="22"/>
          <w:szCs w:val="22"/>
        </w:rPr>
        <w:t>JAMA</w:t>
      </w:r>
      <w:r w:rsidRPr="00870248">
        <w:rPr>
          <w:rFonts w:ascii="Arial" w:hAnsi="Arial" w:cs="Arial"/>
          <w:color w:val="000000" w:themeColor="text1"/>
          <w:sz w:val="22"/>
          <w:szCs w:val="22"/>
        </w:rPr>
        <w:t xml:space="preserve">, 317(4), pp. 371–378. Available at: </w:t>
      </w:r>
      <w:hyperlink r:id="rId12" w:tgtFrame="_new" w:history="1">
        <w:r w:rsidRPr="00870248">
          <w:rPr>
            <w:rStyle w:val="Hyperlink"/>
            <w:rFonts w:ascii="Arial" w:eastAsiaTheme="majorEastAsia" w:hAnsi="Arial" w:cs="Arial"/>
            <w:color w:val="000000" w:themeColor="text1"/>
            <w:sz w:val="22"/>
            <w:szCs w:val="22"/>
          </w:rPr>
          <w:t>https://doi.org/10.1001/jama.2016.19975</w:t>
        </w:r>
      </w:hyperlink>
      <w:r w:rsidRPr="00870248">
        <w:rPr>
          <w:rFonts w:ascii="Arial" w:hAnsi="Arial" w:cs="Arial"/>
          <w:color w:val="000000" w:themeColor="text1"/>
          <w:sz w:val="22"/>
          <w:szCs w:val="22"/>
        </w:rPr>
        <w:t xml:space="preserve"> (Accessed: 17 July 2026).</w:t>
      </w:r>
    </w:p>
    <w:p w14:paraId="4BCC7B9C" w14:textId="73A7185C"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Burnes, B. (2004) ‘Kurt Lewin and the planned approach to change: A re-appraisal’, </w:t>
      </w:r>
      <w:r w:rsidRPr="00870248">
        <w:rPr>
          <w:rStyle w:val="Accentuat"/>
          <w:rFonts w:ascii="Arial" w:eastAsiaTheme="majorEastAsia" w:hAnsi="Arial" w:cs="Arial"/>
          <w:color w:val="000000" w:themeColor="text1"/>
          <w:sz w:val="22"/>
          <w:szCs w:val="22"/>
        </w:rPr>
        <w:t>Journal of Management Studies</w:t>
      </w:r>
      <w:r w:rsidRPr="00870248">
        <w:rPr>
          <w:rFonts w:ascii="Arial" w:hAnsi="Arial" w:cs="Arial"/>
          <w:color w:val="000000" w:themeColor="text1"/>
          <w:sz w:val="22"/>
          <w:szCs w:val="22"/>
        </w:rPr>
        <w:t xml:space="preserve">, 41(6), pp. 977–1002. Available at: </w:t>
      </w:r>
      <w:hyperlink r:id="rId13" w:tgtFrame="_new" w:history="1">
        <w:r w:rsidRPr="00870248">
          <w:rPr>
            <w:rStyle w:val="Hyperlink"/>
            <w:rFonts w:ascii="Arial" w:eastAsiaTheme="majorEastAsia" w:hAnsi="Arial" w:cs="Arial"/>
            <w:color w:val="000000" w:themeColor="text1"/>
            <w:sz w:val="22"/>
            <w:szCs w:val="22"/>
          </w:rPr>
          <w:t>https://doi.org/10.1111/j.1467-6486.2004.00463.x</w:t>
        </w:r>
      </w:hyperlink>
      <w:r w:rsidRPr="00870248">
        <w:rPr>
          <w:rFonts w:ascii="Arial" w:hAnsi="Arial" w:cs="Arial"/>
          <w:color w:val="000000" w:themeColor="text1"/>
          <w:sz w:val="22"/>
          <w:szCs w:val="22"/>
        </w:rPr>
        <w:t xml:space="preserve"> (Accessed: 14 July 2026).</w:t>
      </w:r>
    </w:p>
    <w:p w14:paraId="7EAEF3D9" w14:textId="4EE2AEE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Campanella, P., Lovato, E., Marone, C., Fallacara, L., Mancuso, A., Ricciardi, W. and Specchia, M.L. (2016) ‘The impact of electronic health records on healthcare quality: A systematic review and meta-analysis’, </w:t>
      </w:r>
      <w:r w:rsidRPr="00870248">
        <w:rPr>
          <w:rStyle w:val="Accentuat"/>
          <w:rFonts w:ascii="Arial" w:eastAsiaTheme="majorEastAsia" w:hAnsi="Arial" w:cs="Arial"/>
          <w:color w:val="000000" w:themeColor="text1"/>
          <w:sz w:val="22"/>
          <w:szCs w:val="22"/>
        </w:rPr>
        <w:t>European Journal of Public Health</w:t>
      </w:r>
      <w:r w:rsidRPr="00870248">
        <w:rPr>
          <w:rFonts w:ascii="Arial" w:hAnsi="Arial" w:cs="Arial"/>
          <w:color w:val="000000" w:themeColor="text1"/>
          <w:sz w:val="22"/>
          <w:szCs w:val="22"/>
        </w:rPr>
        <w:t>, 26(1), pp. 60–64. Available at: https://doi.org/10.1093/eurpub/ckv122 (Accessed: 16 July 2026).</w:t>
      </w:r>
    </w:p>
    <w:p w14:paraId="18CDC66B" w14:textId="182D83D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Dall’Ora, C., Ball, J., Reinius, M. and Griffiths, P. (2020) ‘Burnout in nursing: A theoretical review’, </w:t>
      </w:r>
      <w:r w:rsidRPr="00870248">
        <w:rPr>
          <w:rStyle w:val="Accentuat"/>
          <w:rFonts w:ascii="Arial" w:eastAsiaTheme="majorEastAsia" w:hAnsi="Arial" w:cs="Arial"/>
          <w:color w:val="000000" w:themeColor="text1"/>
          <w:sz w:val="22"/>
          <w:szCs w:val="22"/>
        </w:rPr>
        <w:t>Human Resources for Health</w:t>
      </w:r>
      <w:r w:rsidRPr="00870248">
        <w:rPr>
          <w:rFonts w:ascii="Arial" w:hAnsi="Arial" w:cs="Arial"/>
          <w:color w:val="000000" w:themeColor="text1"/>
          <w:sz w:val="22"/>
          <w:szCs w:val="22"/>
        </w:rPr>
        <w:t xml:space="preserve">, 18, article 41. Available at: </w:t>
      </w:r>
      <w:hyperlink r:id="rId14" w:tgtFrame="_new" w:history="1">
        <w:r w:rsidRPr="00870248">
          <w:rPr>
            <w:rStyle w:val="Hyperlink"/>
            <w:rFonts w:ascii="Arial" w:eastAsiaTheme="majorEastAsia" w:hAnsi="Arial" w:cs="Arial"/>
            <w:color w:val="000000" w:themeColor="text1"/>
            <w:sz w:val="22"/>
            <w:szCs w:val="22"/>
          </w:rPr>
          <w:t>https://doi.org/10.1186/s12960-020-00469-9</w:t>
        </w:r>
      </w:hyperlink>
      <w:r w:rsidRPr="00870248">
        <w:rPr>
          <w:rFonts w:ascii="Arial" w:hAnsi="Arial" w:cs="Arial"/>
          <w:color w:val="000000" w:themeColor="text1"/>
          <w:sz w:val="22"/>
          <w:szCs w:val="22"/>
        </w:rPr>
        <w:t xml:space="preserve"> (Accessed: 16 July 2026).</w:t>
      </w:r>
    </w:p>
    <w:p w14:paraId="2941B0A4" w14:textId="02D18355"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Davis, F.D. (1989) ‘Perceived usefulness, perceived ease of use, and user acceptance of information technology’, </w:t>
      </w:r>
      <w:r w:rsidRPr="00870248">
        <w:rPr>
          <w:rStyle w:val="Accentuat"/>
          <w:rFonts w:ascii="Arial" w:eastAsiaTheme="majorEastAsia" w:hAnsi="Arial" w:cs="Arial"/>
          <w:color w:val="000000" w:themeColor="text1"/>
          <w:sz w:val="22"/>
          <w:szCs w:val="22"/>
        </w:rPr>
        <w:t>MIS Quarterly</w:t>
      </w:r>
      <w:r w:rsidRPr="00870248">
        <w:rPr>
          <w:rFonts w:ascii="Arial" w:hAnsi="Arial" w:cs="Arial"/>
          <w:color w:val="000000" w:themeColor="text1"/>
          <w:sz w:val="22"/>
          <w:szCs w:val="22"/>
        </w:rPr>
        <w:t xml:space="preserve">, 13(3), pp. 319–340. Available at: </w:t>
      </w:r>
      <w:hyperlink r:id="rId15" w:tgtFrame="_new" w:history="1">
        <w:r w:rsidRPr="00870248">
          <w:rPr>
            <w:rStyle w:val="Hyperlink"/>
            <w:rFonts w:ascii="Arial" w:eastAsiaTheme="majorEastAsia" w:hAnsi="Arial" w:cs="Arial"/>
            <w:color w:val="000000" w:themeColor="text1"/>
            <w:sz w:val="22"/>
            <w:szCs w:val="22"/>
          </w:rPr>
          <w:t>https://doi.org/10.2307/249008</w:t>
        </w:r>
      </w:hyperlink>
      <w:r w:rsidRPr="00870248">
        <w:rPr>
          <w:rFonts w:ascii="Arial" w:hAnsi="Arial" w:cs="Arial"/>
          <w:color w:val="000000" w:themeColor="text1"/>
          <w:sz w:val="22"/>
          <w:szCs w:val="22"/>
        </w:rPr>
        <w:t xml:space="preserve"> (Accessed: 17 July 2026).</w:t>
      </w:r>
    </w:p>
    <w:p w14:paraId="58225F24" w14:textId="237B2053"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Free, C., Knight, R., Robertson, S., Whittaker, R., Edwards, P., Zhou, W., Rodgers, A., Cairns, J., Kenward, M.G. and Roberts, I. (2011) ‘Smoking cessation support delivered via mobile phone text messaging (txt2stop): A single-blind, randomised trial’, </w:t>
      </w:r>
      <w:r w:rsidRPr="00870248">
        <w:rPr>
          <w:rStyle w:val="Accentuat"/>
          <w:rFonts w:ascii="Arial" w:eastAsiaTheme="majorEastAsia" w:hAnsi="Arial" w:cs="Arial"/>
          <w:color w:val="000000" w:themeColor="text1"/>
          <w:sz w:val="22"/>
          <w:szCs w:val="22"/>
        </w:rPr>
        <w:t>The Lancet</w:t>
      </w:r>
      <w:r w:rsidRPr="00870248">
        <w:rPr>
          <w:rFonts w:ascii="Arial" w:hAnsi="Arial" w:cs="Arial"/>
          <w:color w:val="000000" w:themeColor="text1"/>
          <w:sz w:val="22"/>
          <w:szCs w:val="22"/>
        </w:rPr>
        <w:t>, 378(9785), pp. 49–55. Available at: https://doi.org/10.1016/S0140-6736(11)60701-0 (Accessed: 15 July 2026).</w:t>
      </w:r>
    </w:p>
    <w:p w14:paraId="39A8C092" w14:textId="061F0C7E"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Gibbs, G. (1988) </w:t>
      </w:r>
      <w:r w:rsidRPr="00870248">
        <w:rPr>
          <w:rStyle w:val="Accentuat"/>
          <w:rFonts w:ascii="Arial" w:eastAsiaTheme="majorEastAsia" w:hAnsi="Arial" w:cs="Arial"/>
          <w:color w:val="000000" w:themeColor="text1"/>
          <w:sz w:val="22"/>
          <w:szCs w:val="22"/>
        </w:rPr>
        <w:t>Learning by doing: A guide to teaching and learning methods</w:t>
      </w:r>
      <w:r w:rsidRPr="00870248">
        <w:rPr>
          <w:rFonts w:ascii="Arial" w:hAnsi="Arial" w:cs="Arial"/>
          <w:color w:val="000000" w:themeColor="text1"/>
          <w:sz w:val="22"/>
          <w:szCs w:val="22"/>
        </w:rPr>
        <w:t xml:space="preserve">. Oxford: Further Education Unit, Oxford Polytechnic. Available at: </w:t>
      </w:r>
      <w:hyperlink r:id="rId16" w:tgtFrame="_new" w:history="1">
        <w:r w:rsidRPr="00870248">
          <w:rPr>
            <w:rStyle w:val="Hyperlink"/>
            <w:rFonts w:ascii="Arial" w:eastAsiaTheme="majorEastAsia" w:hAnsi="Arial" w:cs="Arial"/>
            <w:color w:val="000000" w:themeColor="text1"/>
            <w:sz w:val="22"/>
            <w:szCs w:val="22"/>
          </w:rPr>
          <w:t>Google Books</w:t>
        </w:r>
      </w:hyperlink>
      <w:r w:rsidRPr="00870248">
        <w:rPr>
          <w:rFonts w:ascii="Arial" w:hAnsi="Arial" w:cs="Arial"/>
          <w:color w:val="000000" w:themeColor="text1"/>
          <w:sz w:val="22"/>
          <w:szCs w:val="22"/>
        </w:rPr>
        <w:t xml:space="preserve"> (Accessed: 18 July 2026).</w:t>
      </w:r>
    </w:p>
    <w:p w14:paraId="19F06860" w14:textId="2E38291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Guilford, J.P. (1956) ‘The structure of intellect’, </w:t>
      </w:r>
      <w:r w:rsidRPr="00870248">
        <w:rPr>
          <w:rStyle w:val="Accentuat"/>
          <w:rFonts w:ascii="Arial" w:eastAsiaTheme="majorEastAsia" w:hAnsi="Arial" w:cs="Arial"/>
          <w:color w:val="000000" w:themeColor="text1"/>
          <w:sz w:val="22"/>
          <w:szCs w:val="22"/>
        </w:rPr>
        <w:t>Psychological Bulletin</w:t>
      </w:r>
      <w:r w:rsidRPr="00870248">
        <w:rPr>
          <w:rFonts w:ascii="Arial" w:hAnsi="Arial" w:cs="Arial"/>
          <w:color w:val="000000" w:themeColor="text1"/>
          <w:sz w:val="22"/>
          <w:szCs w:val="22"/>
        </w:rPr>
        <w:t>, 53(4), pp. 267–293. Available at: https://doi.org/10.1037/h0040755 (Accessed: 15 July 2026).</w:t>
      </w:r>
    </w:p>
    <w:p w14:paraId="36E0DB5B" w14:textId="1D9E265B"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Hall, L.H., Johnson, J., Watt, I., Tsipa, A. and O’Connor, D.B. (2016) ‘Healthcare staff wellbeing, burnout, and patient safety: A systematic review’, </w:t>
      </w:r>
      <w:r w:rsidRPr="00870248">
        <w:rPr>
          <w:rStyle w:val="Accentuat"/>
          <w:rFonts w:ascii="Arial" w:eastAsiaTheme="majorEastAsia" w:hAnsi="Arial" w:cs="Arial"/>
          <w:color w:val="000000" w:themeColor="text1"/>
          <w:sz w:val="22"/>
          <w:szCs w:val="22"/>
        </w:rPr>
        <w:t>PLOS ONE</w:t>
      </w:r>
      <w:r w:rsidRPr="00870248">
        <w:rPr>
          <w:rFonts w:ascii="Arial" w:hAnsi="Arial" w:cs="Arial"/>
          <w:color w:val="000000" w:themeColor="text1"/>
          <w:sz w:val="22"/>
          <w:szCs w:val="22"/>
        </w:rPr>
        <w:t xml:space="preserve">, 11(7), e0159015. Available at: </w:t>
      </w:r>
      <w:hyperlink r:id="rId17" w:tgtFrame="_new" w:history="1">
        <w:r w:rsidRPr="00870248">
          <w:rPr>
            <w:rStyle w:val="Hyperlink"/>
            <w:rFonts w:ascii="Arial" w:eastAsiaTheme="majorEastAsia" w:hAnsi="Arial" w:cs="Arial"/>
            <w:color w:val="000000" w:themeColor="text1"/>
            <w:sz w:val="22"/>
            <w:szCs w:val="22"/>
          </w:rPr>
          <w:t>https://doi.org/10.1371/journal.pone.0159015</w:t>
        </w:r>
      </w:hyperlink>
      <w:r w:rsidRPr="00870248">
        <w:rPr>
          <w:rFonts w:ascii="Arial" w:hAnsi="Arial" w:cs="Arial"/>
          <w:color w:val="000000" w:themeColor="text1"/>
          <w:sz w:val="22"/>
          <w:szCs w:val="22"/>
        </w:rPr>
        <w:t xml:space="preserve"> (Accessed: 17 July 2026).</w:t>
      </w:r>
    </w:p>
    <w:p w14:paraId="6B4BF98A" w14:textId="7777777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Meadows, D.H. (2008) </w:t>
      </w:r>
      <w:r w:rsidRPr="00870248">
        <w:rPr>
          <w:rStyle w:val="Accentuat"/>
          <w:rFonts w:ascii="Arial" w:eastAsiaTheme="majorEastAsia" w:hAnsi="Arial" w:cs="Arial"/>
          <w:color w:val="000000" w:themeColor="text1"/>
          <w:sz w:val="22"/>
          <w:szCs w:val="22"/>
        </w:rPr>
        <w:t>Thinking in systems: A primer</w:t>
      </w:r>
      <w:r w:rsidRPr="00870248">
        <w:rPr>
          <w:rFonts w:ascii="Arial" w:hAnsi="Arial" w:cs="Arial"/>
          <w:color w:val="000000" w:themeColor="text1"/>
          <w:sz w:val="22"/>
          <w:szCs w:val="22"/>
        </w:rPr>
        <w:t xml:space="preserve">. White River Junction, VT: Chelsea Green Publishing. Available at: </w:t>
      </w:r>
      <w:hyperlink r:id="rId18" w:tgtFrame="_new" w:history="1">
        <w:r w:rsidRPr="00870248">
          <w:rPr>
            <w:rStyle w:val="Hyperlink"/>
            <w:rFonts w:ascii="Arial" w:eastAsiaTheme="majorEastAsia" w:hAnsi="Arial" w:cs="Arial"/>
            <w:color w:val="000000" w:themeColor="text1"/>
            <w:sz w:val="22"/>
            <w:szCs w:val="22"/>
          </w:rPr>
          <w:t>Chelsea Green Publishing</w:t>
        </w:r>
      </w:hyperlink>
      <w:r w:rsidRPr="00870248">
        <w:rPr>
          <w:rFonts w:ascii="Arial" w:hAnsi="Arial" w:cs="Arial"/>
          <w:color w:val="000000" w:themeColor="text1"/>
          <w:sz w:val="22"/>
          <w:szCs w:val="22"/>
        </w:rPr>
        <w:t xml:space="preserve"> (Accessed: 20 July 2026).</w:t>
      </w:r>
    </w:p>
    <w:p w14:paraId="5CB107E9" w14:textId="7777777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NHS England (2024a) </w:t>
      </w:r>
      <w:r w:rsidRPr="00870248">
        <w:rPr>
          <w:rStyle w:val="Accentuat"/>
          <w:rFonts w:ascii="Arial" w:eastAsiaTheme="majorEastAsia" w:hAnsi="Arial" w:cs="Arial"/>
          <w:color w:val="000000" w:themeColor="text1"/>
          <w:sz w:val="22"/>
          <w:szCs w:val="22"/>
        </w:rPr>
        <w:t>Summary of South East region virtual wards evaluation</w:t>
      </w:r>
      <w:r w:rsidRPr="00870248">
        <w:rPr>
          <w:rFonts w:ascii="Arial" w:hAnsi="Arial" w:cs="Arial"/>
          <w:color w:val="000000" w:themeColor="text1"/>
          <w:sz w:val="22"/>
          <w:szCs w:val="22"/>
        </w:rPr>
        <w:t xml:space="preserve">. Available at: </w:t>
      </w:r>
      <w:hyperlink r:id="rId19" w:tgtFrame="_new" w:history="1">
        <w:r w:rsidRPr="00870248">
          <w:rPr>
            <w:rStyle w:val="Hyperlink"/>
            <w:rFonts w:ascii="Arial" w:eastAsiaTheme="majorEastAsia" w:hAnsi="Arial" w:cs="Arial"/>
            <w:color w:val="000000" w:themeColor="text1"/>
            <w:sz w:val="22"/>
            <w:szCs w:val="22"/>
          </w:rPr>
          <w:t>NHS England</w:t>
        </w:r>
      </w:hyperlink>
      <w:r w:rsidRPr="00870248">
        <w:rPr>
          <w:rFonts w:ascii="Arial" w:hAnsi="Arial" w:cs="Arial"/>
          <w:color w:val="000000" w:themeColor="text1"/>
          <w:sz w:val="22"/>
          <w:szCs w:val="22"/>
        </w:rPr>
        <w:t xml:space="preserve"> (Accessed: 20 July 2026).</w:t>
      </w:r>
    </w:p>
    <w:p w14:paraId="0E895B53" w14:textId="7777777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NHS England (2024b) </w:t>
      </w:r>
      <w:r w:rsidRPr="00870248">
        <w:rPr>
          <w:rStyle w:val="Accentuat"/>
          <w:rFonts w:ascii="Arial" w:eastAsiaTheme="majorEastAsia" w:hAnsi="Arial" w:cs="Arial"/>
          <w:color w:val="000000" w:themeColor="text1"/>
          <w:sz w:val="22"/>
          <w:szCs w:val="22"/>
        </w:rPr>
        <w:t>Virtual wards operational framework</w:t>
      </w:r>
      <w:r w:rsidRPr="00870248">
        <w:rPr>
          <w:rFonts w:ascii="Arial" w:hAnsi="Arial" w:cs="Arial"/>
          <w:color w:val="000000" w:themeColor="text1"/>
          <w:sz w:val="22"/>
          <w:szCs w:val="22"/>
        </w:rPr>
        <w:t xml:space="preserve">. Available at: </w:t>
      </w:r>
      <w:hyperlink r:id="rId20" w:tgtFrame="_new" w:history="1">
        <w:r w:rsidRPr="00870248">
          <w:rPr>
            <w:rStyle w:val="Hyperlink"/>
            <w:rFonts w:ascii="Arial" w:eastAsiaTheme="majorEastAsia" w:hAnsi="Arial" w:cs="Arial"/>
            <w:color w:val="000000" w:themeColor="text1"/>
            <w:sz w:val="22"/>
            <w:szCs w:val="22"/>
          </w:rPr>
          <w:t>NHS England</w:t>
        </w:r>
      </w:hyperlink>
      <w:r w:rsidRPr="00870248">
        <w:rPr>
          <w:rFonts w:ascii="Arial" w:hAnsi="Arial" w:cs="Arial"/>
          <w:color w:val="000000" w:themeColor="text1"/>
          <w:sz w:val="22"/>
          <w:szCs w:val="22"/>
        </w:rPr>
        <w:t xml:space="preserve"> (Accessed: 20 July 2026).</w:t>
      </w:r>
    </w:p>
    <w:p w14:paraId="46814549" w14:textId="4AEC7B16"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NHS Leadership Academy (2013) </w:t>
      </w:r>
      <w:r w:rsidRPr="00870248">
        <w:rPr>
          <w:rStyle w:val="Accentuat"/>
          <w:rFonts w:ascii="Arial" w:eastAsiaTheme="majorEastAsia" w:hAnsi="Arial" w:cs="Arial"/>
          <w:color w:val="000000" w:themeColor="text1"/>
          <w:sz w:val="22"/>
          <w:szCs w:val="22"/>
        </w:rPr>
        <w:t>Healthcare Leadership Model: The nine dimensions of leadership behaviour</w:t>
      </w:r>
      <w:r w:rsidRPr="00870248">
        <w:rPr>
          <w:rFonts w:ascii="Arial" w:hAnsi="Arial" w:cs="Arial"/>
          <w:color w:val="000000" w:themeColor="text1"/>
          <w:sz w:val="22"/>
          <w:szCs w:val="22"/>
        </w:rPr>
        <w:t xml:space="preserve">. Leeds: NHS Leadership Academy. Available at: </w:t>
      </w:r>
      <w:hyperlink r:id="rId21" w:tgtFrame="_new" w:history="1">
        <w:r w:rsidRPr="00870248">
          <w:rPr>
            <w:rStyle w:val="Hyperlink"/>
            <w:rFonts w:ascii="Arial" w:eastAsiaTheme="majorEastAsia" w:hAnsi="Arial" w:cs="Arial"/>
            <w:color w:val="000000" w:themeColor="text1"/>
            <w:sz w:val="22"/>
            <w:szCs w:val="22"/>
          </w:rPr>
          <w:t>NHS Leadership Academy</w:t>
        </w:r>
      </w:hyperlink>
      <w:r w:rsidRPr="00870248">
        <w:rPr>
          <w:rFonts w:ascii="Arial" w:hAnsi="Arial" w:cs="Arial"/>
          <w:color w:val="000000" w:themeColor="text1"/>
          <w:sz w:val="22"/>
          <w:szCs w:val="22"/>
        </w:rPr>
        <w:t xml:space="preserve"> (Accessed: 16 July 2026).</w:t>
      </w:r>
    </w:p>
    <w:p w14:paraId="684BDBF5" w14:textId="77777777"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Porter, M.E. (2010) ‘What is value in health care?’, </w:t>
      </w:r>
      <w:r w:rsidRPr="00870248">
        <w:rPr>
          <w:rStyle w:val="Accentuat"/>
          <w:rFonts w:ascii="Arial" w:eastAsiaTheme="majorEastAsia" w:hAnsi="Arial" w:cs="Arial"/>
          <w:color w:val="000000" w:themeColor="text1"/>
          <w:sz w:val="22"/>
          <w:szCs w:val="22"/>
        </w:rPr>
        <w:t>The New England Journal of Medicine</w:t>
      </w:r>
      <w:r w:rsidRPr="00870248">
        <w:rPr>
          <w:rFonts w:ascii="Arial" w:hAnsi="Arial" w:cs="Arial"/>
          <w:color w:val="000000" w:themeColor="text1"/>
          <w:sz w:val="22"/>
          <w:szCs w:val="22"/>
        </w:rPr>
        <w:t xml:space="preserve">, 363(26), pp. 2477–2481. Available at: </w:t>
      </w:r>
      <w:hyperlink r:id="rId22" w:tgtFrame="_new" w:history="1">
        <w:r w:rsidRPr="00870248">
          <w:rPr>
            <w:rStyle w:val="Hyperlink"/>
            <w:rFonts w:ascii="Arial" w:eastAsiaTheme="majorEastAsia" w:hAnsi="Arial" w:cs="Arial"/>
            <w:color w:val="000000" w:themeColor="text1"/>
            <w:sz w:val="22"/>
            <w:szCs w:val="22"/>
          </w:rPr>
          <w:t>https://doi.org/10.1056/NEJMp1011024</w:t>
        </w:r>
      </w:hyperlink>
      <w:r w:rsidRPr="00870248">
        <w:rPr>
          <w:rFonts w:ascii="Arial" w:hAnsi="Arial" w:cs="Arial"/>
          <w:color w:val="000000" w:themeColor="text1"/>
          <w:sz w:val="22"/>
          <w:szCs w:val="22"/>
        </w:rPr>
        <w:t xml:space="preserve"> (Accessed: 20 July 2026).</w:t>
      </w:r>
    </w:p>
    <w:p w14:paraId="4142290F" w14:textId="3296B091" w:rsidR="00744019" w:rsidRPr="00870248" w:rsidRDefault="00744019" w:rsidP="00744019">
      <w:pPr>
        <w:pStyle w:val="NormalWeb"/>
        <w:rPr>
          <w:rFonts w:ascii="Arial" w:hAnsi="Arial" w:cs="Arial"/>
          <w:color w:val="000000" w:themeColor="text1"/>
          <w:sz w:val="22"/>
          <w:szCs w:val="22"/>
        </w:rPr>
      </w:pPr>
      <w:r w:rsidRPr="00870248">
        <w:rPr>
          <w:rFonts w:ascii="Arial" w:hAnsi="Arial" w:cs="Arial"/>
          <w:color w:val="000000" w:themeColor="text1"/>
          <w:sz w:val="22"/>
          <w:szCs w:val="22"/>
        </w:rPr>
        <w:t xml:space="preserve">Rogers, E.M. (2003) </w:t>
      </w:r>
      <w:r w:rsidRPr="00870248">
        <w:rPr>
          <w:rStyle w:val="Accentuat"/>
          <w:rFonts w:ascii="Arial" w:eastAsiaTheme="majorEastAsia" w:hAnsi="Arial" w:cs="Arial"/>
          <w:color w:val="000000" w:themeColor="text1"/>
          <w:sz w:val="22"/>
          <w:szCs w:val="22"/>
        </w:rPr>
        <w:t>Diffusion of innovations</w:t>
      </w:r>
      <w:r w:rsidRPr="00870248">
        <w:rPr>
          <w:rFonts w:ascii="Arial" w:hAnsi="Arial" w:cs="Arial"/>
          <w:color w:val="000000" w:themeColor="text1"/>
          <w:sz w:val="22"/>
          <w:szCs w:val="22"/>
        </w:rPr>
        <w:t xml:space="preserve">. 5th edn. New York: Free Press. Available at: </w:t>
      </w:r>
      <w:hyperlink r:id="rId23" w:tgtFrame="_new" w:history="1">
        <w:r w:rsidRPr="00870248">
          <w:rPr>
            <w:rStyle w:val="Hyperlink"/>
            <w:rFonts w:ascii="Arial" w:eastAsiaTheme="majorEastAsia" w:hAnsi="Arial" w:cs="Arial"/>
            <w:color w:val="000000" w:themeColor="text1"/>
            <w:sz w:val="22"/>
            <w:szCs w:val="22"/>
          </w:rPr>
          <w:t>Simon &amp; Schuster</w:t>
        </w:r>
      </w:hyperlink>
      <w:r w:rsidRPr="00870248">
        <w:rPr>
          <w:rFonts w:ascii="Arial" w:hAnsi="Arial" w:cs="Arial"/>
          <w:color w:val="000000" w:themeColor="text1"/>
          <w:sz w:val="22"/>
          <w:szCs w:val="22"/>
        </w:rPr>
        <w:t xml:space="preserve"> (Accessed:18 July 2026).</w:t>
      </w:r>
    </w:p>
    <w:p w14:paraId="677B44AE" w14:textId="77777777" w:rsidR="00D429DC" w:rsidRPr="00870248" w:rsidRDefault="00D429DC" w:rsidP="00080DA6">
      <w:pPr>
        <w:spacing w:line="360" w:lineRule="auto"/>
        <w:rPr>
          <w:rFonts w:ascii="Arial" w:hAnsi="Arial" w:cs="Arial"/>
          <w:color w:val="000000" w:themeColor="text1"/>
        </w:rPr>
      </w:pPr>
    </w:p>
    <w:p w14:paraId="3D46518D" w14:textId="77777777" w:rsidR="00543490" w:rsidRPr="00870248" w:rsidRDefault="00543490" w:rsidP="00080DA6">
      <w:pPr>
        <w:spacing w:line="360" w:lineRule="auto"/>
        <w:rPr>
          <w:rFonts w:ascii="Arial" w:hAnsi="Arial" w:cs="Arial"/>
          <w:color w:val="000000" w:themeColor="text1"/>
        </w:rPr>
      </w:pPr>
    </w:p>
    <w:p w14:paraId="73DA7FF1" w14:textId="77777777" w:rsidR="00543490" w:rsidRPr="00870248" w:rsidRDefault="00543490" w:rsidP="00080DA6">
      <w:pPr>
        <w:spacing w:line="360" w:lineRule="auto"/>
        <w:rPr>
          <w:rFonts w:ascii="Arial" w:hAnsi="Arial" w:cs="Arial"/>
          <w:color w:val="000000" w:themeColor="text1"/>
        </w:rPr>
      </w:pPr>
    </w:p>
    <w:p w14:paraId="4D58212B" w14:textId="77777777" w:rsidR="00543490" w:rsidRPr="00870248" w:rsidRDefault="00543490" w:rsidP="00080DA6">
      <w:pPr>
        <w:spacing w:line="360" w:lineRule="auto"/>
        <w:rPr>
          <w:rFonts w:ascii="Arial" w:hAnsi="Arial" w:cs="Arial"/>
          <w:color w:val="000000" w:themeColor="text1"/>
        </w:rPr>
      </w:pPr>
    </w:p>
    <w:p w14:paraId="38084615" w14:textId="0EE15CF5" w:rsidR="00543490" w:rsidRPr="00870248" w:rsidRDefault="00543490" w:rsidP="00080DA6">
      <w:pPr>
        <w:spacing w:line="360" w:lineRule="auto"/>
        <w:rPr>
          <w:rFonts w:ascii="Arial" w:hAnsi="Arial" w:cs="Arial"/>
          <w:color w:val="000000" w:themeColor="text1"/>
        </w:rPr>
      </w:pPr>
    </w:p>
    <w:p w14:paraId="76B7E1CA" w14:textId="075E0AD5" w:rsidR="00484A89" w:rsidRPr="00870248" w:rsidRDefault="00484A89" w:rsidP="00080DA6">
      <w:pPr>
        <w:spacing w:line="360" w:lineRule="auto"/>
        <w:rPr>
          <w:rFonts w:ascii="Arial" w:hAnsi="Arial" w:cs="Arial"/>
          <w:color w:val="000000" w:themeColor="text1"/>
        </w:rPr>
      </w:pPr>
    </w:p>
    <w:p w14:paraId="54FF1BAE" w14:textId="01F6F659" w:rsidR="00A40993" w:rsidRPr="00870248" w:rsidRDefault="00A40993" w:rsidP="00080DA6">
      <w:pPr>
        <w:spacing w:line="360" w:lineRule="auto"/>
        <w:rPr>
          <w:rFonts w:ascii="Arial" w:hAnsi="Arial" w:cs="Arial"/>
          <w:color w:val="000000" w:themeColor="text1"/>
        </w:rPr>
      </w:pPr>
    </w:p>
    <w:p w14:paraId="7A5553B9" w14:textId="77777777" w:rsidR="00D429DC" w:rsidRPr="00870248" w:rsidRDefault="00D429DC" w:rsidP="00080DA6">
      <w:pPr>
        <w:spacing w:line="360" w:lineRule="auto"/>
        <w:rPr>
          <w:rFonts w:ascii="Arial" w:hAnsi="Arial" w:cs="Arial"/>
          <w:color w:val="000000" w:themeColor="text1"/>
        </w:rPr>
      </w:pPr>
    </w:p>
    <w:p w14:paraId="53F49722" w14:textId="74EA8A45" w:rsidR="00A605D9" w:rsidRPr="00870248" w:rsidRDefault="00A605D9" w:rsidP="00080DA6">
      <w:pPr>
        <w:pStyle w:val="NormalWeb"/>
        <w:spacing w:line="360" w:lineRule="auto"/>
        <w:rPr>
          <w:rFonts w:ascii="Arial" w:hAnsi="Arial" w:cs="Arial"/>
          <w:color w:val="000000" w:themeColor="text1"/>
          <w:sz w:val="22"/>
          <w:szCs w:val="22"/>
        </w:rPr>
      </w:pPr>
    </w:p>
    <w:sectPr w:rsidR="00A605D9" w:rsidRPr="00870248">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747FBB" w14:textId="77777777" w:rsidR="006247D0" w:rsidRDefault="006247D0" w:rsidP="00A40993">
      <w:pPr>
        <w:spacing w:after="0" w:line="240" w:lineRule="auto"/>
      </w:pPr>
      <w:r>
        <w:separator/>
      </w:r>
    </w:p>
  </w:endnote>
  <w:endnote w:type="continuationSeparator" w:id="0">
    <w:p w14:paraId="6997A044" w14:textId="77777777" w:rsidR="006247D0" w:rsidRDefault="006247D0" w:rsidP="00A4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00AE3E" w14:textId="77777777" w:rsidR="006247D0" w:rsidRDefault="006247D0" w:rsidP="00A40993">
      <w:pPr>
        <w:spacing w:after="0" w:line="240" w:lineRule="auto"/>
      </w:pPr>
      <w:r>
        <w:separator/>
      </w:r>
    </w:p>
  </w:footnote>
  <w:footnote w:type="continuationSeparator" w:id="0">
    <w:p w14:paraId="04F24E29" w14:textId="77777777" w:rsidR="006247D0" w:rsidRDefault="006247D0" w:rsidP="00A4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1828558"/>
      <w:docPartObj>
        <w:docPartGallery w:val="Page Numbers (Top of Page)"/>
        <w:docPartUnique/>
      </w:docPartObj>
    </w:sdtPr>
    <w:sdtEndPr>
      <w:rPr>
        <w:noProof/>
      </w:rPr>
    </w:sdtEndPr>
    <w:sdtContent>
      <w:p w14:paraId="70CDB2EC" w14:textId="37B036F0" w:rsidR="00A40993" w:rsidRDefault="00A40993">
        <w:pPr>
          <w:pStyle w:val="Antet"/>
        </w:pPr>
        <w:r>
          <w:fldChar w:fldCharType="begin"/>
        </w:r>
        <w:r>
          <w:instrText xml:space="preserve"> PAGE   \* MERGEFORMAT </w:instrText>
        </w:r>
        <w:r>
          <w:fldChar w:fldCharType="separate"/>
        </w:r>
        <w:r>
          <w:rPr>
            <w:noProof/>
          </w:rPr>
          <w:t>2</w:t>
        </w:r>
        <w:r>
          <w:rPr>
            <w:noProof/>
          </w:rPr>
          <w:fldChar w:fldCharType="end"/>
        </w:r>
      </w:p>
    </w:sdtContent>
  </w:sdt>
  <w:p w14:paraId="25161D49" w14:textId="77777777" w:rsidR="00A40993" w:rsidRDefault="00A40993">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D57137"/>
    <w:multiLevelType w:val="multilevel"/>
    <w:tmpl w:val="4D762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FE0580"/>
    <w:multiLevelType w:val="multilevel"/>
    <w:tmpl w:val="7604E402"/>
    <w:lvl w:ilvl="0">
      <w:start w:val="1"/>
      <w:numFmt w:val="decimal"/>
      <w:lvlText w:val="%1."/>
      <w:lvlJc w:val="left"/>
      <w:pPr>
        <w:tabs>
          <w:tab w:val="num" w:pos="1210"/>
        </w:tabs>
        <w:ind w:left="1210" w:hanging="360"/>
      </w:pPr>
    </w:lvl>
    <w:lvl w:ilvl="1" w:tentative="1">
      <w:start w:val="1"/>
      <w:numFmt w:val="decimal"/>
      <w:lvlText w:val="%2."/>
      <w:lvlJc w:val="left"/>
      <w:pPr>
        <w:tabs>
          <w:tab w:val="num" w:pos="1930"/>
        </w:tabs>
        <w:ind w:left="1930" w:hanging="360"/>
      </w:pPr>
    </w:lvl>
    <w:lvl w:ilvl="2" w:tentative="1">
      <w:start w:val="1"/>
      <w:numFmt w:val="decimal"/>
      <w:lvlText w:val="%3."/>
      <w:lvlJc w:val="left"/>
      <w:pPr>
        <w:tabs>
          <w:tab w:val="num" w:pos="2650"/>
        </w:tabs>
        <w:ind w:left="2650" w:hanging="360"/>
      </w:pPr>
    </w:lvl>
    <w:lvl w:ilvl="3" w:tentative="1">
      <w:start w:val="1"/>
      <w:numFmt w:val="decimal"/>
      <w:lvlText w:val="%4."/>
      <w:lvlJc w:val="left"/>
      <w:pPr>
        <w:tabs>
          <w:tab w:val="num" w:pos="3370"/>
        </w:tabs>
        <w:ind w:left="3370" w:hanging="360"/>
      </w:pPr>
    </w:lvl>
    <w:lvl w:ilvl="4" w:tentative="1">
      <w:start w:val="1"/>
      <w:numFmt w:val="decimal"/>
      <w:lvlText w:val="%5."/>
      <w:lvlJc w:val="left"/>
      <w:pPr>
        <w:tabs>
          <w:tab w:val="num" w:pos="4090"/>
        </w:tabs>
        <w:ind w:left="4090" w:hanging="360"/>
      </w:pPr>
    </w:lvl>
    <w:lvl w:ilvl="5" w:tentative="1">
      <w:start w:val="1"/>
      <w:numFmt w:val="decimal"/>
      <w:lvlText w:val="%6."/>
      <w:lvlJc w:val="left"/>
      <w:pPr>
        <w:tabs>
          <w:tab w:val="num" w:pos="4810"/>
        </w:tabs>
        <w:ind w:left="4810" w:hanging="360"/>
      </w:pPr>
    </w:lvl>
    <w:lvl w:ilvl="6" w:tentative="1">
      <w:start w:val="1"/>
      <w:numFmt w:val="decimal"/>
      <w:lvlText w:val="%7."/>
      <w:lvlJc w:val="left"/>
      <w:pPr>
        <w:tabs>
          <w:tab w:val="num" w:pos="5530"/>
        </w:tabs>
        <w:ind w:left="5530" w:hanging="360"/>
      </w:pPr>
    </w:lvl>
    <w:lvl w:ilvl="7" w:tentative="1">
      <w:start w:val="1"/>
      <w:numFmt w:val="decimal"/>
      <w:lvlText w:val="%8."/>
      <w:lvlJc w:val="left"/>
      <w:pPr>
        <w:tabs>
          <w:tab w:val="num" w:pos="6250"/>
        </w:tabs>
        <w:ind w:left="6250" w:hanging="360"/>
      </w:pPr>
    </w:lvl>
    <w:lvl w:ilvl="8" w:tentative="1">
      <w:start w:val="1"/>
      <w:numFmt w:val="decimal"/>
      <w:lvlText w:val="%9."/>
      <w:lvlJc w:val="left"/>
      <w:pPr>
        <w:tabs>
          <w:tab w:val="num" w:pos="6970"/>
        </w:tabs>
        <w:ind w:left="6970" w:hanging="360"/>
      </w:pPr>
    </w:lvl>
  </w:abstractNum>
  <w:abstractNum w:abstractNumId="2" w15:restartNumberingAfterBreak="0">
    <w:nsid w:val="41B2787C"/>
    <w:multiLevelType w:val="multilevel"/>
    <w:tmpl w:val="ED36B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F27B9E"/>
    <w:multiLevelType w:val="multilevel"/>
    <w:tmpl w:val="52B66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3E2E38"/>
    <w:multiLevelType w:val="multilevel"/>
    <w:tmpl w:val="AA946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654BBB"/>
    <w:multiLevelType w:val="multilevel"/>
    <w:tmpl w:val="0E460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E61080"/>
    <w:multiLevelType w:val="multilevel"/>
    <w:tmpl w:val="7450C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94470">
    <w:abstractNumId w:val="5"/>
  </w:num>
  <w:num w:numId="2" w16cid:durableId="54011572">
    <w:abstractNumId w:val="0"/>
  </w:num>
  <w:num w:numId="3" w16cid:durableId="1794521177">
    <w:abstractNumId w:val="4"/>
  </w:num>
  <w:num w:numId="4" w16cid:durableId="164131872">
    <w:abstractNumId w:val="6"/>
  </w:num>
  <w:num w:numId="5" w16cid:durableId="1499615738">
    <w:abstractNumId w:val="2"/>
  </w:num>
  <w:num w:numId="6" w16cid:durableId="1303316061">
    <w:abstractNumId w:val="1"/>
  </w:num>
  <w:num w:numId="7" w16cid:durableId="19514672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1E1"/>
    <w:rsid w:val="000775F8"/>
    <w:rsid w:val="00080DA6"/>
    <w:rsid w:val="0008682D"/>
    <w:rsid w:val="000E1BEF"/>
    <w:rsid w:val="00147F02"/>
    <w:rsid w:val="0018438E"/>
    <w:rsid w:val="0019578B"/>
    <w:rsid w:val="001B4A5F"/>
    <w:rsid w:val="00207366"/>
    <w:rsid w:val="0025179C"/>
    <w:rsid w:val="00295514"/>
    <w:rsid w:val="002A5724"/>
    <w:rsid w:val="00367398"/>
    <w:rsid w:val="00377895"/>
    <w:rsid w:val="00484A89"/>
    <w:rsid w:val="004A5771"/>
    <w:rsid w:val="00526EE1"/>
    <w:rsid w:val="0053702C"/>
    <w:rsid w:val="00543490"/>
    <w:rsid w:val="006011E1"/>
    <w:rsid w:val="006247D0"/>
    <w:rsid w:val="00647C15"/>
    <w:rsid w:val="006C30C6"/>
    <w:rsid w:val="007128A5"/>
    <w:rsid w:val="00744019"/>
    <w:rsid w:val="00752120"/>
    <w:rsid w:val="007D5395"/>
    <w:rsid w:val="00813745"/>
    <w:rsid w:val="00827AD5"/>
    <w:rsid w:val="00870248"/>
    <w:rsid w:val="00903737"/>
    <w:rsid w:val="009814A1"/>
    <w:rsid w:val="009A17C3"/>
    <w:rsid w:val="009C4813"/>
    <w:rsid w:val="009D6972"/>
    <w:rsid w:val="00A05349"/>
    <w:rsid w:val="00A06707"/>
    <w:rsid w:val="00A15329"/>
    <w:rsid w:val="00A40993"/>
    <w:rsid w:val="00A605D9"/>
    <w:rsid w:val="00A83E35"/>
    <w:rsid w:val="00A86540"/>
    <w:rsid w:val="00B66464"/>
    <w:rsid w:val="00B7010C"/>
    <w:rsid w:val="00BB0CF6"/>
    <w:rsid w:val="00BD235B"/>
    <w:rsid w:val="00C172BC"/>
    <w:rsid w:val="00CA5F8D"/>
    <w:rsid w:val="00D10454"/>
    <w:rsid w:val="00D114E4"/>
    <w:rsid w:val="00D429DC"/>
    <w:rsid w:val="00E22380"/>
    <w:rsid w:val="00EB27BF"/>
    <w:rsid w:val="00F37C03"/>
    <w:rsid w:val="00F70062"/>
    <w:rsid w:val="00F70309"/>
    <w:rsid w:val="00F8448C"/>
    <w:rsid w:val="00FA4805"/>
    <w:rsid w:val="00FB5D01"/>
    <w:rsid w:val="00FF73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42B7"/>
  <w15:chartTrackingRefBased/>
  <w15:docId w15:val="{795BCC30-35C8-4879-8FD5-D13EBE85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011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6011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6011E1"/>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011E1"/>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011E1"/>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011E1"/>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011E1"/>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011E1"/>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011E1"/>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011E1"/>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011E1"/>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rsid w:val="006011E1"/>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011E1"/>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011E1"/>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011E1"/>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011E1"/>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011E1"/>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011E1"/>
    <w:rPr>
      <w:rFonts w:eastAsiaTheme="majorEastAsia" w:cstheme="majorBidi"/>
      <w:color w:val="272727" w:themeColor="text1" w:themeTint="D8"/>
    </w:rPr>
  </w:style>
  <w:style w:type="paragraph" w:styleId="Titlu">
    <w:name w:val="Title"/>
    <w:basedOn w:val="Normal"/>
    <w:next w:val="Normal"/>
    <w:link w:val="TitluCaracter"/>
    <w:uiPriority w:val="10"/>
    <w:qFormat/>
    <w:rsid w:val="006011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011E1"/>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011E1"/>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011E1"/>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011E1"/>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011E1"/>
    <w:rPr>
      <w:i/>
      <w:iCs/>
      <w:color w:val="404040" w:themeColor="text1" w:themeTint="BF"/>
    </w:rPr>
  </w:style>
  <w:style w:type="paragraph" w:styleId="Listparagraf">
    <w:name w:val="List Paragraph"/>
    <w:basedOn w:val="Normal"/>
    <w:uiPriority w:val="34"/>
    <w:qFormat/>
    <w:rsid w:val="006011E1"/>
    <w:pPr>
      <w:ind w:left="720"/>
      <w:contextualSpacing/>
    </w:pPr>
  </w:style>
  <w:style w:type="character" w:styleId="Accentuareintens">
    <w:name w:val="Intense Emphasis"/>
    <w:basedOn w:val="Fontdeparagrafimplicit"/>
    <w:uiPriority w:val="21"/>
    <w:qFormat/>
    <w:rsid w:val="006011E1"/>
    <w:rPr>
      <w:i/>
      <w:iCs/>
      <w:color w:val="0F4761" w:themeColor="accent1" w:themeShade="BF"/>
    </w:rPr>
  </w:style>
  <w:style w:type="paragraph" w:styleId="Citatintens">
    <w:name w:val="Intense Quote"/>
    <w:basedOn w:val="Normal"/>
    <w:next w:val="Normal"/>
    <w:link w:val="CitatintensCaracter"/>
    <w:uiPriority w:val="30"/>
    <w:qFormat/>
    <w:rsid w:val="006011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011E1"/>
    <w:rPr>
      <w:i/>
      <w:iCs/>
      <w:color w:val="0F4761" w:themeColor="accent1" w:themeShade="BF"/>
    </w:rPr>
  </w:style>
  <w:style w:type="character" w:styleId="Referireintens">
    <w:name w:val="Intense Reference"/>
    <w:basedOn w:val="Fontdeparagrafimplicit"/>
    <w:uiPriority w:val="32"/>
    <w:qFormat/>
    <w:rsid w:val="006011E1"/>
    <w:rPr>
      <w:b/>
      <w:bCs/>
      <w:smallCaps/>
      <w:color w:val="0F4761" w:themeColor="accent1" w:themeShade="BF"/>
      <w:spacing w:val="5"/>
    </w:rPr>
  </w:style>
  <w:style w:type="paragraph" w:styleId="Antet">
    <w:name w:val="header"/>
    <w:basedOn w:val="Normal"/>
    <w:link w:val="AntetCaracter"/>
    <w:uiPriority w:val="99"/>
    <w:unhideWhenUsed/>
    <w:rsid w:val="00A40993"/>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40993"/>
  </w:style>
  <w:style w:type="paragraph" w:styleId="Subsol">
    <w:name w:val="footer"/>
    <w:basedOn w:val="Normal"/>
    <w:link w:val="SubsolCaracter"/>
    <w:uiPriority w:val="99"/>
    <w:unhideWhenUsed/>
    <w:rsid w:val="00A40993"/>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40993"/>
  </w:style>
  <w:style w:type="table" w:styleId="Tabelgril">
    <w:name w:val="Table Grid"/>
    <w:basedOn w:val="TabelNormal"/>
    <w:uiPriority w:val="59"/>
    <w:rsid w:val="00A40993"/>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character" w:styleId="Hyperlink">
    <w:name w:val="Hyperlink"/>
    <w:basedOn w:val="Fontdeparagrafimplicit"/>
    <w:uiPriority w:val="99"/>
    <w:unhideWhenUsed/>
    <w:rsid w:val="00BD235B"/>
    <w:rPr>
      <w:color w:val="467886" w:themeColor="hyperlink"/>
      <w:u w:val="single"/>
    </w:rPr>
  </w:style>
  <w:style w:type="character" w:styleId="MeniuneNerezolvat">
    <w:name w:val="Unresolved Mention"/>
    <w:basedOn w:val="Fontdeparagrafimplicit"/>
    <w:uiPriority w:val="99"/>
    <w:semiHidden/>
    <w:unhideWhenUsed/>
    <w:rsid w:val="00BD235B"/>
    <w:rPr>
      <w:color w:val="605E5C"/>
      <w:shd w:val="clear" w:color="auto" w:fill="E1DFDD"/>
    </w:rPr>
  </w:style>
  <w:style w:type="paragraph" w:styleId="NormalWeb">
    <w:name w:val="Normal (Web)"/>
    <w:basedOn w:val="Normal"/>
    <w:uiPriority w:val="99"/>
    <w:unhideWhenUsed/>
    <w:rsid w:val="00484A8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484A89"/>
    <w:rPr>
      <w:i/>
      <w:iCs/>
    </w:rPr>
  </w:style>
  <w:style w:type="character" w:styleId="Robust">
    <w:name w:val="Strong"/>
    <w:basedOn w:val="Fontdeparagrafimplicit"/>
    <w:uiPriority w:val="22"/>
    <w:qFormat/>
    <w:rsid w:val="00D429DC"/>
    <w:rPr>
      <w:b/>
      <w:bCs/>
    </w:rPr>
  </w:style>
  <w:style w:type="character" w:customStyle="1" w:styleId="whitespace-normal">
    <w:name w:val="whitespace-normal"/>
    <w:basedOn w:val="Fontdeparagrafimplicit"/>
    <w:rsid w:val="00D429DC"/>
  </w:style>
  <w:style w:type="character" w:customStyle="1" w:styleId="aupe">
    <w:name w:val="_aupe"/>
    <w:basedOn w:val="Fontdeparagrafimplicit"/>
    <w:rsid w:val="00526EE1"/>
  </w:style>
  <w:style w:type="paragraph" w:customStyle="1" w:styleId="pdq2pgselectionanchorcontainer">
    <w:name w:val="pdq2pg_selectionanchorcontainer"/>
    <w:basedOn w:val="Normal"/>
    <w:rsid w:val="007440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77345">
      <w:bodyDiv w:val="1"/>
      <w:marLeft w:val="0"/>
      <w:marRight w:val="0"/>
      <w:marTop w:val="0"/>
      <w:marBottom w:val="0"/>
      <w:divBdr>
        <w:top w:val="none" w:sz="0" w:space="0" w:color="auto"/>
        <w:left w:val="none" w:sz="0" w:space="0" w:color="auto"/>
        <w:bottom w:val="none" w:sz="0" w:space="0" w:color="auto"/>
        <w:right w:val="none" w:sz="0" w:space="0" w:color="auto"/>
      </w:divBdr>
    </w:div>
    <w:div w:id="28340909">
      <w:bodyDiv w:val="1"/>
      <w:marLeft w:val="0"/>
      <w:marRight w:val="0"/>
      <w:marTop w:val="0"/>
      <w:marBottom w:val="0"/>
      <w:divBdr>
        <w:top w:val="none" w:sz="0" w:space="0" w:color="auto"/>
        <w:left w:val="none" w:sz="0" w:space="0" w:color="auto"/>
        <w:bottom w:val="none" w:sz="0" w:space="0" w:color="auto"/>
        <w:right w:val="none" w:sz="0" w:space="0" w:color="auto"/>
      </w:divBdr>
    </w:div>
    <w:div w:id="91439811">
      <w:bodyDiv w:val="1"/>
      <w:marLeft w:val="0"/>
      <w:marRight w:val="0"/>
      <w:marTop w:val="0"/>
      <w:marBottom w:val="0"/>
      <w:divBdr>
        <w:top w:val="none" w:sz="0" w:space="0" w:color="auto"/>
        <w:left w:val="none" w:sz="0" w:space="0" w:color="auto"/>
        <w:bottom w:val="none" w:sz="0" w:space="0" w:color="auto"/>
        <w:right w:val="none" w:sz="0" w:space="0" w:color="auto"/>
      </w:divBdr>
    </w:div>
    <w:div w:id="118576738">
      <w:bodyDiv w:val="1"/>
      <w:marLeft w:val="0"/>
      <w:marRight w:val="0"/>
      <w:marTop w:val="0"/>
      <w:marBottom w:val="0"/>
      <w:divBdr>
        <w:top w:val="none" w:sz="0" w:space="0" w:color="auto"/>
        <w:left w:val="none" w:sz="0" w:space="0" w:color="auto"/>
        <w:bottom w:val="none" w:sz="0" w:space="0" w:color="auto"/>
        <w:right w:val="none" w:sz="0" w:space="0" w:color="auto"/>
      </w:divBdr>
    </w:div>
    <w:div w:id="122385724">
      <w:bodyDiv w:val="1"/>
      <w:marLeft w:val="0"/>
      <w:marRight w:val="0"/>
      <w:marTop w:val="0"/>
      <w:marBottom w:val="0"/>
      <w:divBdr>
        <w:top w:val="none" w:sz="0" w:space="0" w:color="auto"/>
        <w:left w:val="none" w:sz="0" w:space="0" w:color="auto"/>
        <w:bottom w:val="none" w:sz="0" w:space="0" w:color="auto"/>
        <w:right w:val="none" w:sz="0" w:space="0" w:color="auto"/>
      </w:divBdr>
    </w:div>
    <w:div w:id="577248833">
      <w:bodyDiv w:val="1"/>
      <w:marLeft w:val="0"/>
      <w:marRight w:val="0"/>
      <w:marTop w:val="0"/>
      <w:marBottom w:val="0"/>
      <w:divBdr>
        <w:top w:val="none" w:sz="0" w:space="0" w:color="auto"/>
        <w:left w:val="none" w:sz="0" w:space="0" w:color="auto"/>
        <w:bottom w:val="none" w:sz="0" w:space="0" w:color="auto"/>
        <w:right w:val="none" w:sz="0" w:space="0" w:color="auto"/>
      </w:divBdr>
    </w:div>
    <w:div w:id="620723277">
      <w:bodyDiv w:val="1"/>
      <w:marLeft w:val="0"/>
      <w:marRight w:val="0"/>
      <w:marTop w:val="0"/>
      <w:marBottom w:val="0"/>
      <w:divBdr>
        <w:top w:val="none" w:sz="0" w:space="0" w:color="auto"/>
        <w:left w:val="none" w:sz="0" w:space="0" w:color="auto"/>
        <w:bottom w:val="none" w:sz="0" w:space="0" w:color="auto"/>
        <w:right w:val="none" w:sz="0" w:space="0" w:color="auto"/>
      </w:divBdr>
    </w:div>
    <w:div w:id="625281203">
      <w:bodyDiv w:val="1"/>
      <w:marLeft w:val="0"/>
      <w:marRight w:val="0"/>
      <w:marTop w:val="0"/>
      <w:marBottom w:val="0"/>
      <w:divBdr>
        <w:top w:val="none" w:sz="0" w:space="0" w:color="auto"/>
        <w:left w:val="none" w:sz="0" w:space="0" w:color="auto"/>
        <w:bottom w:val="none" w:sz="0" w:space="0" w:color="auto"/>
        <w:right w:val="none" w:sz="0" w:space="0" w:color="auto"/>
      </w:divBdr>
    </w:div>
    <w:div w:id="801927967">
      <w:bodyDiv w:val="1"/>
      <w:marLeft w:val="0"/>
      <w:marRight w:val="0"/>
      <w:marTop w:val="0"/>
      <w:marBottom w:val="0"/>
      <w:divBdr>
        <w:top w:val="none" w:sz="0" w:space="0" w:color="auto"/>
        <w:left w:val="none" w:sz="0" w:space="0" w:color="auto"/>
        <w:bottom w:val="none" w:sz="0" w:space="0" w:color="auto"/>
        <w:right w:val="none" w:sz="0" w:space="0" w:color="auto"/>
      </w:divBdr>
    </w:div>
    <w:div w:id="848984026">
      <w:bodyDiv w:val="1"/>
      <w:marLeft w:val="0"/>
      <w:marRight w:val="0"/>
      <w:marTop w:val="0"/>
      <w:marBottom w:val="0"/>
      <w:divBdr>
        <w:top w:val="none" w:sz="0" w:space="0" w:color="auto"/>
        <w:left w:val="none" w:sz="0" w:space="0" w:color="auto"/>
        <w:bottom w:val="none" w:sz="0" w:space="0" w:color="auto"/>
        <w:right w:val="none" w:sz="0" w:space="0" w:color="auto"/>
      </w:divBdr>
    </w:div>
    <w:div w:id="858081064">
      <w:bodyDiv w:val="1"/>
      <w:marLeft w:val="0"/>
      <w:marRight w:val="0"/>
      <w:marTop w:val="0"/>
      <w:marBottom w:val="0"/>
      <w:divBdr>
        <w:top w:val="none" w:sz="0" w:space="0" w:color="auto"/>
        <w:left w:val="none" w:sz="0" w:space="0" w:color="auto"/>
        <w:bottom w:val="none" w:sz="0" w:space="0" w:color="auto"/>
        <w:right w:val="none" w:sz="0" w:space="0" w:color="auto"/>
      </w:divBdr>
    </w:div>
    <w:div w:id="901057731">
      <w:bodyDiv w:val="1"/>
      <w:marLeft w:val="0"/>
      <w:marRight w:val="0"/>
      <w:marTop w:val="0"/>
      <w:marBottom w:val="0"/>
      <w:divBdr>
        <w:top w:val="none" w:sz="0" w:space="0" w:color="auto"/>
        <w:left w:val="none" w:sz="0" w:space="0" w:color="auto"/>
        <w:bottom w:val="none" w:sz="0" w:space="0" w:color="auto"/>
        <w:right w:val="none" w:sz="0" w:space="0" w:color="auto"/>
      </w:divBdr>
    </w:div>
    <w:div w:id="940651984">
      <w:bodyDiv w:val="1"/>
      <w:marLeft w:val="0"/>
      <w:marRight w:val="0"/>
      <w:marTop w:val="0"/>
      <w:marBottom w:val="0"/>
      <w:divBdr>
        <w:top w:val="none" w:sz="0" w:space="0" w:color="auto"/>
        <w:left w:val="none" w:sz="0" w:space="0" w:color="auto"/>
        <w:bottom w:val="none" w:sz="0" w:space="0" w:color="auto"/>
        <w:right w:val="none" w:sz="0" w:space="0" w:color="auto"/>
      </w:divBdr>
      <w:divsChild>
        <w:div w:id="1409578456">
          <w:marLeft w:val="0"/>
          <w:marRight w:val="0"/>
          <w:marTop w:val="0"/>
          <w:marBottom w:val="0"/>
          <w:divBdr>
            <w:top w:val="none" w:sz="0" w:space="0" w:color="auto"/>
            <w:left w:val="none" w:sz="0" w:space="0" w:color="auto"/>
            <w:bottom w:val="none" w:sz="0" w:space="0" w:color="auto"/>
            <w:right w:val="none" w:sz="0" w:space="0" w:color="auto"/>
          </w:divBdr>
        </w:div>
        <w:div w:id="1785343340">
          <w:marLeft w:val="0"/>
          <w:marRight w:val="0"/>
          <w:marTop w:val="0"/>
          <w:marBottom w:val="0"/>
          <w:divBdr>
            <w:top w:val="none" w:sz="0" w:space="0" w:color="auto"/>
            <w:left w:val="none" w:sz="0" w:space="0" w:color="auto"/>
            <w:bottom w:val="none" w:sz="0" w:space="0" w:color="auto"/>
            <w:right w:val="none" w:sz="0" w:space="0" w:color="auto"/>
          </w:divBdr>
        </w:div>
        <w:div w:id="636301942">
          <w:marLeft w:val="0"/>
          <w:marRight w:val="0"/>
          <w:marTop w:val="0"/>
          <w:marBottom w:val="0"/>
          <w:divBdr>
            <w:top w:val="none" w:sz="0" w:space="0" w:color="auto"/>
            <w:left w:val="none" w:sz="0" w:space="0" w:color="auto"/>
            <w:bottom w:val="none" w:sz="0" w:space="0" w:color="auto"/>
            <w:right w:val="none" w:sz="0" w:space="0" w:color="auto"/>
          </w:divBdr>
        </w:div>
        <w:div w:id="1183473002">
          <w:marLeft w:val="0"/>
          <w:marRight w:val="0"/>
          <w:marTop w:val="0"/>
          <w:marBottom w:val="0"/>
          <w:divBdr>
            <w:top w:val="none" w:sz="0" w:space="0" w:color="auto"/>
            <w:left w:val="none" w:sz="0" w:space="0" w:color="auto"/>
            <w:bottom w:val="none" w:sz="0" w:space="0" w:color="auto"/>
            <w:right w:val="none" w:sz="0" w:space="0" w:color="auto"/>
          </w:divBdr>
        </w:div>
        <w:div w:id="185679023">
          <w:marLeft w:val="0"/>
          <w:marRight w:val="0"/>
          <w:marTop w:val="0"/>
          <w:marBottom w:val="0"/>
          <w:divBdr>
            <w:top w:val="none" w:sz="0" w:space="0" w:color="auto"/>
            <w:left w:val="none" w:sz="0" w:space="0" w:color="auto"/>
            <w:bottom w:val="none" w:sz="0" w:space="0" w:color="auto"/>
            <w:right w:val="none" w:sz="0" w:space="0" w:color="auto"/>
          </w:divBdr>
        </w:div>
        <w:div w:id="613291484">
          <w:marLeft w:val="0"/>
          <w:marRight w:val="0"/>
          <w:marTop w:val="0"/>
          <w:marBottom w:val="0"/>
          <w:divBdr>
            <w:top w:val="none" w:sz="0" w:space="0" w:color="auto"/>
            <w:left w:val="none" w:sz="0" w:space="0" w:color="auto"/>
            <w:bottom w:val="none" w:sz="0" w:space="0" w:color="auto"/>
            <w:right w:val="none" w:sz="0" w:space="0" w:color="auto"/>
          </w:divBdr>
        </w:div>
      </w:divsChild>
    </w:div>
    <w:div w:id="953900072">
      <w:bodyDiv w:val="1"/>
      <w:marLeft w:val="0"/>
      <w:marRight w:val="0"/>
      <w:marTop w:val="0"/>
      <w:marBottom w:val="0"/>
      <w:divBdr>
        <w:top w:val="none" w:sz="0" w:space="0" w:color="auto"/>
        <w:left w:val="none" w:sz="0" w:space="0" w:color="auto"/>
        <w:bottom w:val="none" w:sz="0" w:space="0" w:color="auto"/>
        <w:right w:val="none" w:sz="0" w:space="0" w:color="auto"/>
      </w:divBdr>
    </w:div>
    <w:div w:id="957568522">
      <w:bodyDiv w:val="1"/>
      <w:marLeft w:val="0"/>
      <w:marRight w:val="0"/>
      <w:marTop w:val="0"/>
      <w:marBottom w:val="0"/>
      <w:divBdr>
        <w:top w:val="none" w:sz="0" w:space="0" w:color="auto"/>
        <w:left w:val="none" w:sz="0" w:space="0" w:color="auto"/>
        <w:bottom w:val="none" w:sz="0" w:space="0" w:color="auto"/>
        <w:right w:val="none" w:sz="0" w:space="0" w:color="auto"/>
      </w:divBdr>
    </w:div>
    <w:div w:id="1006443085">
      <w:bodyDiv w:val="1"/>
      <w:marLeft w:val="0"/>
      <w:marRight w:val="0"/>
      <w:marTop w:val="0"/>
      <w:marBottom w:val="0"/>
      <w:divBdr>
        <w:top w:val="none" w:sz="0" w:space="0" w:color="auto"/>
        <w:left w:val="none" w:sz="0" w:space="0" w:color="auto"/>
        <w:bottom w:val="none" w:sz="0" w:space="0" w:color="auto"/>
        <w:right w:val="none" w:sz="0" w:space="0" w:color="auto"/>
      </w:divBdr>
    </w:div>
    <w:div w:id="1236865171">
      <w:bodyDiv w:val="1"/>
      <w:marLeft w:val="0"/>
      <w:marRight w:val="0"/>
      <w:marTop w:val="0"/>
      <w:marBottom w:val="0"/>
      <w:divBdr>
        <w:top w:val="none" w:sz="0" w:space="0" w:color="auto"/>
        <w:left w:val="none" w:sz="0" w:space="0" w:color="auto"/>
        <w:bottom w:val="none" w:sz="0" w:space="0" w:color="auto"/>
        <w:right w:val="none" w:sz="0" w:space="0" w:color="auto"/>
      </w:divBdr>
    </w:div>
    <w:div w:id="1250626267">
      <w:bodyDiv w:val="1"/>
      <w:marLeft w:val="0"/>
      <w:marRight w:val="0"/>
      <w:marTop w:val="0"/>
      <w:marBottom w:val="0"/>
      <w:divBdr>
        <w:top w:val="none" w:sz="0" w:space="0" w:color="auto"/>
        <w:left w:val="none" w:sz="0" w:space="0" w:color="auto"/>
        <w:bottom w:val="none" w:sz="0" w:space="0" w:color="auto"/>
        <w:right w:val="none" w:sz="0" w:space="0" w:color="auto"/>
      </w:divBdr>
    </w:div>
    <w:div w:id="1341354578">
      <w:bodyDiv w:val="1"/>
      <w:marLeft w:val="0"/>
      <w:marRight w:val="0"/>
      <w:marTop w:val="0"/>
      <w:marBottom w:val="0"/>
      <w:divBdr>
        <w:top w:val="none" w:sz="0" w:space="0" w:color="auto"/>
        <w:left w:val="none" w:sz="0" w:space="0" w:color="auto"/>
        <w:bottom w:val="none" w:sz="0" w:space="0" w:color="auto"/>
        <w:right w:val="none" w:sz="0" w:space="0" w:color="auto"/>
      </w:divBdr>
    </w:div>
    <w:div w:id="1356300009">
      <w:bodyDiv w:val="1"/>
      <w:marLeft w:val="0"/>
      <w:marRight w:val="0"/>
      <w:marTop w:val="0"/>
      <w:marBottom w:val="0"/>
      <w:divBdr>
        <w:top w:val="none" w:sz="0" w:space="0" w:color="auto"/>
        <w:left w:val="none" w:sz="0" w:space="0" w:color="auto"/>
        <w:bottom w:val="none" w:sz="0" w:space="0" w:color="auto"/>
        <w:right w:val="none" w:sz="0" w:space="0" w:color="auto"/>
      </w:divBdr>
    </w:div>
    <w:div w:id="1365205200">
      <w:bodyDiv w:val="1"/>
      <w:marLeft w:val="0"/>
      <w:marRight w:val="0"/>
      <w:marTop w:val="0"/>
      <w:marBottom w:val="0"/>
      <w:divBdr>
        <w:top w:val="none" w:sz="0" w:space="0" w:color="auto"/>
        <w:left w:val="none" w:sz="0" w:space="0" w:color="auto"/>
        <w:bottom w:val="none" w:sz="0" w:space="0" w:color="auto"/>
        <w:right w:val="none" w:sz="0" w:space="0" w:color="auto"/>
      </w:divBdr>
    </w:div>
    <w:div w:id="1381632030">
      <w:bodyDiv w:val="1"/>
      <w:marLeft w:val="0"/>
      <w:marRight w:val="0"/>
      <w:marTop w:val="0"/>
      <w:marBottom w:val="0"/>
      <w:divBdr>
        <w:top w:val="none" w:sz="0" w:space="0" w:color="auto"/>
        <w:left w:val="none" w:sz="0" w:space="0" w:color="auto"/>
        <w:bottom w:val="none" w:sz="0" w:space="0" w:color="auto"/>
        <w:right w:val="none" w:sz="0" w:space="0" w:color="auto"/>
      </w:divBdr>
    </w:div>
    <w:div w:id="1410620786">
      <w:bodyDiv w:val="1"/>
      <w:marLeft w:val="0"/>
      <w:marRight w:val="0"/>
      <w:marTop w:val="0"/>
      <w:marBottom w:val="0"/>
      <w:divBdr>
        <w:top w:val="none" w:sz="0" w:space="0" w:color="auto"/>
        <w:left w:val="none" w:sz="0" w:space="0" w:color="auto"/>
        <w:bottom w:val="none" w:sz="0" w:space="0" w:color="auto"/>
        <w:right w:val="none" w:sz="0" w:space="0" w:color="auto"/>
      </w:divBdr>
      <w:divsChild>
        <w:div w:id="712462683">
          <w:marLeft w:val="0"/>
          <w:marRight w:val="0"/>
          <w:marTop w:val="0"/>
          <w:marBottom w:val="0"/>
          <w:divBdr>
            <w:top w:val="none" w:sz="0" w:space="0" w:color="auto"/>
            <w:left w:val="none" w:sz="0" w:space="0" w:color="auto"/>
            <w:bottom w:val="none" w:sz="0" w:space="0" w:color="auto"/>
            <w:right w:val="none" w:sz="0" w:space="0" w:color="auto"/>
          </w:divBdr>
        </w:div>
        <w:div w:id="669406378">
          <w:marLeft w:val="0"/>
          <w:marRight w:val="0"/>
          <w:marTop w:val="0"/>
          <w:marBottom w:val="0"/>
          <w:divBdr>
            <w:top w:val="none" w:sz="0" w:space="0" w:color="auto"/>
            <w:left w:val="none" w:sz="0" w:space="0" w:color="auto"/>
            <w:bottom w:val="none" w:sz="0" w:space="0" w:color="auto"/>
            <w:right w:val="none" w:sz="0" w:space="0" w:color="auto"/>
          </w:divBdr>
        </w:div>
        <w:div w:id="1499878988">
          <w:marLeft w:val="0"/>
          <w:marRight w:val="0"/>
          <w:marTop w:val="0"/>
          <w:marBottom w:val="0"/>
          <w:divBdr>
            <w:top w:val="none" w:sz="0" w:space="0" w:color="auto"/>
            <w:left w:val="none" w:sz="0" w:space="0" w:color="auto"/>
            <w:bottom w:val="none" w:sz="0" w:space="0" w:color="auto"/>
            <w:right w:val="none" w:sz="0" w:space="0" w:color="auto"/>
          </w:divBdr>
        </w:div>
        <w:div w:id="115102653">
          <w:marLeft w:val="0"/>
          <w:marRight w:val="0"/>
          <w:marTop w:val="0"/>
          <w:marBottom w:val="0"/>
          <w:divBdr>
            <w:top w:val="none" w:sz="0" w:space="0" w:color="auto"/>
            <w:left w:val="none" w:sz="0" w:space="0" w:color="auto"/>
            <w:bottom w:val="none" w:sz="0" w:space="0" w:color="auto"/>
            <w:right w:val="none" w:sz="0" w:space="0" w:color="auto"/>
          </w:divBdr>
        </w:div>
        <w:div w:id="1111630578">
          <w:marLeft w:val="0"/>
          <w:marRight w:val="0"/>
          <w:marTop w:val="0"/>
          <w:marBottom w:val="0"/>
          <w:divBdr>
            <w:top w:val="none" w:sz="0" w:space="0" w:color="auto"/>
            <w:left w:val="none" w:sz="0" w:space="0" w:color="auto"/>
            <w:bottom w:val="none" w:sz="0" w:space="0" w:color="auto"/>
            <w:right w:val="none" w:sz="0" w:space="0" w:color="auto"/>
          </w:divBdr>
        </w:div>
        <w:div w:id="750200170">
          <w:marLeft w:val="0"/>
          <w:marRight w:val="0"/>
          <w:marTop w:val="0"/>
          <w:marBottom w:val="0"/>
          <w:divBdr>
            <w:top w:val="none" w:sz="0" w:space="0" w:color="auto"/>
            <w:left w:val="none" w:sz="0" w:space="0" w:color="auto"/>
            <w:bottom w:val="none" w:sz="0" w:space="0" w:color="auto"/>
            <w:right w:val="none" w:sz="0" w:space="0" w:color="auto"/>
          </w:divBdr>
        </w:div>
      </w:divsChild>
    </w:div>
    <w:div w:id="1458062276">
      <w:bodyDiv w:val="1"/>
      <w:marLeft w:val="0"/>
      <w:marRight w:val="0"/>
      <w:marTop w:val="0"/>
      <w:marBottom w:val="0"/>
      <w:divBdr>
        <w:top w:val="none" w:sz="0" w:space="0" w:color="auto"/>
        <w:left w:val="none" w:sz="0" w:space="0" w:color="auto"/>
        <w:bottom w:val="none" w:sz="0" w:space="0" w:color="auto"/>
        <w:right w:val="none" w:sz="0" w:space="0" w:color="auto"/>
      </w:divBdr>
    </w:div>
    <w:div w:id="1495300462">
      <w:bodyDiv w:val="1"/>
      <w:marLeft w:val="0"/>
      <w:marRight w:val="0"/>
      <w:marTop w:val="0"/>
      <w:marBottom w:val="0"/>
      <w:divBdr>
        <w:top w:val="none" w:sz="0" w:space="0" w:color="auto"/>
        <w:left w:val="none" w:sz="0" w:space="0" w:color="auto"/>
        <w:bottom w:val="none" w:sz="0" w:space="0" w:color="auto"/>
        <w:right w:val="none" w:sz="0" w:space="0" w:color="auto"/>
      </w:divBdr>
    </w:div>
    <w:div w:id="1541044792">
      <w:bodyDiv w:val="1"/>
      <w:marLeft w:val="0"/>
      <w:marRight w:val="0"/>
      <w:marTop w:val="0"/>
      <w:marBottom w:val="0"/>
      <w:divBdr>
        <w:top w:val="none" w:sz="0" w:space="0" w:color="auto"/>
        <w:left w:val="none" w:sz="0" w:space="0" w:color="auto"/>
        <w:bottom w:val="none" w:sz="0" w:space="0" w:color="auto"/>
        <w:right w:val="none" w:sz="0" w:space="0" w:color="auto"/>
      </w:divBdr>
    </w:div>
    <w:div w:id="1597444539">
      <w:bodyDiv w:val="1"/>
      <w:marLeft w:val="0"/>
      <w:marRight w:val="0"/>
      <w:marTop w:val="0"/>
      <w:marBottom w:val="0"/>
      <w:divBdr>
        <w:top w:val="none" w:sz="0" w:space="0" w:color="auto"/>
        <w:left w:val="none" w:sz="0" w:space="0" w:color="auto"/>
        <w:bottom w:val="none" w:sz="0" w:space="0" w:color="auto"/>
        <w:right w:val="none" w:sz="0" w:space="0" w:color="auto"/>
      </w:divBdr>
    </w:div>
    <w:div w:id="1636257831">
      <w:bodyDiv w:val="1"/>
      <w:marLeft w:val="0"/>
      <w:marRight w:val="0"/>
      <w:marTop w:val="0"/>
      <w:marBottom w:val="0"/>
      <w:divBdr>
        <w:top w:val="none" w:sz="0" w:space="0" w:color="auto"/>
        <w:left w:val="none" w:sz="0" w:space="0" w:color="auto"/>
        <w:bottom w:val="none" w:sz="0" w:space="0" w:color="auto"/>
        <w:right w:val="none" w:sz="0" w:space="0" w:color="auto"/>
      </w:divBdr>
    </w:div>
    <w:div w:id="1675110177">
      <w:bodyDiv w:val="1"/>
      <w:marLeft w:val="0"/>
      <w:marRight w:val="0"/>
      <w:marTop w:val="0"/>
      <w:marBottom w:val="0"/>
      <w:divBdr>
        <w:top w:val="none" w:sz="0" w:space="0" w:color="auto"/>
        <w:left w:val="none" w:sz="0" w:space="0" w:color="auto"/>
        <w:bottom w:val="none" w:sz="0" w:space="0" w:color="auto"/>
        <w:right w:val="none" w:sz="0" w:space="0" w:color="auto"/>
      </w:divBdr>
    </w:div>
    <w:div w:id="1860509028">
      <w:bodyDiv w:val="1"/>
      <w:marLeft w:val="0"/>
      <w:marRight w:val="0"/>
      <w:marTop w:val="0"/>
      <w:marBottom w:val="0"/>
      <w:divBdr>
        <w:top w:val="none" w:sz="0" w:space="0" w:color="auto"/>
        <w:left w:val="none" w:sz="0" w:space="0" w:color="auto"/>
        <w:bottom w:val="none" w:sz="0" w:space="0" w:color="auto"/>
        <w:right w:val="none" w:sz="0" w:space="0" w:color="auto"/>
      </w:divBdr>
    </w:div>
    <w:div w:id="1925606970">
      <w:bodyDiv w:val="1"/>
      <w:marLeft w:val="0"/>
      <w:marRight w:val="0"/>
      <w:marTop w:val="0"/>
      <w:marBottom w:val="0"/>
      <w:divBdr>
        <w:top w:val="none" w:sz="0" w:space="0" w:color="auto"/>
        <w:left w:val="none" w:sz="0" w:space="0" w:color="auto"/>
        <w:bottom w:val="none" w:sz="0" w:space="0" w:color="auto"/>
        <w:right w:val="none" w:sz="0" w:space="0" w:color="auto"/>
      </w:divBdr>
    </w:div>
    <w:div w:id="2078091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doi.org/10.1111/j.1467-6486.2004.00463.x" TargetMode="External" /><Relationship Id="rId18" Type="http://schemas.openxmlformats.org/officeDocument/2006/relationships/hyperlink" Target="https://www.chelseagreen.com/product/thinking-in-systems/" TargetMode="External" /><Relationship Id="rId26" Type="http://schemas.openxmlformats.org/officeDocument/2006/relationships/theme" Target="theme/theme1.xml" /><Relationship Id="rId3" Type="http://schemas.openxmlformats.org/officeDocument/2006/relationships/settings" Target="settings.xml" /><Relationship Id="rId21" Type="http://schemas.openxmlformats.org/officeDocument/2006/relationships/hyperlink" Target="https://www.leadershipacademy.nhs.uk/wp-content/uploads/dlm_uploads/2014/10/NHSLeadership-LeadershipModel-colour.pdf" TargetMode="External" /><Relationship Id="rId7" Type="http://schemas.openxmlformats.org/officeDocument/2006/relationships/image" Target="media/image1.png" /><Relationship Id="rId12" Type="http://schemas.openxmlformats.org/officeDocument/2006/relationships/hyperlink" Target="https://doi.org/10.1001/jama.2016.19975" TargetMode="External" /><Relationship Id="rId17" Type="http://schemas.openxmlformats.org/officeDocument/2006/relationships/hyperlink" Target="https://doi.org/10.1371/journal.pone.0159015" TargetMode="External" /><Relationship Id="rId25"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hyperlink" Target="https://books.google.com/books/about/Learning_by_Doing.html?id=z2CxAAAACAAJ&amp;utm_source=chatgpt.com" TargetMode="External" /><Relationship Id="rId20" Type="http://schemas.openxmlformats.org/officeDocument/2006/relationships/hyperlink" Target="https://www.england.nhs.uk/long-read/virtual-wards-operational-framework/"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books.google.com/books/about/Improving_Organizational_Effectiveness_T.html?id=_z3_BOVYK-IC" TargetMode="External" /><Relationship Id="rId24"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doi.org/10.2307/249008" TargetMode="External" /><Relationship Id="rId23" Type="http://schemas.openxmlformats.org/officeDocument/2006/relationships/hyperlink" Target="https://www.simonandschuster.com/books/Diffusion-of-Innovations-5th-Edition/Everett-M-Rogers/9780743258234" TargetMode="External" /><Relationship Id="rId10" Type="http://schemas.openxmlformats.org/officeDocument/2006/relationships/hyperlink" Target="https://doi.org/10.1186/s12889-017-4153-7" TargetMode="External" /><Relationship Id="rId19" Type="http://schemas.openxmlformats.org/officeDocument/2006/relationships/hyperlink" Target="https://www.england.nhs.uk/long-read/summary-of-south-east-region-virtual-wards-evaluation/" TargetMode="External" /><Relationship Id="rId4" Type="http://schemas.openxmlformats.org/officeDocument/2006/relationships/webSettings" Target="webSettings.xml" /><Relationship Id="rId9" Type="http://schemas.openxmlformats.org/officeDocument/2006/relationships/hyperlink" Target="https://doi.org/10.4324/9780429501234" TargetMode="External" /><Relationship Id="rId14" Type="http://schemas.openxmlformats.org/officeDocument/2006/relationships/hyperlink" Target="https://doi.org/10.1186/s12960-020-00469-9" TargetMode="External" /><Relationship Id="rId22" Type="http://schemas.openxmlformats.org/officeDocument/2006/relationships/hyperlink" Target="https://doi.org/10.1056/NEJMp1011024"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3544</Words>
  <Characters>20559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manolet9@gmail.com</cp:lastModifiedBy>
  <cp:revision>2</cp:revision>
  <dcterms:created xsi:type="dcterms:W3CDTF">2026-07-28T07:45:00Z</dcterms:created>
  <dcterms:modified xsi:type="dcterms:W3CDTF">2026-07-28T07:45:00Z</dcterms:modified>
</cp:coreProperties>
</file>