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firstLine="0"/>
        <w:rPr/>
      </w:pPr>
      <w:r w:rsidDel="00000000" w:rsidR="00000000" w:rsidRPr="00000000">
        <w:rPr>
          <w:rtl w:val="0"/>
        </w:rPr>
        <w:t xml:space="preserve">Report</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jc w:val="center"/>
        <w:rPr/>
      </w:pPr>
      <w:r w:rsidDel="00000000" w:rsidR="00000000" w:rsidRPr="00000000">
        <w:rPr>
          <w:rtl w:val="0"/>
        </w:rPr>
      </w:r>
    </w:p>
    <w:p w:rsidR="00000000" w:rsidDel="00000000" w:rsidP="00000000" w:rsidRDefault="00000000" w:rsidRPr="00000000" w14:paraId="00000009">
      <w:pPr>
        <w:jc w:val="center"/>
        <w:rPr/>
      </w:pPr>
      <w:r w:rsidDel="00000000" w:rsidR="00000000" w:rsidRPr="00000000">
        <w:rPr>
          <w:b w:val="1"/>
          <w:bCs w:val="1"/>
          <w:rtl w:val="0"/>
        </w:rPr>
        <w:t xml:space="preserve">Module Code:</w:t>
      </w:r>
      <w:r w:rsidDel="00000000" w:rsidR="00000000" w:rsidRPr="00000000">
        <w:rPr>
          <w:rtl w:val="0"/>
        </w:rPr>
        <w:t xml:space="preserve"> BMHP6030</w:t>
      </w:r>
    </w:p>
    <w:p w:rsidR="00000000" w:rsidDel="00000000" w:rsidP="00000000" w:rsidRDefault="00000000" w:rsidRPr="00000000" w14:paraId="0000000A">
      <w:pPr>
        <w:jc w:val="center"/>
        <w:rPr/>
      </w:pPr>
      <w:r w:rsidDel="00000000" w:rsidR="00000000" w:rsidRPr="00000000">
        <w:rPr>
          <w:b w:val="1"/>
          <w:bCs w:val="1"/>
          <w:rtl w:val="0"/>
        </w:rPr>
        <w:t xml:space="preserve">Module Title:</w:t>
      </w:r>
      <w:r w:rsidDel="00000000" w:rsidR="00000000" w:rsidRPr="00000000">
        <w:rPr>
          <w:rtl w:val="0"/>
        </w:rPr>
        <w:t xml:space="preserve"> Health, Wellbeing and Sustainable Development</w:t>
      </w:r>
    </w:p>
    <w:p w:rsidR="00000000" w:rsidDel="00000000" w:rsidP="00000000" w:rsidRDefault="00000000" w:rsidRPr="00000000" w14:paraId="0000000B">
      <w:pPr>
        <w:jc w:val="center"/>
        <w:rPr/>
      </w:pPr>
      <w:r w:rsidDel="00000000" w:rsidR="00000000" w:rsidRPr="00000000">
        <w:rPr>
          <w:b w:val="1"/>
          <w:bCs w:val="1"/>
          <w:rtl w:val="0"/>
        </w:rPr>
        <w:t xml:space="preserve">Assignment Title:</w:t>
      </w:r>
      <w:r w:rsidDel="00000000" w:rsidR="00000000" w:rsidRPr="00000000">
        <w:rPr>
          <w:rtl w:val="0"/>
        </w:rPr>
        <w:t xml:space="preserve"> Component 2: Written Assignment (Report) – Analysis of SDG 3 and SDG 10 on Health and Wellbeing</w:t>
      </w:r>
    </w:p>
    <w:p w:rsidR="00000000" w:rsidDel="00000000" w:rsidP="00000000" w:rsidRDefault="00000000" w:rsidRPr="00000000" w14:paraId="0000000C">
      <w:pPr>
        <w:jc w:val="center"/>
        <w:rPr/>
      </w:pPr>
      <w:r w:rsidDel="00000000" w:rsidR="00000000" w:rsidRPr="00000000">
        <w:rPr>
          <w:b w:val="1"/>
          <w:bCs w:val="1"/>
          <w:rtl w:val="0"/>
        </w:rPr>
        <w:t xml:space="preserve">Student Name:</w:t>
      </w:r>
      <w:r w:rsidDel="00000000" w:rsidR="00000000" w:rsidRPr="00000000">
        <w:rPr>
          <w:rtl w:val="0"/>
        </w:rPr>
        <w:t xml:space="preserve"> Franca Nwaeke</w:t>
      </w:r>
    </w:p>
    <w:p w:rsidR="00000000" w:rsidDel="00000000" w:rsidP="00000000" w:rsidRDefault="00000000" w:rsidRPr="00000000" w14:paraId="0000000D">
      <w:pPr>
        <w:jc w:val="center"/>
        <w:rPr/>
      </w:pPr>
      <w:r w:rsidDel="00000000" w:rsidR="00000000" w:rsidRPr="00000000">
        <w:rPr>
          <w:b w:val="1"/>
          <w:bCs w:val="1"/>
          <w:rtl w:val="0"/>
        </w:rPr>
        <w:t xml:space="preserve">Student Number:</w:t>
      </w:r>
      <w:r w:rsidDel="00000000" w:rsidR="00000000" w:rsidRPr="00000000">
        <w:rPr>
          <w:rtl w:val="0"/>
        </w:rPr>
        <w:t xml:space="preserve">2315879</w:t>
      </w:r>
    </w:p>
    <w:p w:rsidR="00000000" w:rsidDel="00000000" w:rsidP="00000000" w:rsidRDefault="00000000" w:rsidRPr="00000000" w14:paraId="0000000E">
      <w:pPr>
        <w:jc w:val="center"/>
        <w:rPr/>
      </w:pPr>
      <w:r w:rsidDel="00000000" w:rsidR="00000000" w:rsidRPr="00000000">
        <w:rPr>
          <w:rtl w:val="0"/>
        </w:rPr>
        <w:t xml:space="preserve">Lecturer: Philip Jones.</w:t>
      </w:r>
    </w:p>
    <w:p w:rsidR="00000000" w:rsidDel="00000000" w:rsidP="00000000" w:rsidRDefault="00000000" w:rsidRPr="00000000" w14:paraId="0000000F">
      <w:pPr>
        <w:spacing w:after="160" w:line="259" w:lineRule="auto"/>
        <w:ind w:firstLine="0"/>
        <w:jc w:val="left"/>
        <w:rPr/>
      </w:pPr>
      <w:r w:rsidDel="00000000" w:rsidR="00000000" w:rsidRPr="00000000">
        <w:br w:type="page"/>
      </w:r>
      <w:r w:rsidDel="00000000" w:rsidR="00000000" w:rsidRPr="00000000">
        <w:rPr>
          <w:rtl w:val="0"/>
        </w:rPr>
      </w:r>
    </w:p>
    <w:p w:rsidR="00000000" w:rsidDel="00000000" w:rsidP="00000000" w:rsidRDefault="00000000" w:rsidRPr="00000000" w14:paraId="00000010">
      <w:pPr>
        <w:pStyle w:val="Heading1"/>
        <w:rPr/>
      </w:pPr>
      <w:bookmarkStart w:colFirst="0" w:colLast="0" w:name="_heading=h.ze62mfgle96" w:id="0"/>
      <w:bookmarkEnd w:id="0"/>
      <w:r w:rsidDel="00000000" w:rsidR="00000000" w:rsidRPr="00000000">
        <w:rPr>
          <w:rtl w:val="0"/>
        </w:rPr>
        <w:t xml:space="preserve">Executive Summary</w:t>
      </w:r>
    </w:p>
    <w:p w:rsidR="00000000" w:rsidDel="00000000" w:rsidP="00000000" w:rsidRDefault="00000000" w:rsidRPr="00000000" w14:paraId="00000011">
      <w:pPr>
        <w:rPr/>
      </w:pPr>
      <w:r w:rsidDel="00000000" w:rsidR="00000000" w:rsidRPr="00000000">
        <w:rPr>
          <w:rtl w:val="0"/>
        </w:rPr>
        <w:t xml:space="preserve">This report explores the effects of Sustainable Development Goal 3 (Good Health and Wellbeing) and Sustainable Development Goal 10 (Reduced Inequalities) on citizens at global, national and local levels critically. Data was collected from secondary sources such as the World Health Organisation and the Office for National Statistics as well as the British Medical Association and other trusted sources. The report assesses how effective the Well-being of Future Generations (Wales) Act 2015 is as a national action plan for health equity. Key findings include that, although there are positive changes in global health, inequalities remain in the United Kingdom with a life expectancy gap of 8-10 years between the richest and poorest areas. Limited implementation of policy due to workforce shortages and funding constraints. Five evidence-informed recommendations to support better health policies, such as ring-fenced prevention funding, mandatory sustainability impact assessments, and national rollout of social prescribing, are included at the end of the report.</w:t>
      </w:r>
      <w:r w:rsidDel="00000000" w:rsidR="00000000" w:rsidRPr="00000000">
        <w:br w:type="page"/>
      </w:r>
      <w:r w:rsidDel="00000000" w:rsidR="00000000" w:rsidRPr="00000000">
        <w:rPr>
          <w:rtl w:val="0"/>
        </w:rPr>
      </w:r>
    </w:p>
    <w:p w:rsidR="00000000" w:rsidDel="00000000" w:rsidP="00000000" w:rsidRDefault="00000000" w:rsidRPr="00000000" w14:paraId="0000001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Table of Contents</w:t>
      </w:r>
    </w:p>
    <w:sdt>
      <w:sdtPr>
        <w:id w:val="-2045249088"/>
        <w:docPartObj>
          <w:docPartGallery w:val="Table of Contents"/>
          <w:docPartUnique w:val="1"/>
        </w:docPartObj>
      </w:sdtPr>
      <w:sdtContent>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ze62mfgle9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Executive Summary</w:t>
              <w:tab/>
              <w:t xml:space="preserve">2</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xfhtyiqer62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Introduction</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brvo7yhb91mu">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Analysis of SDG 3: Good Health and Wellbeing</w:t>
              <w:tab/>
              <w:t xml:space="preserve">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240" w:right="0" w:firstLine="48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8ux0lgph8k8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 Global Impact</w:t>
              <w:tab/>
              <w:t xml:space="preserve">4</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240" w:right="0" w:firstLine="48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52i9dakryf5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 National Impact (United Kingdom)</w:t>
              <w:tab/>
              <w:t xml:space="preserve">5</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48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7vn4xd6o5zqp">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 Local Impact</w:t>
              <w:tab/>
              <w:t xml:space="preserve">5</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e8970ih643c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Analysis of SDG 10: Reduced Inequalities</w:t>
              <w:tab/>
              <w:t xml:space="preserve">5</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240" w:right="0" w:firstLine="48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w0ziraqdlpe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 Global Impact</w:t>
              <w:tab/>
              <w:t xml:space="preserve">5</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240" w:right="0" w:firstLine="48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fb6a6adlk1y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 National Impact (United Kingdom)</w:t>
              <w:tab/>
              <w:t xml:space="preserve">6</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48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qglrqv265gu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3.3 Local Impact</w:t>
              <w:tab/>
              <w:t xml:space="preserve">6</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7nj40t8gdbr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Evaluation of National Initiative: Well-being of Future Generations (Wales) Act 2015</w:t>
              <w:tab/>
              <w:t xml:space="preserve">7</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240" w:right="0" w:firstLine="48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a7ez2ylvpyl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 Overview and Intent</w:t>
              <w:tab/>
              <w:t xml:space="preserve">7</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240" w:right="0" w:firstLine="48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bbzu0zh4jh7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 Effectiveness</w:t>
              <w:tab/>
              <w:t xml:space="preserve">7</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48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d4ug11xvxm4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4.3 Comparison to England</w:t>
              <w:tab/>
              <w:t xml:space="preserve">7</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v49qrz2g9f3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Recommendations for Improvement</w:t>
              <w:tab/>
              <w:t xml:space="preserve">8</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jqanf9z5s0g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 Conclusion</w:t>
              <w:tab/>
              <w:t xml:space="preserve">8</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4q3j8oflqbb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 List</w:t>
              <w:tab/>
              <w:t xml:space="preserve">10</w:t>
            </w:r>
          </w:hyperlink>
          <w:r w:rsidDel="00000000" w:rsidR="00000000" w:rsidRPr="00000000">
            <w:rPr>
              <w:rtl w:val="0"/>
            </w:rPr>
          </w:r>
        </w:p>
        <w:p w:rsidR="00000000" w:rsidDel="00000000" w:rsidP="00000000" w:rsidRDefault="00000000" w:rsidRPr="00000000" w14:paraId="00000024">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spacing w:after="160" w:line="259" w:lineRule="auto"/>
        <w:ind w:firstLine="0"/>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27">
      <w:pPr>
        <w:pStyle w:val="Heading1"/>
        <w:rPr/>
      </w:pPr>
      <w:bookmarkStart w:colFirst="0" w:colLast="0" w:name="_heading=h.xfhtyiqer62c" w:id="1"/>
      <w:bookmarkEnd w:id="1"/>
      <w:r w:rsidDel="00000000" w:rsidR="00000000" w:rsidRPr="00000000">
        <w:rPr>
          <w:rtl w:val="0"/>
        </w:rPr>
        <w:t xml:space="preserve">1. Introduction</w:t>
      </w:r>
    </w:p>
    <w:p w:rsidR="00000000" w:rsidDel="00000000" w:rsidP="00000000" w:rsidRDefault="00000000" w:rsidRPr="00000000" w14:paraId="00000028">
      <w:pPr>
        <w:rPr/>
      </w:pPr>
      <w:r w:rsidDel="00000000" w:rsidR="00000000" w:rsidRPr="00000000">
        <w:rPr>
          <w:rtl w:val="0"/>
        </w:rPr>
        <w:t xml:space="preserve">The United Nations Sustainable Development Goals (SDGs) (United Nations, 2015) give a global structure to face humanity's most pressing challenges by 2030. Goal 3 – Good Health and Wellbeing – is central to the 17 goals as it is fundamental to health outcomes and also has a direct link to other SDGs, especially SDG 10 – Reduced Inequalities – as income and educational disparities, geographic and social inequalities all have a direct effect on access to health care and overall health outcomes (WHO, 2021).</w:t>
      </w:r>
    </w:p>
    <w:p w:rsidR="00000000" w:rsidDel="00000000" w:rsidP="00000000" w:rsidRDefault="00000000" w:rsidRPr="00000000" w14:paraId="00000029">
      <w:pPr>
        <w:rPr/>
      </w:pPr>
      <w:r w:rsidDel="00000000" w:rsidR="00000000" w:rsidRPr="00000000">
        <w:rPr>
          <w:rtl w:val="0"/>
        </w:rPr>
        <w:t xml:space="preserve">The two main aims of this report are: First, it analyses how SDG 3 and a second chosen SDG (SDG 10) impact the health and wellbeing of citizens at global, national and local levels. Second, it assesses the effectiveness of a national initiative—the Well-being of Future Generations (Wales) Act 2015—and offers evidence-based suggestions for how this can be improved.</w:t>
      </w:r>
    </w:p>
    <w:p w:rsidR="00000000" w:rsidDel="00000000" w:rsidP="00000000" w:rsidRDefault="00000000" w:rsidRPr="00000000" w14:paraId="0000002A">
      <w:pPr>
        <w:rPr/>
      </w:pPr>
      <w:r w:rsidDel="00000000" w:rsidR="00000000" w:rsidRPr="00000000">
        <w:rPr>
          <w:rtl w:val="0"/>
        </w:rPr>
        <w:t xml:space="preserve">This report deals with the United Kingdom, and more specifically with Wales and England, and draws on secondary data from government sources and academic literature and organisational reports. The analysis is organised as follows: Section 2 covers SDG 3, Section 3 covers SDG 10, Section 4 covers an analysis of the Welsh Act, Section 5 presents some recommendations, and Section 6 concludes.</w:t>
      </w:r>
    </w:p>
    <w:p w:rsidR="00000000" w:rsidDel="00000000" w:rsidP="00000000" w:rsidRDefault="00000000" w:rsidRPr="00000000" w14:paraId="0000002B">
      <w:pPr>
        <w:pStyle w:val="Heading1"/>
        <w:rPr/>
      </w:pPr>
      <w:bookmarkStart w:colFirst="0" w:colLast="0" w:name="_heading=h.brvo7yhb91mu" w:id="2"/>
      <w:bookmarkEnd w:id="2"/>
      <w:r w:rsidDel="00000000" w:rsidR="00000000" w:rsidRPr="00000000">
        <w:rPr>
          <w:rtl w:val="0"/>
        </w:rPr>
        <w:t xml:space="preserve">2. Analysis of SDG 3: Good Health and Wellbeing</w:t>
      </w:r>
    </w:p>
    <w:p w:rsidR="00000000" w:rsidDel="00000000" w:rsidP="00000000" w:rsidRDefault="00000000" w:rsidRPr="00000000" w14:paraId="0000002C">
      <w:pPr>
        <w:pStyle w:val="Heading2"/>
        <w:rPr/>
      </w:pPr>
      <w:bookmarkStart w:colFirst="0" w:colLast="0" w:name="_heading=h.8ux0lgph8k89" w:id="3"/>
      <w:bookmarkEnd w:id="3"/>
      <w:r w:rsidDel="00000000" w:rsidR="00000000" w:rsidRPr="00000000">
        <w:rPr>
          <w:rtl w:val="0"/>
        </w:rPr>
        <w:t xml:space="preserve">2.1 Global Impact</w:t>
      </w:r>
    </w:p>
    <w:p w:rsidR="00000000" w:rsidDel="00000000" w:rsidP="00000000" w:rsidRDefault="00000000" w:rsidRPr="00000000" w14:paraId="0000002D">
      <w:pPr>
        <w:rPr/>
      </w:pPr>
      <w:r w:rsidDel="00000000" w:rsidR="00000000" w:rsidRPr="00000000">
        <w:rPr>
          <w:rtl w:val="0"/>
        </w:rPr>
        <w:t xml:space="preserve">The Sustainable Development Goals (SDG) include reducing maternal mortality, ending preventable deaths of newborns and children, combating communicable diseases and reducing non-communicable diseases (United Nations, 2015). But important progress has been made in the world. The World Health Organization (2021) estimates that life expectancy at birth rose from 66.8 years in 2000 to 73.3 years in 2019. Maternal mortality rates decreased by 38% from 2000 to 2017 and new HIV infections dropped by 37% between 2000 and 2019.</w:t>
      </w:r>
    </w:p>
    <w:p w:rsidR="00000000" w:rsidDel="00000000" w:rsidP="00000000" w:rsidRDefault="00000000" w:rsidRPr="00000000" w14:paraId="0000002E">
      <w:pPr>
        <w:rPr/>
      </w:pPr>
      <w:r w:rsidDel="00000000" w:rsidR="00000000" w:rsidRPr="00000000">
        <w:rPr>
          <w:rtl w:val="0"/>
        </w:rPr>
        <w:t xml:space="preserve">But COVID-19 has made significant progress difficult. According to the WHO (2021), 94% of countries were hit by disruption of essential health services and 840 million people will not be covered by universal health coverage. This shows the vulnerability of health systems and the importance of sustainable and resilient infrastructure.</w:t>
      </w:r>
    </w:p>
    <w:p w:rsidR="00000000" w:rsidDel="00000000" w:rsidP="00000000" w:rsidRDefault="00000000" w:rsidRPr="00000000" w14:paraId="0000002F">
      <w:pPr>
        <w:pStyle w:val="Heading2"/>
        <w:rPr/>
      </w:pPr>
      <w:bookmarkStart w:colFirst="0" w:colLast="0" w:name="_heading=h.52i9dakryf5a" w:id="4"/>
      <w:bookmarkEnd w:id="4"/>
      <w:r w:rsidDel="00000000" w:rsidR="00000000" w:rsidRPr="00000000">
        <w:rPr>
          <w:rtl w:val="0"/>
        </w:rPr>
        <w:t xml:space="preserve">2.2 National Impact (United Kingdom)</w:t>
      </w:r>
    </w:p>
    <w:p w:rsidR="00000000" w:rsidDel="00000000" w:rsidP="00000000" w:rsidRDefault="00000000" w:rsidRPr="00000000" w14:paraId="00000030">
      <w:pPr>
        <w:rPr/>
      </w:pPr>
      <w:r w:rsidDel="00000000" w:rsidR="00000000" w:rsidRPr="00000000">
        <w:rPr>
          <w:rtl w:val="0"/>
        </w:rPr>
        <w:t xml:space="preserve">The NHS Long Term Plan (England and Improvement, 2020) is an example in the United Kingdom which is linked to SDG 3, as it moves from treatment in hospitals towards prevention in communities. But there are big hurdles to overcome. The King's Fund (2025) found that satisfaction with the NHS dropped to 21% in 2024, the lowest level since they started surveys in 1983. This is a sign of growing pressures from waiting lists, shortages of staff and a lack of funding.</w:t>
      </w:r>
    </w:p>
    <w:p w:rsidR="00000000" w:rsidDel="00000000" w:rsidP="00000000" w:rsidRDefault="00000000" w:rsidRPr="00000000" w14:paraId="00000031">
      <w:pPr>
        <w:rPr/>
      </w:pPr>
      <w:r w:rsidDel="00000000" w:rsidR="00000000" w:rsidRPr="00000000">
        <w:rPr>
          <w:rtl w:val="0"/>
        </w:rPr>
        <w:t xml:space="preserve">The BMA (2026) has stark data: England has only 3.2 doctors per 1,000 people, against the EU OECD average of 3.9. The average would require England to add 40,000 doctors. In addition, 20,286 doctors have left the NHS during the year to March 2025, due to work-related stress, burnout and dissatisfaction with pay (BMA, 2026).</w:t>
      </w:r>
    </w:p>
    <w:p w:rsidR="00000000" w:rsidDel="00000000" w:rsidP="00000000" w:rsidRDefault="00000000" w:rsidRPr="00000000" w14:paraId="00000032">
      <w:pPr>
        <w:pStyle w:val="Heading2"/>
        <w:rPr/>
      </w:pPr>
      <w:bookmarkStart w:colFirst="0" w:colLast="0" w:name="_heading=h.7vn4xd6o5zqp" w:id="5"/>
      <w:bookmarkEnd w:id="5"/>
      <w:r w:rsidDel="00000000" w:rsidR="00000000" w:rsidRPr="00000000">
        <w:rPr>
          <w:rtl w:val="0"/>
        </w:rPr>
        <w:t xml:space="preserve">2.3 Local Impact</w:t>
      </w:r>
    </w:p>
    <w:p w:rsidR="00000000" w:rsidDel="00000000" w:rsidP="00000000" w:rsidRDefault="00000000" w:rsidRPr="00000000" w14:paraId="00000033">
      <w:pPr>
        <w:rPr/>
      </w:pPr>
      <w:r w:rsidDel="00000000" w:rsidR="00000000" w:rsidRPr="00000000">
        <w:rPr>
          <w:rtl w:val="0"/>
        </w:rPr>
        <w:t xml:space="preserve">Aneurin Bevan University Health Board in Wales is a success story for SDG 3 implementation at the local level. 23% fewer non-urgent attendances at A&amp;E due to integrated wellbeing services, social prescribing and increased telehealth. But the health board recognises that this model will require a great deal of investment up-front and would not be scalable without extra funding.</w:t>
      </w:r>
    </w:p>
    <w:p w:rsidR="00000000" w:rsidDel="00000000" w:rsidP="00000000" w:rsidRDefault="00000000" w:rsidRPr="00000000" w14:paraId="00000034">
      <w:pPr>
        <w:rPr/>
      </w:pPr>
      <w:r w:rsidDel="00000000" w:rsidR="00000000" w:rsidRPr="00000000">
        <w:rPr>
          <w:rtl w:val="0"/>
        </w:rPr>
        <w:t xml:space="preserve">The implementation of SDG 3 at the national and local level in the UK is limited by low, ongoing funding and a shortage of staff, despite the measurable improvements that SDG 3 has achieved globally. The intention of policy is not translated into resource allocation, which results in a chasm between SDG goals and citizens' reality (Perry et al., 2021).</w:t>
      </w:r>
    </w:p>
    <w:p w:rsidR="00000000" w:rsidDel="00000000" w:rsidP="00000000" w:rsidRDefault="00000000" w:rsidRPr="00000000" w14:paraId="00000035">
      <w:pPr>
        <w:pStyle w:val="Heading1"/>
        <w:rPr/>
      </w:pPr>
      <w:bookmarkStart w:colFirst="0" w:colLast="0" w:name="_heading=h.e8970ih643c5" w:id="6"/>
      <w:bookmarkEnd w:id="6"/>
      <w:r w:rsidDel="00000000" w:rsidR="00000000" w:rsidRPr="00000000">
        <w:rPr>
          <w:rtl w:val="0"/>
        </w:rPr>
        <w:t xml:space="preserve">3. Analysis of SDG 10: Reduced Inequalities</w:t>
      </w:r>
    </w:p>
    <w:p w:rsidR="00000000" w:rsidDel="00000000" w:rsidP="00000000" w:rsidRDefault="00000000" w:rsidRPr="00000000" w14:paraId="00000036">
      <w:pPr>
        <w:pStyle w:val="Heading2"/>
        <w:rPr/>
      </w:pPr>
      <w:bookmarkStart w:colFirst="0" w:colLast="0" w:name="_heading=h.w0ziraqdlpe7" w:id="7"/>
      <w:bookmarkEnd w:id="7"/>
      <w:r w:rsidDel="00000000" w:rsidR="00000000" w:rsidRPr="00000000">
        <w:rPr>
          <w:rtl w:val="0"/>
        </w:rPr>
        <w:t xml:space="preserve">3.1 Global Impact</w:t>
      </w:r>
    </w:p>
    <w:p w:rsidR="00000000" w:rsidDel="00000000" w:rsidP="00000000" w:rsidRDefault="00000000" w:rsidRPr="00000000" w14:paraId="00000037">
      <w:pPr>
        <w:rPr/>
      </w:pPr>
      <w:r w:rsidDel="00000000" w:rsidR="00000000" w:rsidRPr="00000000">
        <w:rPr>
          <w:rtl w:val="0"/>
        </w:rPr>
        <w:t xml:space="preserve">In particular, SDG 10 seeks to decrease inequalities within and across countries by fostering social, economic and political inclusion (United Nations, 2015). Health inequalities are caused by underlying socioeconomic inequalities. There is inequity in the distribution of health gains, with WHO (2021) reporting that 80% of progress towards healthier populations has been achieved by a few countries.</w:t>
      </w:r>
    </w:p>
    <w:p w:rsidR="00000000" w:rsidDel="00000000" w:rsidP="00000000" w:rsidRDefault="00000000" w:rsidRPr="00000000" w14:paraId="00000038">
      <w:pPr>
        <w:rPr/>
      </w:pPr>
      <w:r w:rsidDel="00000000" w:rsidR="00000000" w:rsidRPr="00000000">
        <w:rPr>
          <w:rtl w:val="0"/>
        </w:rPr>
        <w:t xml:space="preserve">These inequities were further highlighted during the COVID-19 pandemic, when lower-income countries were slower in rolling out vaccines and had higher COVID-19-related death rates. COVAX facility has provided 1 billion vaccines but vaccine nationalism and hoarding impeded equitable access (WHO, 2021).</w:t>
      </w:r>
    </w:p>
    <w:p w:rsidR="00000000" w:rsidDel="00000000" w:rsidP="00000000" w:rsidRDefault="00000000" w:rsidRPr="00000000" w14:paraId="00000039">
      <w:pPr>
        <w:pStyle w:val="Heading2"/>
        <w:rPr/>
      </w:pPr>
      <w:bookmarkStart w:colFirst="0" w:colLast="0" w:name="_heading=h.fb6a6adlk1yf" w:id="8"/>
      <w:bookmarkEnd w:id="8"/>
      <w:r w:rsidDel="00000000" w:rsidR="00000000" w:rsidRPr="00000000">
        <w:rPr>
          <w:rtl w:val="0"/>
        </w:rPr>
        <w:t xml:space="preserve">3.2 National Impact (United Kingdom)</w:t>
      </w:r>
    </w:p>
    <w:p w:rsidR="00000000" w:rsidDel="00000000" w:rsidP="00000000" w:rsidRDefault="00000000" w:rsidRPr="00000000" w14:paraId="0000003A">
      <w:pPr>
        <w:rPr/>
      </w:pPr>
      <w:r w:rsidDel="00000000" w:rsidR="00000000" w:rsidRPr="00000000">
        <w:rPr>
          <w:rtl w:val="0"/>
        </w:rPr>
        <w:t xml:space="preserve">The health inequalities in the United Kingdom are entrenched and growing. The Marmot Review 10 Years On (Marmot et al., 2020) found that health inequalities have been growing over the past 10 years, with life expectancy not rising for the poorest but continuing to do so for the richest.</w:t>
      </w:r>
    </w:p>
    <w:p w:rsidR="00000000" w:rsidDel="00000000" w:rsidP="00000000" w:rsidRDefault="00000000" w:rsidRPr="00000000" w14:paraId="0000003B">
      <w:pPr>
        <w:rPr/>
      </w:pPr>
      <w:r w:rsidDel="00000000" w:rsidR="00000000" w:rsidRPr="00000000">
        <w:rPr>
          <w:rtl w:val="0"/>
        </w:rPr>
        <w:t xml:space="preserve">There is an 8-10 year life expectancy gap between the richest and poorest areas of the UK as confirmed by the Office for National Statistics (2025). Additionally, Black women are four times more likely to die during pregnancy, childbirth or postpartum compared to White women, as evidenced by the MBRRACE-UK (2022) report, a sharp sign of intersectional inequality.</w:t>
      </w:r>
    </w:p>
    <w:p w:rsidR="00000000" w:rsidDel="00000000" w:rsidP="00000000" w:rsidRDefault="00000000" w:rsidRPr="00000000" w14:paraId="0000003C">
      <w:pPr>
        <w:rPr/>
      </w:pPr>
      <w:r w:rsidDel="00000000" w:rsidR="00000000" w:rsidRPr="00000000">
        <w:rPr>
          <w:rtl w:val="0"/>
        </w:rPr>
        <w:t xml:space="preserve">The shortage of workers in particular has an unequal impact on deprived areas. The BMA (2026) indicates that the East of England has a ratio of only 2.5 doctors per 1,000 people compared with the national average of 3.2 and EU OECD average of 3.9. This translates to a lower quality or availability of timely and quality care for citizens within low-income areas.</w:t>
      </w:r>
    </w:p>
    <w:p w:rsidR="00000000" w:rsidDel="00000000" w:rsidP="00000000" w:rsidRDefault="00000000" w:rsidRPr="00000000" w14:paraId="0000003D">
      <w:pPr>
        <w:pStyle w:val="Heading2"/>
        <w:rPr/>
      </w:pPr>
      <w:bookmarkStart w:colFirst="0" w:colLast="0" w:name="_heading=h.qglrqv265gun" w:id="9"/>
      <w:bookmarkEnd w:id="9"/>
      <w:r w:rsidDel="00000000" w:rsidR="00000000" w:rsidRPr="00000000">
        <w:rPr>
          <w:rtl w:val="0"/>
        </w:rPr>
        <w:t xml:space="preserve">3.3 Local Impact</w:t>
      </w:r>
    </w:p>
    <w:p w:rsidR="00000000" w:rsidDel="00000000" w:rsidP="00000000" w:rsidRDefault="00000000" w:rsidRPr="00000000" w14:paraId="0000003E">
      <w:pPr>
        <w:rPr/>
      </w:pPr>
      <w:r w:rsidDel="00000000" w:rsidR="00000000" w:rsidRPr="00000000">
        <w:rPr>
          <w:rtl w:val="0"/>
        </w:rPr>
        <w:t xml:space="preserve">There is a specific reference to tackling inequality in the Well-being of Future Generations (Wales) Act 2015 as part of the goal of 'More Equal Wales' (Welsh Government, 2015). The Act obligates public institutions to reflect on the implications of their decisions in regards to inequality, poverty and health effects. The Welsh Government (2023), however, recognises the limitations of the Act due to funding restrictions, as it has a more transformative potential.</w:t>
      </w:r>
    </w:p>
    <w:p w:rsidR="00000000" w:rsidDel="00000000" w:rsidP="00000000" w:rsidRDefault="00000000" w:rsidRPr="00000000" w14:paraId="0000003F">
      <w:pPr>
        <w:rPr/>
      </w:pPr>
      <w:r w:rsidDel="00000000" w:rsidR="00000000" w:rsidRPr="00000000">
        <w:rPr>
          <w:rtl w:val="0"/>
        </w:rPr>
        <w:t xml:space="preserve">Practice Critical analysis: SDG 10 is a key SDG 3. If health gains are not addressed with an eye on inequalities – geographic, economic and ethnic – health gains will be disproportionate for already advantaged populations (Mir et al., 2020). The UK data shows that universal health care (NHS principle) does not necessarily lead to equal outcomes. Specific proportional interventions are needed.</w:t>
      </w:r>
    </w:p>
    <w:p w:rsidR="00000000" w:rsidDel="00000000" w:rsidP="00000000" w:rsidRDefault="00000000" w:rsidRPr="00000000" w14:paraId="00000040">
      <w:pPr>
        <w:pStyle w:val="Heading1"/>
        <w:rPr/>
      </w:pPr>
      <w:bookmarkStart w:colFirst="0" w:colLast="0" w:name="_heading=h.7nj40t8gdbr7" w:id="10"/>
      <w:bookmarkEnd w:id="10"/>
      <w:r w:rsidDel="00000000" w:rsidR="00000000" w:rsidRPr="00000000">
        <w:rPr>
          <w:rtl w:val="0"/>
        </w:rPr>
        <w:t xml:space="preserve">4. Evaluation of National Initiative: Well-being of Future Generations (Wales) Act 2015</w:t>
      </w:r>
    </w:p>
    <w:p w:rsidR="00000000" w:rsidDel="00000000" w:rsidP="00000000" w:rsidRDefault="00000000" w:rsidRPr="00000000" w14:paraId="00000041">
      <w:pPr>
        <w:pStyle w:val="Heading2"/>
        <w:rPr/>
      </w:pPr>
      <w:bookmarkStart w:colFirst="0" w:colLast="0" w:name="_heading=h.a7ez2ylvpyl3" w:id="11"/>
      <w:bookmarkEnd w:id="11"/>
      <w:r w:rsidDel="00000000" w:rsidR="00000000" w:rsidRPr="00000000">
        <w:rPr>
          <w:rtl w:val="0"/>
        </w:rPr>
        <w:t xml:space="preserve">4.1 Overview and Intent</w:t>
      </w:r>
    </w:p>
    <w:p w:rsidR="00000000" w:rsidDel="00000000" w:rsidP="00000000" w:rsidRDefault="00000000" w:rsidRPr="00000000" w14:paraId="00000042">
      <w:pPr>
        <w:rPr/>
      </w:pPr>
      <w:r w:rsidDel="00000000" w:rsidR="00000000" w:rsidRPr="00000000">
        <w:rPr>
          <w:rtl w:val="0"/>
        </w:rPr>
        <w:t xml:space="preserve">The Well-being of Future Generations (Wales) Act 2015 is world-leading legislation, imposing a legal duty on public bodies in Wales (such as the Welsh Government) to act on sustainable development (Welsh Government, 2015). There are seven wellbeing goals in the Act, such as "A More Equal Wales" and "A Healthier Wales". It calls for long-term thinking, prevention and an integrated approach and multi-sector collaboration on the part of public bodies (Farrell et al., 2020).</w:t>
      </w:r>
    </w:p>
    <w:p w:rsidR="00000000" w:rsidDel="00000000" w:rsidP="00000000" w:rsidRDefault="00000000" w:rsidRPr="00000000" w14:paraId="00000043">
      <w:pPr>
        <w:pStyle w:val="Heading2"/>
        <w:rPr/>
      </w:pPr>
      <w:bookmarkStart w:colFirst="0" w:colLast="0" w:name="_heading=h.bbzu0zh4jh7k" w:id="12"/>
      <w:bookmarkEnd w:id="12"/>
      <w:r w:rsidDel="00000000" w:rsidR="00000000" w:rsidRPr="00000000">
        <w:rPr>
          <w:rtl w:val="0"/>
        </w:rPr>
        <w:t xml:space="preserve">4.2 Effectiveness</w:t>
      </w:r>
    </w:p>
    <w:p w:rsidR="00000000" w:rsidDel="00000000" w:rsidP="00000000" w:rsidRDefault="00000000" w:rsidRPr="00000000" w14:paraId="00000044">
      <w:pPr>
        <w:rPr/>
      </w:pPr>
      <w:r w:rsidDel="00000000" w:rsidR="00000000" w:rsidRPr="00000000">
        <w:rPr>
          <w:rtl w:val="0"/>
        </w:rPr>
        <w:t xml:space="preserve">Strengths: embedding sustainable development in Welsh policies has been achieved through the Act. It established the role of 'Future Generations Commissioner' to scrutinise and hold to account decisions taken by public bodies. The Act has had an impact on policies across a range of areas from transport to housing, as health outcomes are shaped by wider social factors (WHO, 2021).</w:t>
      </w:r>
    </w:p>
    <w:p w:rsidR="00000000" w:rsidDel="00000000" w:rsidP="00000000" w:rsidRDefault="00000000" w:rsidRPr="00000000" w14:paraId="00000045">
      <w:pPr>
        <w:rPr/>
      </w:pPr>
      <w:r w:rsidDel="00000000" w:rsidR="00000000" w:rsidRPr="00000000">
        <w:rPr>
          <w:rtl w:val="0"/>
        </w:rPr>
        <w:t xml:space="preserve">How the principles of the Act are put into practice is illustrated in the case of Aneurin Bevan. Social prescribing and integrated wellbeing services are a reflection of the preventative and collaborative approach required by the Act.</w:t>
      </w:r>
    </w:p>
    <w:p w:rsidR="00000000" w:rsidDel="00000000" w:rsidP="00000000" w:rsidRDefault="00000000" w:rsidRPr="00000000" w14:paraId="00000046">
      <w:pPr>
        <w:rPr/>
      </w:pPr>
      <w:r w:rsidDel="00000000" w:rsidR="00000000" w:rsidRPr="00000000">
        <w:rPr>
          <w:rtl w:val="0"/>
        </w:rPr>
        <w:t xml:space="preserve">Weaknesses: although well grounded in law, the implementation of the Act remains problematic. The Welsh Government makes it clear that the ambitions of the Act cannot be fully realised due to funding constraints. However, when statutory obligations are not optimally resourced, they are less likely to be transformative and more performative (Smith, 2021).</w:t>
      </w:r>
    </w:p>
    <w:p w:rsidR="00000000" w:rsidDel="00000000" w:rsidP="00000000" w:rsidRDefault="00000000" w:rsidRPr="00000000" w14:paraId="00000047">
      <w:pPr>
        <w:rPr/>
      </w:pPr>
      <w:r w:rsidDel="00000000" w:rsidR="00000000" w:rsidRPr="00000000">
        <w:rPr>
          <w:rtl w:val="0"/>
        </w:rPr>
        <w:t xml:space="preserve">Furthermore, there are no enforcement measures provided in the Act. There are no financial penalties for non-compliance, although the Commissioner may review and recommend. This limits accountability.</w:t>
      </w:r>
    </w:p>
    <w:p w:rsidR="00000000" w:rsidDel="00000000" w:rsidP="00000000" w:rsidRDefault="00000000" w:rsidRPr="00000000" w14:paraId="00000048">
      <w:pPr>
        <w:pStyle w:val="Heading2"/>
        <w:rPr/>
      </w:pPr>
      <w:bookmarkStart w:colFirst="0" w:colLast="0" w:name="_heading=h.d4ug11xvxm4f" w:id="13"/>
      <w:bookmarkEnd w:id="13"/>
      <w:r w:rsidDel="00000000" w:rsidR="00000000" w:rsidRPr="00000000">
        <w:rPr>
          <w:rtl w:val="0"/>
        </w:rPr>
        <w:t xml:space="preserve">4.3 Comparison to England</w:t>
      </w:r>
    </w:p>
    <w:p w:rsidR="00000000" w:rsidDel="00000000" w:rsidP="00000000" w:rsidRDefault="00000000" w:rsidRPr="00000000" w14:paraId="00000049">
      <w:pPr>
        <w:rPr/>
      </w:pPr>
      <w:r w:rsidDel="00000000" w:rsidR="00000000" w:rsidRPr="00000000">
        <w:rPr>
          <w:rtl w:val="0"/>
        </w:rPr>
        <w:t xml:space="preserve">There is no direct equivalent of the Well-being of Future Generations (Wales) Act 2015 in England. The NHS Long Term Plan (England and Improvement, 2020) refers to prevention and sustainability but is advisory, rather than having statutory force. The King's Fund (2025) notes that English health policy is divided, with 42 English Integrated Care Systems (ICSs) that do not necessarily follow a sustainable development plan. This fragmentation is creating postcode lotteries in the quality of care and unevenly distributed improvement in health inequalities.</w:t>
      </w:r>
    </w:p>
    <w:p w:rsidR="00000000" w:rsidDel="00000000" w:rsidP="00000000" w:rsidRDefault="00000000" w:rsidRPr="00000000" w14:paraId="0000004A">
      <w:pPr>
        <w:rPr/>
      </w:pPr>
      <w:r w:rsidDel="00000000" w:rsidR="00000000" w:rsidRPr="00000000">
        <w:rPr>
          <w:rtl w:val="0"/>
        </w:rPr>
        <w:t xml:space="preserve">Critical analysis - The Welsh Act is progressive and exemplary but legislation alone is not enough. History shows that even the best policies don't reach the desired results in the absence of ring-fenced funding and workforce investment and enforcement. The Welsh Government (2015) clearly recognises that lack of finance limits full implementation. At the same time, England's non-statutory system offers flexibility with no accountability. Both models have failed to reduce the life expectancy gap between 8-10 years (ONS, 2025). There is still a long way to go between policy intent and policy reality in both countries.</w:t>
      </w:r>
    </w:p>
    <w:p w:rsidR="00000000" w:rsidDel="00000000" w:rsidP="00000000" w:rsidRDefault="00000000" w:rsidRPr="00000000" w14:paraId="0000004B">
      <w:pPr>
        <w:pStyle w:val="Heading1"/>
        <w:rPr/>
      </w:pPr>
      <w:bookmarkStart w:colFirst="0" w:colLast="0" w:name="_heading=h.v49qrz2g9f3b" w:id="14"/>
      <w:bookmarkEnd w:id="14"/>
      <w:r w:rsidDel="00000000" w:rsidR="00000000" w:rsidRPr="00000000">
        <w:rPr>
          <w:rtl w:val="0"/>
        </w:rPr>
        <w:t xml:space="preserve">5. Recommendations for Improvement</w:t>
      </w:r>
    </w:p>
    <w:p w:rsidR="00000000" w:rsidDel="00000000" w:rsidP="00000000" w:rsidRDefault="00000000" w:rsidRPr="00000000" w14:paraId="0000004C">
      <w:pPr>
        <w:rPr/>
      </w:pPr>
      <w:r w:rsidDel="00000000" w:rsidR="00000000" w:rsidRPr="00000000">
        <w:rPr>
          <w:rtl w:val="0"/>
        </w:rPr>
        <w:t xml:space="preserve">From the analysis presented above, five recommendations are proposed, based on evidence:</w:t>
      </w:r>
    </w:p>
    <w:p w:rsidR="00000000" w:rsidDel="00000000" w:rsidP="00000000" w:rsidRDefault="00000000" w:rsidRPr="00000000" w14:paraId="0000004D">
      <w:pPr>
        <w:rPr/>
      </w:pPr>
      <w:r w:rsidDel="00000000" w:rsidR="00000000" w:rsidRPr="00000000">
        <w:rPr>
          <w:b w:val="1"/>
          <w:bCs w:val="1"/>
          <w:rtl w:val="0"/>
        </w:rPr>
        <w:t xml:space="preserve">Recommendation 1:</w:t>
      </w:r>
      <w:r w:rsidDel="00000000" w:rsidR="00000000" w:rsidRPr="00000000">
        <w:rPr>
          <w:rtl w:val="0"/>
        </w:rPr>
        <w:t xml:space="preserve"> Ring-fence 15% of NHS budgets for prevention. Yet prevention is currently underfunded in the NHS, with only less than 5% of funding allocated for preventative services, even though there is evidence that prevention is cost effective in the longer term (Marmot et al., 2020). Ring fencing funding would prevent prevention being de-prioritised when budget pressures affect it.</w:t>
      </w:r>
    </w:p>
    <w:p w:rsidR="00000000" w:rsidDel="00000000" w:rsidP="00000000" w:rsidRDefault="00000000" w:rsidRPr="00000000" w14:paraId="0000004E">
      <w:pPr>
        <w:rPr/>
      </w:pPr>
      <w:r w:rsidDel="00000000" w:rsidR="00000000" w:rsidRPr="00000000">
        <w:rPr>
          <w:b w:val="1"/>
          <w:bCs w:val="1"/>
          <w:rtl w:val="0"/>
        </w:rPr>
        <w:t xml:space="preserve">Recommendation 2:</w:t>
      </w:r>
      <w:r w:rsidDel="00000000" w:rsidR="00000000" w:rsidRPr="00000000">
        <w:rPr>
          <w:rtl w:val="0"/>
        </w:rPr>
        <w:t xml:space="preserve"> Embed sustainability impact assessments in all health policies. This approach was recommended by WHO (2021) to help policies take into account the long-term implications for future generations. This is partially adopted in Wales and should be adopted in England.</w:t>
      </w:r>
    </w:p>
    <w:p w:rsidR="00000000" w:rsidDel="00000000" w:rsidP="00000000" w:rsidRDefault="00000000" w:rsidRPr="00000000" w14:paraId="0000004F">
      <w:pPr>
        <w:rPr/>
      </w:pPr>
      <w:r w:rsidDel="00000000" w:rsidR="00000000" w:rsidRPr="00000000">
        <w:rPr>
          <w:b w:val="1"/>
          <w:bCs w:val="1"/>
          <w:rtl w:val="0"/>
        </w:rPr>
        <w:t xml:space="preserve">Recommendation 3:</w:t>
      </w:r>
      <w:r w:rsidDel="00000000" w:rsidR="00000000" w:rsidRPr="00000000">
        <w:rPr>
          <w:rtl w:val="0"/>
        </w:rPr>
        <w:t xml:space="preserve"> Solve the issue of the lack of personnel by pursuing personnel retention strategies. The BMA (2026) indicates retention is as important as recruitment. Improved compensation, work flexibility, and employee mental health assistance are amongst the suggestions. If this could be reduced to 20,286 a year, then this would have a stabilising effect on the workforce.</w:t>
      </w:r>
    </w:p>
    <w:p w:rsidR="00000000" w:rsidDel="00000000" w:rsidP="00000000" w:rsidRDefault="00000000" w:rsidRPr="00000000" w14:paraId="00000050">
      <w:pPr>
        <w:rPr/>
      </w:pPr>
      <w:r w:rsidDel="00000000" w:rsidR="00000000" w:rsidRPr="00000000">
        <w:rPr>
          <w:b w:val="1"/>
          <w:bCs w:val="1"/>
          <w:rtl w:val="0"/>
        </w:rPr>
        <w:t xml:space="preserve">Recommendation 4:</w:t>
      </w:r>
      <w:r w:rsidDel="00000000" w:rsidR="00000000" w:rsidRPr="00000000">
        <w:rPr>
          <w:rtl w:val="0"/>
        </w:rPr>
        <w:t xml:space="preserve"> National roll-out of social prescribing. The example of Aneurin Bevan (ABUHB, 2024) shows a 23 per cent reduction in A&amp;E. Funding for social prescribing link workers should be provided nationally across the NHS, with targeted funding for deprived areas to tackle inequalities (SDG 10) via NHS England.</w:t>
      </w:r>
    </w:p>
    <w:p w:rsidR="00000000" w:rsidDel="00000000" w:rsidP="00000000" w:rsidRDefault="00000000" w:rsidRPr="00000000" w14:paraId="00000051">
      <w:pPr>
        <w:rPr/>
      </w:pPr>
      <w:r w:rsidDel="00000000" w:rsidR="00000000" w:rsidRPr="00000000">
        <w:rPr>
          <w:b w:val="1"/>
          <w:bCs w:val="1"/>
          <w:rtl w:val="0"/>
        </w:rPr>
        <w:t xml:space="preserve">Recommendation 5:</w:t>
      </w:r>
      <w:r w:rsidDel="00000000" w:rsidR="00000000" w:rsidRPr="00000000">
        <w:rPr>
          <w:rtl w:val="0"/>
        </w:rPr>
        <w:t xml:space="preserve"> Devolved countries exchange good practice. Well-being of Future Generations (Wales) Act 2015 is a model for England. There is a need for a sustainable development framework, consistent across all four nations of the United Kingdom, to reduce fragmentation and ensure progress is consistent across the UK.</w:t>
      </w:r>
    </w:p>
    <w:p w:rsidR="00000000" w:rsidDel="00000000" w:rsidP="00000000" w:rsidRDefault="00000000" w:rsidRPr="00000000" w14:paraId="00000052">
      <w:pPr>
        <w:pStyle w:val="Heading1"/>
        <w:rPr/>
      </w:pPr>
      <w:bookmarkStart w:colFirst="0" w:colLast="0" w:name="_heading=h.jqanf9z5s0gn" w:id="15"/>
      <w:bookmarkEnd w:id="15"/>
      <w:r w:rsidDel="00000000" w:rsidR="00000000" w:rsidRPr="00000000">
        <w:rPr>
          <w:rtl w:val="0"/>
        </w:rPr>
        <w:t xml:space="preserve">6. Conclusion</w:t>
      </w:r>
    </w:p>
    <w:p w:rsidR="00000000" w:rsidDel="00000000" w:rsidP="00000000" w:rsidRDefault="00000000" w:rsidRPr="00000000" w14:paraId="00000053">
      <w:pPr>
        <w:rPr/>
      </w:pPr>
      <w:r w:rsidDel="00000000" w:rsidR="00000000" w:rsidRPr="00000000">
        <w:rPr>
          <w:rtl w:val="0"/>
        </w:rPr>
        <w:t xml:space="preserve">This report has critically examined SDG 3 (Good Health and Wellbeing) and SDG 10 (Reduced Inequalities), arguing that improving health outcomes is impossible without tackling underlying inequalities. Progress has been achieved around the world, although the COVID-19 pandemic has revealed the vulnerabilities and inequalities of health systems. In the UK, there is an 8-10 year life expectancy gap between richest and poorest areas and workforce shortages affect the quality of care.</w:t>
      </w:r>
    </w:p>
    <w:p w:rsidR="00000000" w:rsidDel="00000000" w:rsidP="00000000" w:rsidRDefault="00000000" w:rsidRPr="00000000" w14:paraId="00000054">
      <w:pPr>
        <w:rPr/>
      </w:pPr>
      <w:r w:rsidDel="00000000" w:rsidR="00000000" w:rsidRPr="00000000">
        <w:rPr>
          <w:rtl w:val="0"/>
        </w:rPr>
        <w:t xml:space="preserve">The Well-being of Future Generations (Wales) Act 2015 is world-leading legislation which is undermined by funding restrictions and a lack of enforcement. There are five recommendations that provide a pathway to meaningful implementation – prevention funding, sustainability assessments, workforce retention, social prescribing rollout, and cross-devolved nation learning.</w:t>
      </w:r>
    </w:p>
    <w:p w:rsidR="00000000" w:rsidDel="00000000" w:rsidP="00000000" w:rsidRDefault="00000000" w:rsidRPr="00000000" w14:paraId="00000055">
      <w:pPr>
        <w:rPr/>
      </w:pPr>
      <w:r w:rsidDel="00000000" w:rsidR="00000000" w:rsidRPr="00000000">
        <w:rPr>
          <w:rtl w:val="0"/>
        </w:rPr>
        <w:t xml:space="preserve">Sustainable health and wellbeing isn't just about policy intention, it's about political will, resources and a relentless commitment to equality. These are essential for SDG 3 and SDG 10 to become reality for millions of citizens.</w:t>
      </w:r>
    </w:p>
    <w:p w:rsidR="00000000" w:rsidDel="00000000" w:rsidP="00000000" w:rsidRDefault="00000000" w:rsidRPr="00000000" w14:paraId="00000056">
      <w:pPr>
        <w:spacing w:after="160" w:line="259" w:lineRule="auto"/>
        <w:ind w:firstLine="0"/>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57">
      <w:pPr>
        <w:pStyle w:val="Heading1"/>
        <w:ind w:firstLine="0"/>
        <w:rPr/>
      </w:pPr>
      <w:bookmarkStart w:colFirst="0" w:colLast="0" w:name="_heading=h.4q3j8oflqbbc" w:id="16"/>
      <w:bookmarkEnd w:id="16"/>
      <w:r w:rsidDel="00000000" w:rsidR="00000000" w:rsidRPr="00000000">
        <w:rPr>
          <w:rtl w:val="0"/>
        </w:rPr>
        <w:t xml:space="preserve">Reference List</w:t>
      </w:r>
    </w:p>
    <w:p w:rsidR="00000000" w:rsidDel="00000000" w:rsidP="00000000" w:rsidRDefault="00000000" w:rsidRPr="00000000" w14:paraId="00000058">
      <w:pPr>
        <w:ind w:left="720" w:hanging="720"/>
        <w:rPr/>
      </w:pPr>
      <w:r w:rsidDel="00000000" w:rsidR="00000000" w:rsidRPr="00000000">
        <w:rPr>
          <w:rtl w:val="0"/>
        </w:rPr>
        <w:t xml:space="preserve">Aneurin Bevan University Health Board (2024) *Annual Quality and Safety Report 2023-24*. Newport: ABUHB. </w:t>
      </w:r>
      <w:hyperlink r:id="rId7">
        <w:r w:rsidDel="00000000" w:rsidR="00000000" w:rsidRPr="00000000">
          <w:rPr>
            <w:color w:val="0563c1"/>
            <w:u w:val="single"/>
            <w:rtl w:val="0"/>
          </w:rPr>
          <w:t xml:space="preserve">https://abuhb.nhs.wales/files/key-documents/annual-quality-statements/</w:t>
        </w:r>
      </w:hyperlink>
      <w:r w:rsidDel="00000000" w:rsidR="00000000" w:rsidRPr="00000000">
        <w:rPr>
          <w:rtl w:val="0"/>
        </w:rPr>
        <w:t xml:space="preserve"> </w:t>
      </w:r>
    </w:p>
    <w:p w:rsidR="00000000" w:rsidDel="00000000" w:rsidP="00000000" w:rsidRDefault="00000000" w:rsidRPr="00000000" w14:paraId="00000059">
      <w:pPr>
        <w:ind w:left="720" w:hanging="720"/>
        <w:rPr/>
      </w:pPr>
      <w:r w:rsidDel="00000000" w:rsidR="00000000" w:rsidRPr="00000000">
        <w:rPr>
          <w:rtl w:val="0"/>
        </w:rPr>
        <w:t xml:space="preserve">British Medical Association (2026) </w:t>
      </w:r>
      <w:r w:rsidDel="00000000" w:rsidR="00000000" w:rsidRPr="00000000">
        <w:rPr>
          <w:i w:val="1"/>
          <w:iCs w:val="1"/>
          <w:rtl w:val="0"/>
        </w:rPr>
        <w:t xml:space="preserve">NHS medical staffing data analysis</w:t>
      </w:r>
      <w:r w:rsidDel="00000000" w:rsidR="00000000" w:rsidRPr="00000000">
        <w:rPr>
          <w:rtl w:val="0"/>
        </w:rPr>
        <w:t xml:space="preserve">. Available at: </w:t>
      </w:r>
      <w:hyperlink r:id="rId8">
        <w:r w:rsidDel="00000000" w:rsidR="00000000" w:rsidRPr="00000000">
          <w:rPr>
            <w:color w:val="0563c1"/>
            <w:u w:val="single"/>
            <w:rtl w:val="0"/>
          </w:rPr>
          <w:t xml:space="preserve">https://www.bma.org.uk/advice-and-support/nhs-delivery-and-workforce/workforce/medical-staffing-in-the-nhs</w:t>
        </w:r>
      </w:hyperlink>
      <w:r w:rsidDel="00000000" w:rsidR="00000000" w:rsidRPr="00000000">
        <w:rPr>
          <w:rtl w:val="0"/>
        </w:rPr>
        <w:t xml:space="preserve"> (Accessed: 10 June 2026).</w:t>
      </w:r>
    </w:p>
    <w:p w:rsidR="00000000" w:rsidDel="00000000" w:rsidP="00000000" w:rsidRDefault="00000000" w:rsidRPr="00000000" w14:paraId="0000005A">
      <w:pPr>
        <w:ind w:left="720" w:hanging="720"/>
        <w:rPr/>
      </w:pPr>
      <w:r w:rsidDel="00000000" w:rsidR="00000000" w:rsidRPr="00000000">
        <w:rPr>
          <w:rtl w:val="0"/>
        </w:rPr>
        <w:t xml:space="preserve">Brundtland Commission (1987) </w:t>
      </w:r>
      <w:r w:rsidDel="00000000" w:rsidR="00000000" w:rsidRPr="00000000">
        <w:rPr>
          <w:i w:val="1"/>
          <w:iCs w:val="1"/>
          <w:rtl w:val="0"/>
        </w:rPr>
        <w:t xml:space="preserve">Our Common Future</w:t>
      </w:r>
      <w:r w:rsidDel="00000000" w:rsidR="00000000" w:rsidRPr="00000000">
        <w:rPr>
          <w:rtl w:val="0"/>
        </w:rPr>
        <w:t xml:space="preserve">. Oxford: Oxford University Press.</w:t>
      </w:r>
    </w:p>
    <w:p w:rsidR="00000000" w:rsidDel="00000000" w:rsidP="00000000" w:rsidRDefault="00000000" w:rsidRPr="00000000" w14:paraId="0000005B">
      <w:pPr>
        <w:ind w:left="720" w:hanging="720"/>
        <w:rPr/>
      </w:pPr>
      <w:r w:rsidDel="00000000" w:rsidR="00000000" w:rsidRPr="00000000">
        <w:rPr>
          <w:rtl w:val="0"/>
        </w:rPr>
        <w:t xml:space="preserve">Dodge, R., Daly, A., Huyton, J. and Sanders, L. (2012) 'The challenge of defining wellbeing', </w:t>
      </w:r>
      <w:r w:rsidDel="00000000" w:rsidR="00000000" w:rsidRPr="00000000">
        <w:rPr>
          <w:i w:val="1"/>
          <w:iCs w:val="1"/>
          <w:rtl w:val="0"/>
        </w:rPr>
        <w:t xml:space="preserve">International Journal of Wellbeing</w:t>
      </w:r>
      <w:r w:rsidDel="00000000" w:rsidR="00000000" w:rsidRPr="00000000">
        <w:rPr>
          <w:rtl w:val="0"/>
        </w:rPr>
        <w:t xml:space="preserve">, 2(3), pp. 222-235.</w:t>
      </w:r>
    </w:p>
    <w:p w:rsidR="00000000" w:rsidDel="00000000" w:rsidP="00000000" w:rsidRDefault="00000000" w:rsidRPr="00000000" w14:paraId="0000005C">
      <w:pPr>
        <w:ind w:left="720" w:hanging="720"/>
        <w:rPr/>
      </w:pPr>
      <w:r w:rsidDel="00000000" w:rsidR="00000000" w:rsidRPr="00000000">
        <w:rPr>
          <w:rtl w:val="0"/>
        </w:rPr>
        <w:t xml:space="preserve">Engel, G.L. (1977) 'The need for a new medical model: a challenge for biomedicine', </w:t>
      </w:r>
      <w:r w:rsidDel="00000000" w:rsidR="00000000" w:rsidRPr="00000000">
        <w:rPr>
          <w:i w:val="1"/>
          <w:iCs w:val="1"/>
          <w:rtl w:val="0"/>
        </w:rPr>
        <w:t xml:space="preserve">Science</w:t>
      </w:r>
      <w:r w:rsidDel="00000000" w:rsidR="00000000" w:rsidRPr="00000000">
        <w:rPr>
          <w:rtl w:val="0"/>
        </w:rPr>
        <w:t xml:space="preserve">, 196(4286), pp. 129-136.</w:t>
      </w:r>
    </w:p>
    <w:p w:rsidR="00000000" w:rsidDel="00000000" w:rsidP="00000000" w:rsidRDefault="00000000" w:rsidRPr="00000000" w14:paraId="0000005D">
      <w:pPr>
        <w:ind w:left="720" w:hanging="720"/>
        <w:rPr/>
      </w:pPr>
      <w:r w:rsidDel="00000000" w:rsidR="00000000" w:rsidRPr="00000000">
        <w:rPr>
          <w:color w:val="222222"/>
          <w:highlight w:val="white"/>
          <w:rtl w:val="0"/>
        </w:rPr>
        <w:t xml:space="preserve">England, N.H.S. and Improvement, N.H.S., 2020. Science in healthcare: Delivering the NHS long term plan. </w:t>
      </w:r>
      <w:r w:rsidDel="00000000" w:rsidR="00000000" w:rsidRPr="00000000">
        <w:rPr>
          <w:i w:val="1"/>
          <w:iCs w:val="1"/>
          <w:color w:val="222222"/>
          <w:highlight w:val="white"/>
          <w:rtl w:val="0"/>
        </w:rPr>
        <w:t xml:space="preserve">The chief scientific officer’s strategy</w:t>
      </w:r>
      <w:r w:rsidDel="00000000" w:rsidR="00000000" w:rsidRPr="00000000">
        <w:rPr>
          <w:color w:val="222222"/>
          <w:highlight w:val="white"/>
          <w:rtl w:val="0"/>
        </w:rPr>
        <w:t xml:space="preserve">.</w:t>
      </w:r>
      <w:r w:rsidDel="00000000" w:rsidR="00000000" w:rsidRPr="00000000">
        <w:rPr>
          <w:rtl w:val="0"/>
        </w:rPr>
      </w:r>
    </w:p>
    <w:p w:rsidR="00000000" w:rsidDel="00000000" w:rsidP="00000000" w:rsidRDefault="00000000" w:rsidRPr="00000000" w14:paraId="0000005E">
      <w:pPr>
        <w:ind w:left="720" w:hanging="720"/>
        <w:rPr>
          <w:color w:val="222222"/>
          <w:highlight w:val="white"/>
        </w:rPr>
      </w:pPr>
      <w:r w:rsidDel="00000000" w:rsidR="00000000" w:rsidRPr="00000000">
        <w:rPr>
          <w:color w:val="222222"/>
          <w:highlight w:val="white"/>
          <w:rtl w:val="0"/>
        </w:rPr>
        <w:t xml:space="preserve">Farrell, C., Law, J. and Thomas, S., 2020. Public health and local government in Wales: every policy a health policy–a collaborative agenda. In </w:t>
      </w:r>
      <w:r w:rsidDel="00000000" w:rsidR="00000000" w:rsidRPr="00000000">
        <w:rPr>
          <w:i w:val="1"/>
          <w:iCs w:val="1"/>
          <w:color w:val="222222"/>
          <w:highlight w:val="white"/>
          <w:rtl w:val="0"/>
        </w:rPr>
        <w:t xml:space="preserve">Local Authorities and the Social Determinants of Health</w:t>
      </w:r>
      <w:r w:rsidDel="00000000" w:rsidR="00000000" w:rsidRPr="00000000">
        <w:rPr>
          <w:color w:val="222222"/>
          <w:highlight w:val="white"/>
          <w:rtl w:val="0"/>
        </w:rPr>
        <w:t xml:space="preserve"> (pp. 385-400). Policy Press.\</w:t>
      </w:r>
    </w:p>
    <w:p w:rsidR="00000000" w:rsidDel="00000000" w:rsidP="00000000" w:rsidRDefault="00000000" w:rsidRPr="00000000" w14:paraId="0000005F">
      <w:pPr>
        <w:ind w:left="720" w:hanging="720"/>
        <w:rPr/>
      </w:pPr>
      <w:r w:rsidDel="00000000" w:rsidR="00000000" w:rsidRPr="00000000">
        <w:rPr>
          <w:rtl w:val="0"/>
        </w:rPr>
        <w:t xml:space="preserve">Huber, M. et al. (2011) 'How should we define health?', </w:t>
      </w:r>
      <w:r w:rsidDel="00000000" w:rsidR="00000000" w:rsidRPr="00000000">
        <w:rPr>
          <w:i w:val="1"/>
          <w:iCs w:val="1"/>
          <w:rtl w:val="0"/>
        </w:rPr>
        <w:t xml:space="preserve">BMJ</w:t>
      </w:r>
      <w:r w:rsidDel="00000000" w:rsidR="00000000" w:rsidRPr="00000000">
        <w:rPr>
          <w:rtl w:val="0"/>
        </w:rPr>
        <w:t xml:space="preserve">, 343, d4163. doi: 10.1136/bmj.d4163.</w:t>
      </w:r>
    </w:p>
    <w:p w:rsidR="00000000" w:rsidDel="00000000" w:rsidP="00000000" w:rsidRDefault="00000000" w:rsidRPr="00000000" w14:paraId="00000060">
      <w:pPr>
        <w:ind w:left="720" w:hanging="720"/>
        <w:rPr/>
      </w:pPr>
      <w:r w:rsidDel="00000000" w:rsidR="00000000" w:rsidRPr="00000000">
        <w:rPr>
          <w:rtl w:val="0"/>
        </w:rPr>
        <w:t xml:space="preserve">King's Fund (2025) </w:t>
      </w:r>
      <w:r w:rsidDel="00000000" w:rsidR="00000000" w:rsidRPr="00000000">
        <w:rPr>
          <w:i w:val="1"/>
          <w:iCs w:val="1"/>
          <w:rtl w:val="0"/>
        </w:rPr>
        <w:t xml:space="preserve">NHS: key facts and figures</w:t>
      </w:r>
      <w:r w:rsidDel="00000000" w:rsidR="00000000" w:rsidRPr="00000000">
        <w:rPr>
          <w:rtl w:val="0"/>
        </w:rPr>
        <w:t xml:space="preserve">. Available at: </w:t>
      </w:r>
      <w:hyperlink r:id="rId9">
        <w:r w:rsidDel="00000000" w:rsidR="00000000" w:rsidRPr="00000000">
          <w:rPr>
            <w:color w:val="0563c1"/>
            <w:u w:val="single"/>
            <w:rtl w:val="0"/>
          </w:rPr>
          <w:t xml:space="preserve">https://www.kingsfund.org.uk/insight-and-analysis/data-and-charts/key-facts-figures-nhs</w:t>
        </w:r>
      </w:hyperlink>
      <w:r w:rsidDel="00000000" w:rsidR="00000000" w:rsidRPr="00000000">
        <w:rPr>
          <w:rtl w:val="0"/>
        </w:rPr>
        <w:t xml:space="preserve"> (Accessed: 10 June 2026).</w:t>
      </w:r>
    </w:p>
    <w:p w:rsidR="00000000" w:rsidDel="00000000" w:rsidP="00000000" w:rsidRDefault="00000000" w:rsidRPr="00000000" w14:paraId="00000061">
      <w:pPr>
        <w:ind w:left="720" w:hanging="720"/>
        <w:rPr/>
      </w:pPr>
      <w:r w:rsidDel="00000000" w:rsidR="00000000" w:rsidRPr="00000000">
        <w:rPr>
          <w:rtl w:val="0"/>
        </w:rPr>
        <w:t xml:space="preserve">Marmot, M. et al. (2020) </w:t>
      </w:r>
      <w:r w:rsidDel="00000000" w:rsidR="00000000" w:rsidRPr="00000000">
        <w:rPr>
          <w:i w:val="1"/>
          <w:iCs w:val="1"/>
          <w:rtl w:val="0"/>
        </w:rPr>
        <w:t xml:space="preserve">Health Equity in England: The Marmot Review 10 Years On</w:t>
      </w:r>
      <w:r w:rsidDel="00000000" w:rsidR="00000000" w:rsidRPr="00000000">
        <w:rPr>
          <w:rtl w:val="0"/>
        </w:rPr>
        <w:t xml:space="preserve">. London: Institute of Health Equity.</w:t>
      </w:r>
    </w:p>
    <w:p w:rsidR="00000000" w:rsidDel="00000000" w:rsidP="00000000" w:rsidRDefault="00000000" w:rsidRPr="00000000" w14:paraId="00000062">
      <w:pPr>
        <w:ind w:left="720" w:hanging="720"/>
        <w:rPr/>
      </w:pPr>
      <w:r w:rsidDel="00000000" w:rsidR="00000000" w:rsidRPr="00000000">
        <w:rPr>
          <w:highlight w:val="white"/>
          <w:rtl w:val="0"/>
        </w:rPr>
        <w:t xml:space="preserve">MBRRACE-UK (2022) *Saving Lives, Improving Mothers' Care: lessons learned to inform maternity care from the UK and Ireland Confidential Enquiries into Maternal Deaths and Morbidity 2018-20*. Oxford: National Perinatal Epidemiology Unit, University of Oxford.</w:t>
      </w:r>
      <w:r w:rsidDel="00000000" w:rsidR="00000000" w:rsidRPr="00000000">
        <w:rPr>
          <w:rtl w:val="0"/>
        </w:rPr>
      </w:r>
    </w:p>
    <w:p w:rsidR="00000000" w:rsidDel="00000000" w:rsidP="00000000" w:rsidRDefault="00000000" w:rsidRPr="00000000" w14:paraId="00000063">
      <w:pPr>
        <w:ind w:left="720" w:hanging="720"/>
        <w:rPr>
          <w:color w:val="222222"/>
          <w:highlight w:val="white"/>
        </w:rPr>
      </w:pPr>
      <w:r w:rsidDel="00000000" w:rsidR="00000000" w:rsidRPr="00000000">
        <w:rPr>
          <w:color w:val="222222"/>
          <w:highlight w:val="white"/>
          <w:rtl w:val="0"/>
        </w:rPr>
        <w:t xml:space="preserve">Mir, G., Karlsen, S., Mitullah, W.V., Bhojani, U., Uzochukwu, B., Okeke, C., Mirzoev, T., Ebenso, B., Dracup, N., Dymski, G.A. and Ouma, S., 2020. </w:t>
      </w:r>
      <w:r w:rsidDel="00000000" w:rsidR="00000000" w:rsidRPr="00000000">
        <w:rPr>
          <w:i w:val="1"/>
          <w:iCs w:val="1"/>
          <w:color w:val="222222"/>
          <w:highlight w:val="white"/>
          <w:rtl w:val="0"/>
        </w:rPr>
        <w:t xml:space="preserve">Achieving SDG 10: A global review of public service inclusion strategies for ethnic and religious minorities</w:t>
      </w:r>
      <w:r w:rsidDel="00000000" w:rsidR="00000000" w:rsidRPr="00000000">
        <w:rPr>
          <w:color w:val="222222"/>
          <w:highlight w:val="white"/>
          <w:rtl w:val="0"/>
        </w:rPr>
        <w:t xml:space="preserve"> (No. 5). UNRISD Occasional Paper-Overcoming Inequalities in a Fractured World: Between Elite Power and Social Mobilization.</w:t>
      </w:r>
    </w:p>
    <w:p w:rsidR="00000000" w:rsidDel="00000000" w:rsidP="00000000" w:rsidRDefault="00000000" w:rsidRPr="00000000" w14:paraId="00000064">
      <w:pPr>
        <w:ind w:left="720" w:hanging="720"/>
        <w:rPr/>
      </w:pPr>
      <w:r w:rsidDel="00000000" w:rsidR="00000000" w:rsidRPr="00000000">
        <w:rPr>
          <w:rtl w:val="0"/>
        </w:rPr>
        <w:t xml:space="preserve">Office for National Statistics (2025) </w:t>
      </w:r>
      <w:r w:rsidDel="00000000" w:rsidR="00000000" w:rsidRPr="00000000">
        <w:rPr>
          <w:i w:val="1"/>
          <w:iCs w:val="1"/>
          <w:rtl w:val="0"/>
        </w:rPr>
        <w:t xml:space="preserve">Health state life expectancies, UK QMI: 2021 to 2023</w:t>
      </w:r>
      <w:r w:rsidDel="00000000" w:rsidR="00000000" w:rsidRPr="00000000">
        <w:rPr>
          <w:rtl w:val="0"/>
        </w:rPr>
        <w:t xml:space="preserve">. Available at: </w:t>
      </w:r>
      <w:hyperlink r:id="rId10">
        <w:r w:rsidDel="00000000" w:rsidR="00000000" w:rsidRPr="00000000">
          <w:rPr>
            <w:color w:val="0563c1"/>
            <w:u w:val="single"/>
            <w:rtl w:val="0"/>
          </w:rPr>
          <w:t xml:space="preserve">https://www.ons.gov.uk/peoplepopulationandcommunity/healthandsocialcare/healthandlifeexpectancies/methodologies/healthstatelifeexpectanciesukqmi2020to2022</w:t>
        </w:r>
      </w:hyperlink>
      <w:r w:rsidDel="00000000" w:rsidR="00000000" w:rsidRPr="00000000">
        <w:rPr>
          <w:rtl w:val="0"/>
        </w:rPr>
        <w:t xml:space="preserve"> (Accessed: 10 June 2026).</w:t>
      </w:r>
    </w:p>
    <w:p w:rsidR="00000000" w:rsidDel="00000000" w:rsidP="00000000" w:rsidRDefault="00000000" w:rsidRPr="00000000" w14:paraId="00000065">
      <w:pPr>
        <w:ind w:left="720" w:hanging="720"/>
        <w:rPr>
          <w:color w:val="222222"/>
          <w:highlight w:val="white"/>
        </w:rPr>
      </w:pPr>
      <w:r w:rsidDel="00000000" w:rsidR="00000000" w:rsidRPr="00000000">
        <w:rPr>
          <w:color w:val="222222"/>
          <w:highlight w:val="white"/>
          <w:rtl w:val="0"/>
        </w:rPr>
        <w:t xml:space="preserve">Perry, B., Diprose, K., Taylor Buck, N. and Simon, D., 2021. Localizing the SDGs in England: challenges and value propositions for local government. </w:t>
      </w:r>
      <w:r w:rsidDel="00000000" w:rsidR="00000000" w:rsidRPr="00000000">
        <w:rPr>
          <w:i w:val="1"/>
          <w:iCs w:val="1"/>
          <w:color w:val="222222"/>
          <w:highlight w:val="white"/>
          <w:rtl w:val="0"/>
        </w:rPr>
        <w:t xml:space="preserve">Frontiers in Sustainable Cities</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3</w:t>
      </w:r>
      <w:r w:rsidDel="00000000" w:rsidR="00000000" w:rsidRPr="00000000">
        <w:rPr>
          <w:color w:val="222222"/>
          <w:highlight w:val="white"/>
          <w:rtl w:val="0"/>
        </w:rPr>
        <w:t xml:space="preserve">, p.746337.</w:t>
      </w:r>
    </w:p>
    <w:p w:rsidR="00000000" w:rsidDel="00000000" w:rsidP="00000000" w:rsidRDefault="00000000" w:rsidRPr="00000000" w14:paraId="00000066">
      <w:pPr>
        <w:ind w:left="720" w:hanging="720"/>
        <w:rPr/>
      </w:pPr>
      <w:r w:rsidDel="00000000" w:rsidR="00000000" w:rsidRPr="00000000">
        <w:rPr>
          <w:color w:val="222222"/>
          <w:highlight w:val="white"/>
          <w:rtl w:val="0"/>
        </w:rPr>
        <w:t xml:space="preserve">Smith, F., 2021. The Welsh Government’s use of policy tools for mainstreaming equalities.</w:t>
      </w:r>
      <w:r w:rsidDel="00000000" w:rsidR="00000000" w:rsidRPr="00000000">
        <w:rPr>
          <w:rtl w:val="0"/>
        </w:rPr>
      </w:r>
    </w:p>
    <w:p w:rsidR="00000000" w:rsidDel="00000000" w:rsidP="00000000" w:rsidRDefault="00000000" w:rsidRPr="00000000" w14:paraId="00000067">
      <w:pPr>
        <w:ind w:left="720" w:hanging="720"/>
        <w:rPr/>
      </w:pPr>
      <w:r w:rsidDel="00000000" w:rsidR="00000000" w:rsidRPr="00000000">
        <w:rPr>
          <w:rtl w:val="0"/>
        </w:rPr>
        <w:t xml:space="preserve">United Nations (2015) </w:t>
      </w:r>
      <w:r w:rsidDel="00000000" w:rsidR="00000000" w:rsidRPr="00000000">
        <w:rPr>
          <w:i w:val="1"/>
          <w:iCs w:val="1"/>
          <w:rtl w:val="0"/>
        </w:rPr>
        <w:t xml:space="preserve">Transforming our world: the 2030 Agenda for Sustainable Development</w:t>
      </w:r>
      <w:r w:rsidDel="00000000" w:rsidR="00000000" w:rsidRPr="00000000">
        <w:rPr>
          <w:rtl w:val="0"/>
        </w:rPr>
        <w:t xml:space="preserve">. New York: United Nations.</w:t>
      </w:r>
    </w:p>
    <w:p w:rsidR="00000000" w:rsidDel="00000000" w:rsidP="00000000" w:rsidRDefault="00000000" w:rsidRPr="00000000" w14:paraId="00000068">
      <w:pPr>
        <w:ind w:left="720" w:hanging="720"/>
        <w:rPr/>
      </w:pPr>
      <w:r w:rsidDel="00000000" w:rsidR="00000000" w:rsidRPr="00000000">
        <w:rPr>
          <w:rtl w:val="0"/>
        </w:rPr>
        <w:t xml:space="preserve">Welsh Government (2015) *Well-being of Future Generations (Wales) Act 2015*. Available at: </w:t>
      </w:r>
      <w:hyperlink r:id="rId11">
        <w:r w:rsidDel="00000000" w:rsidR="00000000" w:rsidRPr="00000000">
          <w:rPr>
            <w:color w:val="0563c1"/>
            <w:u w:val="single"/>
            <w:rtl w:val="0"/>
          </w:rPr>
          <w:t xml:space="preserve">https://www.legislation.gov.uk/anaw/2015/2/contents</w:t>
        </w:r>
      </w:hyperlink>
      <w:r w:rsidDel="00000000" w:rsidR="00000000" w:rsidRPr="00000000">
        <w:rPr>
          <w:rtl w:val="0"/>
        </w:rPr>
        <w:t xml:space="preserve"> (Accessed: 10 June 2026).</w:t>
      </w:r>
    </w:p>
    <w:p w:rsidR="00000000" w:rsidDel="00000000" w:rsidP="00000000" w:rsidRDefault="00000000" w:rsidRPr="00000000" w14:paraId="00000069">
      <w:pPr>
        <w:ind w:left="720" w:hanging="720"/>
        <w:rPr/>
      </w:pPr>
      <w:r w:rsidDel="00000000" w:rsidR="00000000" w:rsidRPr="00000000">
        <w:rPr>
          <w:rtl w:val="0"/>
        </w:rPr>
        <w:t xml:space="preserve">World Health Organization (2006) </w:t>
      </w:r>
      <w:r w:rsidDel="00000000" w:rsidR="00000000" w:rsidRPr="00000000">
        <w:rPr>
          <w:i w:val="1"/>
          <w:iCs w:val="1"/>
          <w:rtl w:val="0"/>
        </w:rPr>
        <w:t xml:space="preserve">Constitution of the World Health Organization</w:t>
      </w:r>
      <w:r w:rsidDel="00000000" w:rsidR="00000000" w:rsidRPr="00000000">
        <w:rPr>
          <w:rtl w:val="0"/>
        </w:rPr>
        <w:t xml:space="preserve">. 45th ed. Geneva: WHO.</w:t>
      </w:r>
    </w:p>
    <w:p w:rsidR="00000000" w:rsidDel="00000000" w:rsidP="00000000" w:rsidRDefault="00000000" w:rsidRPr="00000000" w14:paraId="0000006A">
      <w:pPr>
        <w:ind w:left="720" w:hanging="720"/>
        <w:rPr/>
      </w:pPr>
      <w:r w:rsidDel="00000000" w:rsidR="00000000" w:rsidRPr="00000000">
        <w:rPr>
          <w:rtl w:val="0"/>
        </w:rPr>
        <w:t xml:space="preserve">World Health Organization (2021) 'Healthy settings and Health-in-All Policies promoted', in *WHO results report 2020-2021*. Geneva: WHO. Available at: </w:t>
      </w:r>
      <w:hyperlink r:id="rId12">
        <w:r w:rsidDel="00000000" w:rsidR="00000000" w:rsidRPr="00000000">
          <w:rPr>
            <w:color w:val="0563c1"/>
            <w:u w:val="single"/>
            <w:rtl w:val="0"/>
          </w:rPr>
          <w:t xml:space="preserve">https://www.who.int/about/accountability/results/who-results-report-2020-2021/2021/healthy-settings-and-health-in-all-policies-promoted</w:t>
        </w:r>
      </w:hyperlink>
      <w:r w:rsidDel="00000000" w:rsidR="00000000" w:rsidRPr="00000000">
        <w:rPr>
          <w:rtl w:val="0"/>
        </w:rPr>
        <w:t xml:space="preserve"> (Accessed: 10 June 2026).</w:t>
      </w:r>
    </w:p>
    <w:p w:rsidR="00000000" w:rsidDel="00000000" w:rsidP="00000000" w:rsidRDefault="00000000" w:rsidRPr="00000000" w14:paraId="0000006B">
      <w:pPr>
        <w:ind w:left="720" w:hanging="720"/>
        <w:rPr>
          <w:color w:val="222222"/>
          <w:highlight w:val="white"/>
        </w:rPr>
      </w:pPr>
      <w:r w:rsidDel="00000000" w:rsidR="00000000" w:rsidRPr="00000000">
        <w:rPr>
          <w:color w:val="222222"/>
          <w:highlight w:val="white"/>
          <w:rtl w:val="0"/>
        </w:rPr>
        <w:t xml:space="preserve">World Health Organization, 2024. </w:t>
      </w:r>
      <w:r w:rsidDel="00000000" w:rsidR="00000000" w:rsidRPr="00000000">
        <w:rPr>
          <w:i w:val="1"/>
          <w:iCs w:val="1"/>
          <w:color w:val="222222"/>
          <w:highlight w:val="white"/>
          <w:rtl w:val="0"/>
        </w:rPr>
        <w:t xml:space="preserve">Achieving well-being: A global framework for integrating well-being into public health utilizing a health promotion approach</w:t>
      </w:r>
      <w:r w:rsidDel="00000000" w:rsidR="00000000" w:rsidRPr="00000000">
        <w:rPr>
          <w:color w:val="222222"/>
          <w:highlight w:val="white"/>
          <w:rtl w:val="0"/>
        </w:rPr>
        <w:t xml:space="preserve">. World Health Organization.</w:t>
      </w:r>
    </w:p>
    <w:p w:rsidR="00000000" w:rsidDel="00000000" w:rsidP="00000000" w:rsidRDefault="00000000" w:rsidRPr="00000000" w14:paraId="0000006C">
      <w:pPr>
        <w:rPr/>
      </w:pPr>
      <w:bookmarkStart w:colFirst="0" w:colLast="0" w:name="_heading=h.vhjleyooheia" w:id="17"/>
      <w:bookmarkEnd w:id="17"/>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line="360" w:lineRule="auto"/>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i w:val="1"/>
      <w:iCs w:val="1"/>
    </w:rPr>
  </w:style>
  <w:style w:type="paragraph" w:styleId="Heading2">
    <w:name w:val="heading 2"/>
    <w:basedOn w:val="Normal"/>
    <w:next w:val="Normal"/>
    <w:pPr>
      <w:keepNext w:val="1"/>
      <w:keepLines w:val="1"/>
      <w:ind w:firstLine="0"/>
    </w:pPr>
    <w:rPr>
      <w:i w:val="1"/>
      <w:iCs w:val="1"/>
      <w:color w:val="000000"/>
    </w:rPr>
  </w:style>
  <w:style w:type="paragraph" w:styleId="Heading3">
    <w:name w:val="heading 3"/>
    <w:basedOn w:val="Normal"/>
    <w:next w:val="Normal"/>
    <w:pPr>
      <w:keepNext w:val="1"/>
      <w:keepLines w:val="1"/>
      <w:spacing w:after="80" w:before="160" w:lineRule="auto"/>
    </w:pPr>
    <w:rPr>
      <w:b w:val="1"/>
      <w:bCs w:val="1"/>
      <w:color w:val="000000"/>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legislation.gov.uk/anaw/2015/2/contents" TargetMode="External"/><Relationship Id="rId10" Type="http://schemas.openxmlformats.org/officeDocument/2006/relationships/hyperlink" Target="https://www.ons.gov.uk/peoplepopulationandcommunity/healthandsocialcare/healthandlifeexpectancies/methodologies/healthstatelifeexpectanciesukqmi2020to2022" TargetMode="External"/><Relationship Id="rId12" Type="http://schemas.openxmlformats.org/officeDocument/2006/relationships/hyperlink" Target="https://www.who.int/about/accountability/results/who-results-report-2020-2021/2021/healthy-settings-and-health-in-all-policies-promoted" TargetMode="External"/><Relationship Id="rId9" Type="http://schemas.openxmlformats.org/officeDocument/2006/relationships/hyperlink" Target="https://www.kingsfund.org.uk/insight-and-analysis/data-and-charts/key-facts-figures-nh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abuhb.nhs.wales/files/key-documents/annual-quality-statements/" TargetMode="External"/><Relationship Id="rId8" Type="http://schemas.openxmlformats.org/officeDocument/2006/relationships/hyperlink" Target="https://www.bma.org.uk/advice-and-support/nhs-delivery-and-workforce/workforce/medical-staffing-in-the-n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bzVI9A4h546q2v/kFyvP4lYK8A==">CgMxLjAyDWguemU2Mm1mZ2xlOTYyDmgueGZodHlpcWVyNjJjMg5oLmJydm83eWhiOTFtdTIOaC44dXgwbGdwaDhrODkyDmguNTJpOWRha3J5ZjVhMg5oLjd2bjR4ZDZvNXpxcDIOaC5lODk3MGloNjQzYzUyDmgudzB6aXJhcWRscGU3Mg5oLmZiNmE2YWRsazF5ZjIOaC5xZ2xycXYyNjVndW4yDmguN25qNDB0OGdkYnI3Mg5oLmE3ZXoyeWx2cHlsMzIOaC5iYnp1MHpoNGpoN2syDmguZDR1ZzExeHZ4bTRmMg5oLnY0OXFyejJnOWYzYjIOaC5qcWFuZjl6NXMwZ24yDmguNHEzajhvZmxxYmJjMg5oLnZoamxleW9vaGVpYTgAciExaUZyVmg3SkJXZzhRb1A5Z0o1eWR0TkxfX3V4dmUwQz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