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924F685" w14:paraId="39457926" wp14:textId="218ADAEB">
      <w:pPr>
        <w:jc w:val="cente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Developing and Supporting Physical Development in Early Childhood.</w:t>
      </w:r>
    </w:p>
    <w:p xmlns:wp14="http://schemas.microsoft.com/office/word/2010/wordml" w:rsidP="3924F685" w14:paraId="63FBD7D9" wp14:textId="6832EAAE">
      <w:pPr>
        <w:jc w:val="cente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Reflective Journal </w:t>
      </w:r>
    </w:p>
    <w:p xmlns:wp14="http://schemas.microsoft.com/office/word/2010/wordml" w:rsidP="3924F685" w14:paraId="3CC8410E" wp14:textId="55DC7FB8">
      <w:pPr>
        <w:rPr>
          <w:rFonts w:ascii="Comic Sans MS" w:hAnsi="Comic Sans MS" w:eastAsia="Comic Sans MS" w:cs="Comic Sans MS"/>
        </w:rPr>
      </w:pPr>
      <w:r>
        <w:br/>
      </w:r>
    </w:p>
    <w:p xmlns:wp14="http://schemas.microsoft.com/office/word/2010/wordml" w:rsidP="3924F685" w14:paraId="14130646" wp14:textId="553C9304">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 xml:space="preserve">“The importance of movement development in early childhood was being forgotten. The focus that predominated in the early years of education was directed principally towards the development of language, numeracy and social skills. That movement was the foundation for much of child development was not </w:t>
      </w:r>
      <w:proofErr w:type="spellStart"/>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recognised</w:t>
      </w:r>
      <w:proofErr w:type="spellEnd"/>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 xml:space="preserve"> and was not getting the attention it deserved”</w:t>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(Whitehead, Margaret, ed. </w:t>
      </w:r>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 xml:space="preserve">Physical literacy: Throughout the </w:t>
      </w:r>
      <w:proofErr w:type="spellStart"/>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lifecourse</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Routledge, 2010.)</w:t>
      </w:r>
    </w:p>
    <w:p xmlns:wp14="http://schemas.microsoft.com/office/word/2010/wordml" w:rsidP="3924F685" w14:paraId="07C4867C" wp14:textId="53658EC6">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br/>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As a teacher with 25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years</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experience</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I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definitely agree</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that this is the case.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However</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with the introduction of the New Curriculum in Wales and the introduction of interventions such as SKIP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CYMRU,  hopefully</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this is no longer going to be the norm as physical movement will be given the attention it deserves.  It plays an essential part in a child’s development across all areas of the curriculum. After baselining my current class this was evident in their results as over 50% of the class were stage 1 or 2 on the 5 locomotor skills. </w:t>
      </w:r>
    </w:p>
    <w:p xmlns:wp14="http://schemas.microsoft.com/office/word/2010/wordml" w:rsidP="3924F685" w14:paraId="3C10584D" wp14:textId="434FB7F2">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br/>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As teachers, we regularly have training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on</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stages of development in writing, reading and number skills.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However</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we have not until now with SKIP CYMRU, received training in the stages of movement and the links to early development skills and the impact they have on children. For example, sitting still during carpet sessions or sitting to write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and also</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the strength required to hold and manipulate a writing implement. Having received SKIP CYMRU training,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I  feel</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more confident in disseminating the theory behind SKIP CYMRU within my own curriculum team, within my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Reception</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team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and also</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with other curriculum teams. This will in turn result in a change in thought processes giving Physical Literacy the importance it deserves across the curriculum. </w:t>
      </w:r>
    </w:p>
    <w:p xmlns:wp14="http://schemas.microsoft.com/office/word/2010/wordml" w:rsidP="3924F685" w14:paraId="3AA20B5F" wp14:textId="128350AD">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br/>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My Reflective Journal documents the development of my newly found knowledge and skills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in regard to</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teaching physical movement activities in a fun and interactive way, whilst ensuring all children are included according to their stages of development. In being given the opportunity to be part of the SKIP Cymru course I have worked with groups of children from within my class, to enable them to feel confident and motivated. </w:t>
      </w:r>
    </w:p>
    <w:p xmlns:wp14="http://schemas.microsoft.com/office/word/2010/wordml" w:rsidP="3924F685" w14:paraId="2DBEEC9C" wp14:textId="0A204E37">
      <w:pPr>
        <w:rPr>
          <w:rFonts w:ascii="Comic Sans MS" w:hAnsi="Comic Sans MS" w:eastAsia="Comic Sans MS" w:cs="Comic Sans MS"/>
        </w:rPr>
      </w:pPr>
      <w:r>
        <w:br/>
      </w:r>
    </w:p>
    <w:p xmlns:wp14="http://schemas.microsoft.com/office/word/2010/wordml" w:rsidP="3924F685" w14:paraId="0F5BBFAC" wp14:textId="5FAB1E31">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p>
    <w:p xmlns:wp14="http://schemas.microsoft.com/office/word/2010/wordml" w:rsidP="3924F685" w14:paraId="54B5206F" wp14:textId="16338BAD">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I am a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Reception</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teacher in a school situated in inner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city</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Newport in South Wales. The area is one with a high rate of deprivation. 90% of our school family are from non - British and ethnic minority backgrounds. We also have a very high proportion of children who are FSM and 36% of our children have an ALN. (This is 14% higher than the national average according to figures released by ESTYN in 2015.) All these factors contribute to our children not having the opportunity to participate in physical activities outside of school. </w:t>
      </w:r>
    </w:p>
    <w:p xmlns:wp14="http://schemas.microsoft.com/office/word/2010/wordml" w:rsidP="3924F685" w14:paraId="528EBD40" wp14:textId="30691A34">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w:t>
      </w:r>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Individuals from socially disadvantaged groups experience a higher burden of physical inactivity</w:t>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t>
      </w:r>
      <w:hyperlink w:anchor="bb0235" r:id="R416debb4dca9431e">
        <w:r w:rsidRPr="3924F685" w:rsidR="55797D6F">
          <w:rPr>
            <w:rStyle w:val="Hyperlink"/>
            <w:rFonts w:ascii="Comic Sans MS" w:hAnsi="Comic Sans MS" w:eastAsia="Comic Sans MS" w:cs="Comic Sans MS"/>
            <w:b w:val="0"/>
            <w:bCs w:val="0"/>
            <w:i w:val="0"/>
            <w:iCs w:val="0"/>
            <w:strike w:val="0"/>
            <w:dstrike w:val="0"/>
            <w:noProof w:val="0"/>
            <w:sz w:val="22"/>
            <w:szCs w:val="22"/>
            <w:lang w:val="en-US"/>
          </w:rPr>
          <w:t>Roe et al., 2016</w:t>
        </w:r>
      </w:hyperlink>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t>
      </w:r>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“There is an association between low levels of physical activity among people from BAME communities and a high level of health inequalities”</w:t>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t>
      </w:r>
      <w:hyperlink w:anchor="bb0165" r:id="Rcaa5489041cd45d1">
        <w:r w:rsidRPr="3924F685" w:rsidR="55797D6F">
          <w:rPr>
            <w:rStyle w:val="Hyperlink"/>
            <w:rFonts w:ascii="Comic Sans MS" w:hAnsi="Comic Sans MS" w:eastAsia="Comic Sans MS" w:cs="Comic Sans MS"/>
            <w:b w:val="0"/>
            <w:bCs w:val="0"/>
            <w:i w:val="0"/>
            <w:iCs w:val="0"/>
            <w:strike w:val="0"/>
            <w:dstrike w:val="0"/>
            <w:noProof w:val="0"/>
            <w:sz w:val="22"/>
            <w:szCs w:val="22"/>
            <w:lang w:val="en-US"/>
          </w:rPr>
          <w:t>Koshoedo et al., 2009</w:t>
        </w:r>
      </w:hyperlink>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w:t>
      </w:r>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 xml:space="preserve"> “BAME groups have also reported low levels of engagement and use of green space” </w:t>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w:t>
      </w:r>
      <w:hyperlink w:anchor="bb0055" r:id="R22bd648854804edf">
        <w:r w:rsidRPr="3924F685" w:rsidR="55797D6F">
          <w:rPr>
            <w:rStyle w:val="Hyperlink"/>
            <w:rFonts w:ascii="Comic Sans MS" w:hAnsi="Comic Sans MS" w:eastAsia="Comic Sans MS" w:cs="Comic Sans MS"/>
            <w:b w:val="0"/>
            <w:bCs w:val="0"/>
            <w:i w:val="0"/>
            <w:iCs w:val="0"/>
            <w:strike w:val="0"/>
            <w:dstrike w:val="0"/>
            <w:noProof w:val="0"/>
            <w:sz w:val="22"/>
            <w:szCs w:val="22"/>
            <w:lang w:val="en-US"/>
          </w:rPr>
          <w:t>Burt et al., 2013</w:t>
        </w:r>
      </w:hyperlink>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t>
      </w:r>
      <w:hyperlink w:anchor="bb0075" r:id="R5e4bf3b233c34ad4">
        <w:r w:rsidRPr="3924F685" w:rsidR="55797D6F">
          <w:rPr>
            <w:rStyle w:val="Hyperlink"/>
            <w:rFonts w:ascii="Comic Sans MS" w:hAnsi="Comic Sans MS" w:eastAsia="Comic Sans MS" w:cs="Comic Sans MS"/>
            <w:b w:val="0"/>
            <w:bCs w:val="0"/>
            <w:i w:val="0"/>
            <w:iCs w:val="0"/>
            <w:strike w:val="0"/>
            <w:dstrike w:val="0"/>
            <w:noProof w:val="0"/>
            <w:sz w:val="22"/>
            <w:szCs w:val="22"/>
            <w:lang w:val="en-US"/>
          </w:rPr>
          <w:t>Comber et al., 2008</w:t>
        </w:r>
      </w:hyperlink>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3924F685" w14:paraId="23E7A968" wp14:textId="22B19682">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br/>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After baselining my children, the 50%+ of my class that resulted in stage 1 or 2 for their locomotor skills were from certain ethnicities within our school BAME community. In addition, following a conversation with one of the Fathers in class, (who brings his daughter to school in a pushchair), it is evident that many of our parents are apprehensive of physical activity. The reason being that it is not part of their culture and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also</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they are concerned that their area may not be safe for their children to play outside. We also have parents who are older and have health conditions that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mean</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they think they are prevented from contributing to their child’s physical activity levels. This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particular Dad</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said he brings his daughter to school in a pushchair everyday as it assists him in walking.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Therefore</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having had an opportunity to work with these parents with activities they can undertake within the safety of their own home has been extremely beneficial. The small changes such as every child in my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Reception</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class being able to walk to school and not being in a pushchair is such a huge step in the right direction in parents beginning to understand the health benefits of exercise and movement.</w:t>
      </w:r>
    </w:p>
    <w:p xmlns:wp14="http://schemas.microsoft.com/office/word/2010/wordml" w:rsidP="3924F685" w14:paraId="3F42D864" wp14:textId="1DDD9C71">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br/>
      </w:r>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 xml:space="preserve">“ We have seen how movement is an essential ingredient for a child’s development and capacity to learn, but children of today have less movement opportunities in their lives than any other generation” </w:t>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(Goddard Blythe, 2005) </w:t>
      </w:r>
    </w:p>
    <w:p xmlns:wp14="http://schemas.microsoft.com/office/word/2010/wordml" w:rsidP="3924F685" w14:paraId="12C08F78" wp14:textId="58D8E69A">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Sadly 17 years on from 2005 as a school we also found a further reduction in the physical fitness of our children, due to inactivity during periods of remote learning whilst there were COVID lockdowns.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Therefore</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having the opportunity to have SKIP training has not only vastly improved my own teaching of physical movement, but also allowed me to be part of a team that has disseminated this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new found</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knowledge to all staff within our school setting. This has created a whole school ethos of “early movement skills leading to movement for life” </w:t>
      </w:r>
    </w:p>
    <w:p xmlns:wp14="http://schemas.microsoft.com/office/word/2010/wordml" w:rsidP="3924F685" w14:paraId="48E9800F" wp14:textId="1E81256E">
      <w:pPr>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pPr>
    </w:p>
    <w:p xmlns:wp14="http://schemas.microsoft.com/office/word/2010/wordml" w:rsidP="3924F685" w14:paraId="1E551089" wp14:textId="10324ABD">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 xml:space="preserve">“Children are born ready, able and eager to learn. They actively reach out to interact with other people, and in the world around them. Development is not an automatic process, however. It depends on each unique child having opportunities to interact in positive relationships and enabling environments from an early age”. </w:t>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(The British Association for Early Childhood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Organisation</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2012)</w:t>
      </w:r>
    </w:p>
    <w:p xmlns:wp14="http://schemas.microsoft.com/office/word/2010/wordml" w:rsidP="3924F685" w14:paraId="45079F9C" wp14:textId="35A32C7C">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br/>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The children chosen to take part in the Autumn term SKIP CYMRU sessions were the 50 % of my class that were baselined at stages 1 and 2 for their locomotor skills. These were children in the classroom who found sitting difficult, struggled to hold writing implements and needed a great deal of encouragement to listen and follow simple instructions.</w:t>
      </w:r>
    </w:p>
    <w:p xmlns:wp14="http://schemas.microsoft.com/office/word/2010/wordml" w:rsidP="3924F685" w14:paraId="6E9B7C8D" wp14:textId="086F0271">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br/>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I split the 16 chosen children into two groups of eight, as it was necessary to teach the sessions by myself in a small indoor space whilst my LSA’s were required to teach the remainder of the children in our classroom. </w:t>
      </w:r>
    </w:p>
    <w:p xmlns:wp14="http://schemas.microsoft.com/office/word/2010/wordml" w:rsidP="3924F685" w14:paraId="323CE808" wp14:textId="5597059D">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br/>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During the initial SKIP CYMRU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sessions</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we worked on developing listening skills through warm up activities such as The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Mr</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Men game. This activity really challenged the children as we built up the various movements and they needed to be focused on starting and stopping, dodging obstacles and listening for changes in movement instructions. Initially the children found the challenges set them quite tricky and I had many of them saying they felt tired as their levels of physical engagement and their mental focus had increased. As the lessons progressed the children were excellent at remaining inside the garden for the SKIP Cymru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sessions, and</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would tell me if one of their friends strayed outside the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cones !</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I found that placing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coloured</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discs on the floor and asking them all to find their own one really helped. We also talked about our personal bubbles and stretching our arms and legs as wide as we could to check that no one was too close and that we had our own personal space. During the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Mr</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Men warm up game all children were now able to run and walk around the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coloured</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discs. They tried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really hard</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not to bump into other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Mr</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Men</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and their concentration was plain to see. They were also so much more confident when jumping and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more  children</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tried to keep their two feet together and use their arms to help propel themselves forwards. Hopping skills had also improved and a few children now had one foot behind them whilst hopping and independently remembered to use their arms to help them balance. The children were still finding skipping difficult and their skips were more like little jumps or trots. But they were all now confident enough to attempt skipping and their improvements were evident. They were also becoming more confident when moving as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Mr</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Wide and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Mr</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Tall and in one lesson ‘PUPIL S’ reminded me about his idea of moving as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Mr</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Reverse from a previous lesson. I was really pleased with this as it showed the children were starting to make links between our SKIP CYMRU lessons. In the next week's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lesson</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I introduced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Mr</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Balance’ at Freeze time telling them to find a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coloured</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spot and to show me a balance.  50% of the children were successful with this, others needing guidance to locate a spot and needing a balance shown to them so they could try to copy it. Over the next week there were some lovely balances demonstrated by the children including the use of a range of body parts to balance on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e.g.</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tummies, bottoms, hands and backs. They were all starting to get really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creative</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and it was a joy to see their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new found</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confidence, inventiveness and imagination.  </w:t>
      </w:r>
    </w:p>
    <w:p xmlns:wp14="http://schemas.microsoft.com/office/word/2010/wordml" w:rsidP="3924F685" w14:paraId="52A3743C" wp14:textId="5AC77CA1">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br/>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As the children grew in confidence, so did I. I progressed into setting up more gardens. One that was a particular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favourite</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with the children was an Obstacle Course. Inside the course I developed areas to balance, throw and catch, and areas to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practise</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moving in different ways over different sets of apparatus. </w:t>
      </w:r>
    </w:p>
    <w:p xmlns:wp14="http://schemas.microsoft.com/office/word/2010/wordml" w:rsidP="3924F685" w14:paraId="670E12AB" wp14:textId="4B4CD494">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In the Throw and Catch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area  the</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children loved being able to choose which equipment they could use to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practise</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The spiky balls always being a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favourite</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 Some children demonstrated good tracking skills and during the lessons we talked about not throwing the object they were using too high up into the air and over time they improved even more with their tracking and with having their hands ready to catch.</w:t>
      </w:r>
    </w:p>
    <w:p xmlns:wp14="http://schemas.microsoft.com/office/word/2010/wordml" w:rsidP="3924F685" w14:paraId="3679A640" wp14:textId="629A86D0">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In the Balancing area the children progressed to demonstrate a range of movements to move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across  large</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planks of wood.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e.g.</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‘PUPIL S’ said “Hey, look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Mrs</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Hoey I’m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Mr</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Reverse!” ‘Pupil H’, who was very nervous at the start of SC sessions whilst scoring Stage 1 in all 5 locomotor skills, progressed to have the confidence to move across the planks sideways. </w:t>
      </w:r>
    </w:p>
    <w:p xmlns:wp14="http://schemas.microsoft.com/office/word/2010/wordml" w:rsidP="3924F685" w14:paraId="61DFD5D3" wp14:textId="371889B5">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When in the Ladder area they remembered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movements</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I had demonstrated to them in earlier lessons and even came up with some of their own that mirrored some of the balances they did in the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Mr</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Men game. </w:t>
      </w:r>
    </w:p>
    <w:p xmlns:wp14="http://schemas.microsoft.com/office/word/2010/wordml" w:rsidP="3924F685" w14:paraId="348FB46D" wp14:textId="062AE14B">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A firm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favourite</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in many of the lessons was the small hurdles area.  At first the children were stepping over the hurdles and the children who were slightly more confident attempted jumping. Then in one lesson ‘PUPIL N’ decided he was going to try to crawl under them and he was very successful. The other children decided to copy him. They demonstrated the “crawling soldier” which indicated to me that their shoulder and arm strength was developing. </w:t>
      </w:r>
    </w:p>
    <w:p xmlns:wp14="http://schemas.microsoft.com/office/word/2010/wordml" w:rsidP="3924F685" w14:paraId="6BB2AEB7" wp14:textId="0CE501B0">
      <w:pPr>
        <w:rPr>
          <w:rFonts w:ascii="Comic Sans MS" w:hAnsi="Comic Sans MS" w:eastAsia="Comic Sans MS" w:cs="Comic Sans MS"/>
        </w:rPr>
      </w:pPr>
      <w:r>
        <w:br/>
      </w:r>
    </w:p>
    <w:p xmlns:wp14="http://schemas.microsoft.com/office/word/2010/wordml" w:rsidP="3924F685" w14:paraId="5ABBA2D4" wp14:textId="18C6DC4C">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p>
    <w:p xmlns:wp14="http://schemas.microsoft.com/office/word/2010/wordml" w:rsidP="3924F685" w14:paraId="2A640259" wp14:textId="3971450A">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p>
    <w:p xmlns:wp14="http://schemas.microsoft.com/office/word/2010/wordml" w:rsidP="3924F685" w14:paraId="16A26355" wp14:textId="4C830D29">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Parallel to the children’s physical development, SKIP CYMRU sessions have also had a huge impact on my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childrens’</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oracy .</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For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example</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during one lesson a KS2 teacher walked through the hall and ‘PUPIL H’ called her and asked her to watch whilst she crawled under the hurdles. She then talked to the teacher about the other parts of the garden she had already completed. The teacher then messaged me that evening to say how lovely it was that the pupil had explained the session to her. It had changed her perception of our sessions as she thought that due to the name of the intervention all we were teaching them to do was “SKIP</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3924F685" w14:paraId="4D7313C4" wp14:textId="080FED3F">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The sessions have also had an impact on my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childrens’</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investigative skills. In the throw/catch area during one session the choice of equipment generated discussion amongst some of the boys as they worked out that if you scrunched up the scarves they were more like a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ball</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and you could throw them further. They then started to throw and catch them in pairs instead of individually. This displayed to me that they were really thinking about what they were doing and used self and peer assessment to independently make small changes to the task they had been given. </w:t>
      </w:r>
    </w:p>
    <w:p xmlns:wp14="http://schemas.microsoft.com/office/word/2010/wordml" w:rsidP="3924F685" w14:paraId="00E5459D" wp14:textId="02CD41AC">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br/>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Unfortunately as we neared the middle of the Autumn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term ,</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Covid played a huge part for both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myself ,</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my LSA’s and the children in us all being away from school unwell. This resulted in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a number of</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weeks where we were unable to hold SKIP CYMRU sessions. This was a situation totally out of anyone's control, so when we were all back together in the classroom we couldn’t wait to get started again. I was so impressed with the children as it was like we had never been away, and the children picked up exactly where they had left off. Their confidence levels were so high as we discussed past sessions and they continued to demonstrate the skills they had already developed. </w:t>
      </w:r>
    </w:p>
    <w:p xmlns:wp14="http://schemas.microsoft.com/office/word/2010/wordml" w:rsidP="3924F685" w14:paraId="249C0F8A" wp14:textId="44905A93">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I continued to introduce new gardens, to develop their throwing and catching skills. They loved the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Monster Targets garden</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to develop their throwing technique. They particularly loved the stickers on their shoes to give them a visual aid of their “stepping foot” When practicing catching we progressed from scarves to rolling to help with tracking and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a number of</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pupils could catch a rainbow throw in their x zone when working with a partner. </w:t>
      </w:r>
    </w:p>
    <w:p xmlns:wp14="http://schemas.microsoft.com/office/word/2010/wordml" w14:paraId="6534F80E" wp14:textId="475B60ED">
      <w:r>
        <w:br/>
      </w:r>
    </w:p>
    <w:p xmlns:wp14="http://schemas.microsoft.com/office/word/2010/wordml" w:rsidP="3924F685" w14:paraId="7F8DCCD1" wp14:textId="30F68596">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p>
    <w:p xmlns:wp14="http://schemas.microsoft.com/office/word/2010/wordml" w:rsidP="3924F685" w14:paraId="344BA695" wp14:textId="61AE4150">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p>
    <w:p xmlns:wp14="http://schemas.microsoft.com/office/word/2010/wordml" w:rsidP="3924F685" w14:paraId="0D9D0DEB" wp14:textId="68173F52">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p>
    <w:p xmlns:wp14="http://schemas.microsoft.com/office/word/2010/wordml" w:rsidP="3924F685" w14:paraId="6ACDE8A1" wp14:textId="540FD2D7">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In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retrospect  I</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feel I developed alongside the children and with my expanding newfound knowledge I was able to praise them giving more detailed feedback in order that the children understood what they were getting right and what they could do to make their movements/skills even better. I demonstrated when necessary but tried not to interfere or stifle the children’s creativity. I also helped two of our NTE group to facilitate the sessions by guiding and showing what was needed to try in order to help with their listening and concentration skills and improve confidence. </w:t>
      </w:r>
    </w:p>
    <w:p xmlns:wp14="http://schemas.microsoft.com/office/word/2010/wordml" w:rsidP="3924F685" w14:paraId="5A4801E0" wp14:textId="492ABCF6">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br/>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All of the sessions have made me feel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as</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their teacher so proud of their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new found</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confidence in everything related to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moving !</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The children I baselined initially who took part in the early sessions were very nervous and had little confidence in themselves and their own bodies. I appreciate we are still in the infancy stages of the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intervention</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but the difference is already amazing. I know they are not proficient stage movers yet but the improvement in Stage 1 and 2 movers to the children I am seeing now is quite incredible. This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new found</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confidence has transferred itself into the classroom across other areas of the curriculum.  As I stated earlier the sessions have also increased their vocabulary and developed their oracy skills and their ability to work together as part of a team. </w:t>
      </w:r>
    </w:p>
    <w:p xmlns:wp14="http://schemas.microsoft.com/office/word/2010/wordml" w:rsidP="3924F685" w14:paraId="12698C6B" wp14:textId="4DB23FA6">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Examples of this are evident whilst watching them on the playground at playtime and lunchtimes and observing that they are moving around more confidently and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practising</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some of their skills during this time as part of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little</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games they play. During LLC Oracy activities, I have noticed the new vocabulary the children are now using after being introduced during SKIP CYMRU lessons. </w:t>
      </w:r>
    </w:p>
    <w:p xmlns:wp14="http://schemas.microsoft.com/office/word/2010/wordml" w:rsidP="3924F685" w14:paraId="08FA47DA" wp14:textId="442FD2B7">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 xml:space="preserve">“When a child moves and improves their movement </w:t>
      </w:r>
      <w:proofErr w:type="gramStart"/>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skills ,</w:t>
      </w:r>
      <w:proofErr w:type="gramEnd"/>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 xml:space="preserve"> their brain develops more connections and when a child </w:t>
      </w:r>
      <w:proofErr w:type="gramStart"/>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moves</w:t>
      </w:r>
      <w:proofErr w:type="gramEnd"/>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 xml:space="preserve"> they learn to process information more quickly and efficiently and have better attention” (</w:t>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SKIP CYMRU, 2016)</w:t>
      </w:r>
    </w:p>
    <w:p xmlns:wp14="http://schemas.microsoft.com/office/word/2010/wordml" w:rsidP="3924F685" w14:paraId="3307349A" wp14:textId="4133900C">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Along with the positive feedback from both other members of staff and from parents it is evident that SKIP CYMRU has had a huge positive impact on my children’s physical and mental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wellbeing  and</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this in return has given me as their teacher the confidence to teach physical movement in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exactly the same</w:t>
      </w:r>
      <w:proofErr w:type="gram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way I have always confidently taught the other areas of the curriculum. </w:t>
      </w:r>
    </w:p>
    <w:p xmlns:wp14="http://schemas.microsoft.com/office/word/2010/wordml" w:rsidP="3924F685" w14:paraId="79D0C20B" wp14:textId="53F680FD">
      <w:pPr>
        <w:rPr>
          <w:rFonts w:ascii="Comic Sans MS" w:hAnsi="Comic Sans MS" w:eastAsia="Comic Sans MS" w:cs="Comic Sans MS"/>
        </w:rPr>
      </w:pPr>
      <w:r>
        <w:br/>
      </w:r>
      <w:r>
        <w:br/>
      </w:r>
      <w:r>
        <w:br/>
      </w:r>
      <w:r>
        <w:br/>
      </w:r>
    </w:p>
    <w:p xmlns:wp14="http://schemas.microsoft.com/office/word/2010/wordml" w:rsidP="3924F685" w14:paraId="2D03E10C" wp14:textId="102E01F5">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Word Count </w:t>
      </w:r>
      <w:proofErr w:type="gram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2572</w:t>
      </w:r>
      <w:proofErr w:type="gramEnd"/>
    </w:p>
    <w:p xmlns:wp14="http://schemas.microsoft.com/office/word/2010/wordml" w:rsidP="3924F685" w14:paraId="1FA7BC60" wp14:textId="4DA8A150">
      <w:pPr>
        <w:rPr>
          <w:rFonts w:ascii="Comic Sans MS" w:hAnsi="Comic Sans MS" w:eastAsia="Comic Sans MS" w:cs="Comic Sans MS"/>
        </w:rPr>
      </w:pPr>
      <w:r>
        <w:br/>
      </w:r>
    </w:p>
    <w:p xmlns:wp14="http://schemas.microsoft.com/office/word/2010/wordml" w:rsidP="3924F685" w14:paraId="0E05A6A4" wp14:textId="2A6C5D34">
      <w:pPr>
        <w:jc w:val="cente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Reference List </w:t>
      </w:r>
    </w:p>
    <w:p xmlns:wp14="http://schemas.microsoft.com/office/word/2010/wordml" w:rsidP="3924F685" w14:paraId="4F2F8B0A" wp14:textId="427AA838">
      <w:pPr>
        <w:rPr>
          <w:rFonts w:ascii="Comic Sans MS" w:hAnsi="Comic Sans MS" w:eastAsia="Comic Sans MS" w:cs="Comic Sans MS"/>
        </w:rPr>
      </w:pPr>
      <w:r>
        <w:br/>
      </w:r>
    </w:p>
    <w:p xmlns:wp14="http://schemas.microsoft.com/office/word/2010/wordml" w:rsidP="3924F685" w14:paraId="0D377D1A" wp14:textId="40613AAA">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Whitehead, Margaret, ed. </w:t>
      </w:r>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 xml:space="preserve">Physical literacy: Throughout the </w:t>
      </w:r>
      <w:proofErr w:type="spellStart"/>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lifecourse</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Routledge, 2010.</w:t>
      </w:r>
    </w:p>
    <w:p xmlns:wp14="http://schemas.microsoft.com/office/word/2010/wordml" w:rsidP="3924F685" w14:paraId="18093D28" wp14:textId="7B79A6D3">
      <w:pPr>
        <w:rPr>
          <w:rFonts w:ascii="Comic Sans MS" w:hAnsi="Comic Sans MS" w:eastAsia="Comic Sans MS" w:cs="Comic Sans MS"/>
        </w:rPr>
      </w:pPr>
      <w:r>
        <w:br/>
      </w:r>
    </w:p>
    <w:p xmlns:wp14="http://schemas.microsoft.com/office/word/2010/wordml" w:rsidP="3924F685" w14:paraId="5CD46EB1" wp14:textId="383D887D">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Estyn</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2015 </w:t>
      </w:r>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 xml:space="preserve">A Report on </w:t>
      </w:r>
      <w:proofErr w:type="spellStart"/>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Pillgwenlly</w:t>
      </w:r>
      <w:proofErr w:type="spellEnd"/>
      <w:r w:rsidRPr="3924F685" w:rsidR="55797D6F">
        <w:rPr>
          <w:rFonts w:ascii="Comic Sans MS" w:hAnsi="Comic Sans MS" w:eastAsia="Comic Sans MS" w:cs="Comic Sans MS"/>
          <w:b w:val="0"/>
          <w:bCs w:val="0"/>
          <w:i w:val="1"/>
          <w:iCs w:val="1"/>
          <w:strike w:val="0"/>
          <w:dstrike w:val="0"/>
          <w:noProof w:val="0"/>
          <w:color w:val="000000" w:themeColor="text1" w:themeTint="FF" w:themeShade="FF"/>
          <w:sz w:val="22"/>
          <w:szCs w:val="22"/>
          <w:u w:val="none"/>
          <w:lang w:val="en-US"/>
        </w:rPr>
        <w:t xml:space="preserve"> Primary School</w:t>
      </w: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 [Online]</w:t>
      </w:r>
    </w:p>
    <w:p xmlns:wp14="http://schemas.microsoft.com/office/word/2010/wordml" w:rsidP="3924F685" w14:paraId="6E185A78" wp14:textId="3B022107">
      <w:pPr>
        <w:rPr>
          <w:rFonts w:ascii="Comic Sans MS" w:hAnsi="Comic Sans MS" w:eastAsia="Comic Sans MS" w:cs="Comic Sans MS"/>
        </w:rPr>
      </w:pPr>
      <w:r>
        <w:br/>
      </w:r>
    </w:p>
    <w:p xmlns:wp14="http://schemas.microsoft.com/office/word/2010/wordml" w:rsidP="3924F685" w14:paraId="523C76F1" wp14:textId="5904494A">
      <w:pPr>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xml:space="preserve">The British Association for Early Childhood </w:t>
      </w:r>
      <w:proofErr w:type="spellStart"/>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Organisation</w:t>
      </w:r>
      <w:proofErr w:type="spellEnd"/>
      <w:r w:rsidRPr="3924F685" w:rsidR="55797D6F">
        <w:rPr>
          <w:rFonts w:ascii="Comic Sans MS" w:hAnsi="Comic Sans MS" w:eastAsia="Comic Sans MS" w:cs="Comic Sans MS"/>
          <w:b w:val="0"/>
          <w:bCs w:val="0"/>
          <w:i w:val="0"/>
          <w:iCs w:val="0"/>
          <w:strike w:val="0"/>
          <w:dstrike w:val="0"/>
          <w:noProof w:val="0"/>
          <w:color w:val="000000" w:themeColor="text1" w:themeTint="FF" w:themeShade="FF"/>
          <w:sz w:val="22"/>
          <w:szCs w:val="22"/>
          <w:u w:val="none"/>
          <w:lang w:val="en-US"/>
        </w:rPr>
        <w:t>, 2012</w:t>
      </w:r>
    </w:p>
    <w:p xmlns:wp14="http://schemas.microsoft.com/office/word/2010/wordml" w:rsidP="3924F685" w14:paraId="789446BC" wp14:textId="56D6EAAE">
      <w:pPr>
        <w:rPr>
          <w:rFonts w:ascii="Comic Sans MS" w:hAnsi="Comic Sans MS" w:eastAsia="Comic Sans MS" w:cs="Comic Sans MS"/>
        </w:rPr>
      </w:pPr>
      <w:r>
        <w:br/>
      </w:r>
    </w:p>
    <w:p xmlns:wp14="http://schemas.microsoft.com/office/word/2010/wordml" w:rsidP="3924F685" w14:paraId="183E4A09" wp14:textId="15243417">
      <w:pPr>
        <w:rPr>
          <w:rFonts w:ascii="Comic Sans MS" w:hAnsi="Comic Sans MS" w:eastAsia="Comic Sans MS" w:cs="Comic Sans MS"/>
          <w:b w:val="0"/>
          <w:bCs w:val="0"/>
          <w:i w:val="0"/>
          <w:iCs w:val="0"/>
          <w:strike w:val="0"/>
          <w:dstrike w:val="0"/>
          <w:noProof w:val="0"/>
          <w:color w:val="222222"/>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Ige-</w:t>
      </w:r>
      <w:proofErr w:type="spellStart"/>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Elegbede</w:t>
      </w:r>
      <w:proofErr w:type="spellEnd"/>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 xml:space="preserve">, J., Pilkington, P., Gray, S., &amp; Powell, J. (2019). Barriers and facilitators of physical activity among adults and older adults from Black and Minority Ethnic groups in the UK: A systematic review of qualitative studies. </w:t>
      </w:r>
      <w:r w:rsidRPr="3924F685" w:rsidR="55797D6F">
        <w:rPr>
          <w:rFonts w:ascii="Comic Sans MS" w:hAnsi="Comic Sans MS" w:eastAsia="Comic Sans MS" w:cs="Comic Sans MS"/>
          <w:b w:val="0"/>
          <w:bCs w:val="0"/>
          <w:i w:val="1"/>
          <w:iCs w:val="1"/>
          <w:strike w:val="0"/>
          <w:dstrike w:val="0"/>
          <w:noProof w:val="0"/>
          <w:color w:val="222222"/>
          <w:sz w:val="22"/>
          <w:szCs w:val="22"/>
          <w:u w:val="none"/>
          <w:lang w:val="en-US"/>
        </w:rPr>
        <w:t>Preventive medicine reports</w:t>
      </w:r>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 xml:space="preserve">, </w:t>
      </w:r>
      <w:r w:rsidRPr="3924F685" w:rsidR="55797D6F">
        <w:rPr>
          <w:rFonts w:ascii="Comic Sans MS" w:hAnsi="Comic Sans MS" w:eastAsia="Comic Sans MS" w:cs="Comic Sans MS"/>
          <w:b w:val="0"/>
          <w:bCs w:val="0"/>
          <w:i w:val="1"/>
          <w:iCs w:val="1"/>
          <w:strike w:val="0"/>
          <w:dstrike w:val="0"/>
          <w:noProof w:val="0"/>
          <w:color w:val="222222"/>
          <w:sz w:val="22"/>
          <w:szCs w:val="22"/>
          <w:u w:val="none"/>
          <w:lang w:val="en-US"/>
        </w:rPr>
        <w:t>15</w:t>
      </w:r>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 100952.</w:t>
      </w:r>
    </w:p>
    <w:p xmlns:wp14="http://schemas.microsoft.com/office/word/2010/wordml" w:rsidP="3924F685" w14:paraId="5EC3E8C5" wp14:textId="55826C90">
      <w:pPr>
        <w:rPr>
          <w:rFonts w:ascii="Comic Sans MS" w:hAnsi="Comic Sans MS" w:eastAsia="Comic Sans MS" w:cs="Comic Sans MS"/>
        </w:rPr>
      </w:pPr>
      <w:r>
        <w:br/>
      </w:r>
    </w:p>
    <w:p xmlns:wp14="http://schemas.microsoft.com/office/word/2010/wordml" w:rsidP="3924F685" w14:paraId="0FA262B7" wp14:textId="34DF1F3E">
      <w:pPr>
        <w:rPr>
          <w:rFonts w:ascii="Comic Sans MS" w:hAnsi="Comic Sans MS" w:eastAsia="Comic Sans MS" w:cs="Comic Sans MS"/>
          <w:b w:val="0"/>
          <w:bCs w:val="0"/>
          <w:i w:val="0"/>
          <w:iCs w:val="0"/>
          <w:strike w:val="0"/>
          <w:dstrike w:val="0"/>
          <w:noProof w:val="0"/>
          <w:color w:val="222222"/>
          <w:sz w:val="22"/>
          <w:szCs w:val="22"/>
          <w:u w:val="none"/>
          <w:lang w:val="en-US"/>
        </w:rPr>
      </w:pPr>
      <w:proofErr w:type="spellStart"/>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Koshoedo</w:t>
      </w:r>
      <w:proofErr w:type="spellEnd"/>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 xml:space="preserve">, </w:t>
      </w:r>
      <w:proofErr w:type="spellStart"/>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Seljo</w:t>
      </w:r>
      <w:proofErr w:type="spellEnd"/>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 xml:space="preserve">, Padam </w:t>
      </w:r>
      <w:proofErr w:type="spellStart"/>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Simkhada</w:t>
      </w:r>
      <w:proofErr w:type="spellEnd"/>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 xml:space="preserve">, and Edwin Van </w:t>
      </w:r>
      <w:proofErr w:type="spellStart"/>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Teijlingen</w:t>
      </w:r>
      <w:proofErr w:type="spellEnd"/>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 xml:space="preserve">. "Review of barriers to engaging black and minority ethnic groups in physical activity in the United Kingdom." </w:t>
      </w:r>
      <w:r w:rsidRPr="3924F685" w:rsidR="55797D6F">
        <w:rPr>
          <w:rFonts w:ascii="Comic Sans MS" w:hAnsi="Comic Sans MS" w:eastAsia="Comic Sans MS" w:cs="Comic Sans MS"/>
          <w:b w:val="0"/>
          <w:bCs w:val="0"/>
          <w:i w:val="1"/>
          <w:iCs w:val="1"/>
          <w:strike w:val="0"/>
          <w:dstrike w:val="0"/>
          <w:noProof w:val="0"/>
          <w:color w:val="222222"/>
          <w:sz w:val="22"/>
          <w:szCs w:val="22"/>
          <w:u w:val="none"/>
          <w:lang w:val="en-US"/>
        </w:rPr>
        <w:t>Global Journal of Health Science</w:t>
      </w:r>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 xml:space="preserve"> 1.2 (2009): 85-96.</w:t>
      </w:r>
    </w:p>
    <w:p xmlns:wp14="http://schemas.microsoft.com/office/word/2010/wordml" w:rsidP="3924F685" w14:paraId="070F88AC" wp14:textId="302B7E49">
      <w:pPr>
        <w:rPr>
          <w:rFonts w:ascii="Comic Sans MS" w:hAnsi="Comic Sans MS" w:eastAsia="Comic Sans MS" w:cs="Comic Sans MS"/>
        </w:rPr>
      </w:pPr>
      <w:r>
        <w:br/>
      </w:r>
    </w:p>
    <w:p xmlns:wp14="http://schemas.microsoft.com/office/word/2010/wordml" w:rsidP="3924F685" w14:paraId="15560429" wp14:textId="47F1B5F5">
      <w:pPr>
        <w:rPr>
          <w:rFonts w:ascii="Comic Sans MS" w:hAnsi="Comic Sans MS" w:eastAsia="Comic Sans MS" w:cs="Comic Sans MS"/>
          <w:b w:val="0"/>
          <w:bCs w:val="0"/>
          <w:i w:val="0"/>
          <w:iCs w:val="0"/>
          <w:strike w:val="0"/>
          <w:dstrike w:val="0"/>
          <w:noProof w:val="0"/>
          <w:color w:val="222222"/>
          <w:sz w:val="22"/>
          <w:szCs w:val="22"/>
          <w:u w:val="none"/>
          <w:lang w:val="en-US"/>
        </w:rPr>
      </w:pPr>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 xml:space="preserve">Mushangwe, </w:t>
      </w:r>
      <w:proofErr w:type="spellStart"/>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Shumirai</w:t>
      </w:r>
      <w:proofErr w:type="spellEnd"/>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 xml:space="preserve">, et al. "Ethnic inequalities in green space availability: Evidence from Australia." </w:t>
      </w:r>
      <w:r w:rsidRPr="3924F685" w:rsidR="55797D6F">
        <w:rPr>
          <w:rFonts w:ascii="Comic Sans MS" w:hAnsi="Comic Sans MS" w:eastAsia="Comic Sans MS" w:cs="Comic Sans MS"/>
          <w:b w:val="0"/>
          <w:bCs w:val="0"/>
          <w:i w:val="1"/>
          <w:iCs w:val="1"/>
          <w:strike w:val="0"/>
          <w:dstrike w:val="0"/>
          <w:noProof w:val="0"/>
          <w:color w:val="222222"/>
          <w:sz w:val="22"/>
          <w:szCs w:val="22"/>
          <w:u w:val="none"/>
          <w:lang w:val="en-US"/>
        </w:rPr>
        <w:t>Urban Forestry &amp; Urban Greening</w:t>
      </w:r>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 xml:space="preserve"> (2021): 127235.</w:t>
      </w:r>
    </w:p>
    <w:p xmlns:wp14="http://schemas.microsoft.com/office/word/2010/wordml" w:rsidP="3924F685" w14:paraId="2C078E63" wp14:textId="28E41863">
      <w:pPr>
        <w:pStyle w:val="Normal"/>
        <w:rPr>
          <w:rFonts w:ascii="Comic Sans MS" w:hAnsi="Comic Sans MS" w:eastAsia="Comic Sans MS" w:cs="Comic Sans MS"/>
          <w:b w:val="0"/>
          <w:bCs w:val="0"/>
          <w:i w:val="0"/>
          <w:iCs w:val="0"/>
          <w:strike w:val="0"/>
          <w:dstrike w:val="0"/>
          <w:noProof w:val="0"/>
          <w:color w:val="222222"/>
          <w:sz w:val="22"/>
          <w:szCs w:val="22"/>
          <w:u w:val="none"/>
          <w:lang w:val="en-US"/>
        </w:rPr>
      </w:pPr>
      <w:r>
        <w:br/>
      </w:r>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 xml:space="preserve">Blythe, Sally Goddard. "Reflections of brain-body functioning." </w:t>
      </w:r>
      <w:r w:rsidRPr="3924F685" w:rsidR="55797D6F">
        <w:rPr>
          <w:rFonts w:ascii="Comic Sans MS" w:hAnsi="Comic Sans MS" w:eastAsia="Comic Sans MS" w:cs="Comic Sans MS"/>
          <w:b w:val="0"/>
          <w:bCs w:val="0"/>
          <w:i w:val="1"/>
          <w:iCs w:val="1"/>
          <w:strike w:val="0"/>
          <w:dstrike w:val="0"/>
          <w:noProof w:val="0"/>
          <w:color w:val="222222"/>
          <w:sz w:val="22"/>
          <w:szCs w:val="22"/>
          <w:u w:val="none"/>
          <w:lang w:val="en-US"/>
        </w:rPr>
        <w:t>Medical Veritas</w:t>
      </w:r>
      <w:r w:rsidRPr="3924F685" w:rsidR="55797D6F">
        <w:rPr>
          <w:rFonts w:ascii="Comic Sans MS" w:hAnsi="Comic Sans MS" w:eastAsia="Comic Sans MS" w:cs="Comic Sans MS"/>
          <w:b w:val="0"/>
          <w:bCs w:val="0"/>
          <w:i w:val="0"/>
          <w:iCs w:val="0"/>
          <w:strike w:val="0"/>
          <w:dstrike w:val="0"/>
          <w:noProof w:val="0"/>
          <w:color w:val="222222"/>
          <w:sz w:val="22"/>
          <w:szCs w:val="22"/>
          <w:u w:val="none"/>
          <w:lang w:val="en-US"/>
        </w:rPr>
        <w:t xml:space="preserve"> 2 (2005): 562-566.</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0314E8"/>
    <w:rsid w:val="34518562"/>
    <w:rsid w:val="35ED55C3"/>
    <w:rsid w:val="37892624"/>
    <w:rsid w:val="3924F685"/>
    <w:rsid w:val="450314E8"/>
    <w:rsid w:val="55797D6F"/>
    <w:rsid w:val="586645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314E8"/>
  <w15:chartTrackingRefBased/>
  <w15:docId w15:val="{88AA923A-8B68-432B-ADFF-D0ED4931F1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cbi.nlm.nih.gov/pmc/articles/PMC6656684/" TargetMode="External" Id="R416debb4dca9431e" /><Relationship Type="http://schemas.openxmlformats.org/officeDocument/2006/relationships/hyperlink" Target="https://www.ncbi.nlm.nih.gov/pmc/articles/PMC6656684/" TargetMode="External" Id="Rcaa5489041cd45d1" /><Relationship Type="http://schemas.openxmlformats.org/officeDocument/2006/relationships/hyperlink" Target="https://www.ncbi.nlm.nih.gov/pmc/articles/PMC6656684/" TargetMode="External" Id="R22bd648854804edf" /><Relationship Type="http://schemas.openxmlformats.org/officeDocument/2006/relationships/hyperlink" Target="https://www.ncbi.nlm.nih.gov/pmc/articles/PMC6656684/" TargetMode="External" Id="R5e4bf3b233c34a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2022-01-27T19:04:34.8063926Z</dcterms:created>
  <dcterms:modified xsi:type="dcterms:W3CDTF">2022-01-27T19:09:23.7274972Z</dcterms:modified>
  <dc:creator>L Hoey (Pillgwenlly Primary School)</dc:creator>
  <lastModifiedBy>L Hoey (Pillgwenlly Primary School)</lastModifiedBy>
</coreProperties>
</file>