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9B1FC76" wp14:paraId="0932DEE8" wp14:textId="5B40A1F7">
      <w:pPr>
        <w:rPr>
          <w:u w:val="single"/>
        </w:rPr>
      </w:pPr>
      <w:r w:rsidRPr="49B1FC76" w:rsidR="4FC31295">
        <w:rPr>
          <w:u w:val="single"/>
        </w:rPr>
        <w:t>Early Years curriculum</w:t>
      </w:r>
      <w:r w:rsidRPr="49B1FC76" w:rsidR="4FC31295">
        <w:rPr>
          <w:u w:val="single"/>
        </w:rPr>
        <w:t xml:space="preserve">. </w:t>
      </w:r>
      <w:r w:rsidR="4FC31295">
        <w:rPr>
          <w:u w:val="none"/>
        </w:rPr>
        <w:t xml:space="preserve"> </w:t>
      </w:r>
      <w:r w:rsidR="4FC31295">
        <w:rPr>
          <w:u w:val="none"/>
        </w:rPr>
        <w:t xml:space="preserve">                                                                                                </w:t>
      </w:r>
      <w:r w:rsidRPr="49B1FC76" w:rsidR="4FC31295">
        <w:rPr>
          <w:u w:val="single"/>
        </w:rPr>
        <w:t>Amy Williams</w:t>
      </w:r>
      <w:r w:rsidRPr="49B1FC76" w:rsidR="78EB327C">
        <w:rPr>
          <w:u w:val="single"/>
        </w:rPr>
        <w:t xml:space="preserve"> </w:t>
      </w:r>
      <w:r w:rsidRPr="49B1FC76" w:rsidR="4A9852E6">
        <w:rPr>
          <w:u w:val="single"/>
        </w:rPr>
        <w:t>4000 words</w:t>
      </w:r>
      <w:r w:rsidRPr="49B1FC76" w:rsidR="0EC28D66">
        <w:rPr>
          <w:u w:val="single"/>
        </w:rPr>
        <w:t>.</w:t>
      </w:r>
      <w:r w:rsidRPr="49B1FC76" w:rsidR="5323DC36">
        <w:rPr>
          <w:u w:val="single"/>
        </w:rPr>
        <w:t xml:space="preserve"> </w:t>
      </w:r>
    </w:p>
    <w:p xmlns:wp14="http://schemas.microsoft.com/office/word/2010/wordml" w:rsidP="48C3A5B2" wp14:paraId="2C078E63" wp14:textId="17C3A81E">
      <w:pPr>
        <w:rPr>
          <w:u w:val="single"/>
        </w:rPr>
      </w:pPr>
      <w:r w:rsidRPr="49B1FC76" w:rsidR="4FC31295">
        <w:rPr>
          <w:u w:val="single"/>
        </w:rPr>
        <w:t xml:space="preserve"> 2307162.</w:t>
      </w:r>
    </w:p>
    <w:p w:rsidR="4FC31295" w:rsidP="49B1FC76" w:rsidRDefault="4FC31295" w14:paraId="0E4EA706" w14:textId="0AA4AD5B">
      <w:pPr>
        <w:rPr>
          <w:u w:val="single"/>
        </w:rPr>
      </w:pPr>
      <w:r w:rsidRPr="49B1FC76" w:rsidR="4FC31295">
        <w:rPr>
          <w:u w:val="single"/>
        </w:rPr>
        <w:t>Part 1.</w:t>
      </w:r>
    </w:p>
    <w:p w:rsidR="48C3A5B2" w:rsidP="48C3A5B2" w:rsidRDefault="48C3A5B2" w14:paraId="0FAAE58B" w14:textId="1298C5D8">
      <w:pPr>
        <w:rPr>
          <w:u w:val="single"/>
        </w:rPr>
      </w:pPr>
    </w:p>
    <w:p w:rsidR="4ADFAE14" w:rsidRDefault="4ADFAE14" w14:paraId="56359B05" w14:textId="6A79550F">
      <w:pPr>
        <w:rPr>
          <w:u w:val="none"/>
        </w:rPr>
      </w:pPr>
      <w:r w:rsidR="4ADFAE14">
        <w:rPr>
          <w:u w:val="none"/>
        </w:rPr>
        <w:t xml:space="preserve">The Foundation Phase, introduced in 2008, marked a shift in early years education in Wales by placing play-based learning at the centre of the curriculum for children aged 3 to 7. It was based on the understanding that young children learn best through active engagement, hands-on exploration, and meaningful experiences. The official guidance made this clear by </w:t>
      </w:r>
      <w:r w:rsidR="4ADFAE14">
        <w:rPr>
          <w:u w:val="none"/>
        </w:rPr>
        <w:t>stating</w:t>
      </w:r>
      <w:r w:rsidR="4ADFAE14">
        <w:rPr>
          <w:u w:val="none"/>
        </w:rPr>
        <w:t xml:space="preserve"> that “learning through play is central to the Foundation Phase and children should be given time to explore, experiment, plan and make decisions for themselves” Welsh Government, </w:t>
      </w:r>
      <w:r w:rsidR="372FC686">
        <w:rPr>
          <w:u w:val="none"/>
        </w:rPr>
        <w:t>(</w:t>
      </w:r>
      <w:r w:rsidR="4ADFAE14">
        <w:rPr>
          <w:u w:val="none"/>
        </w:rPr>
        <w:t xml:space="preserve">2008, p.7). When the Curriculum for Wales was introduced as statutory in 2022, it </w:t>
      </w:r>
      <w:r w:rsidR="4ADFAE14">
        <w:rPr>
          <w:u w:val="none"/>
        </w:rPr>
        <w:t>retained</w:t>
      </w:r>
      <w:r w:rsidR="4ADFAE14">
        <w:rPr>
          <w:u w:val="none"/>
        </w:rPr>
        <w:t xml:space="preserve"> many of these values, particularly in the early years. However, it introduced a broader and more ambitious framework that applied f</w:t>
      </w:r>
      <w:r w:rsidR="18E2286A">
        <w:rPr>
          <w:u w:val="none"/>
        </w:rPr>
        <w:t>or all ages</w:t>
      </w:r>
      <w:r w:rsidR="4ADFAE14">
        <w:rPr>
          <w:u w:val="none"/>
        </w:rPr>
        <w:t xml:space="preserve">, placing greater emphasis on learner progression, consistency, and whole-school alignment (Welsh Government, </w:t>
      </w:r>
      <w:r w:rsidR="2D04128B">
        <w:rPr>
          <w:u w:val="none"/>
        </w:rPr>
        <w:t>2022</w:t>
      </w:r>
      <w:r w:rsidR="66001D8F">
        <w:rPr>
          <w:u w:val="none"/>
        </w:rPr>
        <w:t>a)</w:t>
      </w:r>
      <w:r w:rsidR="2D04128B">
        <w:rPr>
          <w:u w:val="none"/>
        </w:rPr>
        <w:t>.</w:t>
      </w:r>
    </w:p>
    <w:p w:rsidR="4ADFAE14" w:rsidP="48C3A5B2" w:rsidRDefault="4ADFAE14" w14:paraId="391A3B1A" w14:textId="31B33609">
      <w:pPr>
        <w:pStyle w:val="Normal"/>
        <w:rPr>
          <w:u w:val="none"/>
        </w:rPr>
      </w:pPr>
      <w:r w:rsidR="4ADFAE14">
        <w:rPr>
          <w:u w:val="none"/>
        </w:rPr>
        <w:t xml:space="preserve">In the Foundation Phase, learning was structured around seven distinct Areas of Learning, and practitioners were encouraged to take </w:t>
      </w:r>
      <w:r w:rsidR="4ADFAE14">
        <w:rPr>
          <w:u w:val="none"/>
        </w:rPr>
        <w:t>a holistic approach</w:t>
      </w:r>
      <w:r w:rsidR="4ADFAE14">
        <w:rPr>
          <w:u w:val="none"/>
        </w:rPr>
        <w:t xml:space="preserve">, focusing on children’s physical, emotional, social, and cognitive development. This model was clearly grounded in developmental theory. Piaget’s emphasis on active learning and hands-on discovery (1951) was reflected in how children were encouraged to investigate, problem-solve, and lead their own learning. Vygotsky’s theory of the Zone of Proximal Development </w:t>
      </w:r>
      <w:r w:rsidR="20CA045D">
        <w:rPr>
          <w:u w:val="none"/>
        </w:rPr>
        <w:t xml:space="preserve">as </w:t>
      </w:r>
      <w:r w:rsidR="20CA045D">
        <w:rPr>
          <w:u w:val="none"/>
        </w:rPr>
        <w:t>cited by Eun (2019)</w:t>
      </w:r>
      <w:r w:rsidR="3DCC371C">
        <w:rPr>
          <w:u w:val="none"/>
        </w:rPr>
        <w:t xml:space="preserve"> and Ness (2020)</w:t>
      </w:r>
      <w:r w:rsidR="4ADFAE14">
        <w:rPr>
          <w:u w:val="none"/>
        </w:rPr>
        <w:t xml:space="preserve">, too, played a key role, with adults expected to scaffold children’s learning through sensitive observation and </w:t>
      </w:r>
      <w:r w:rsidR="4ADFAE14">
        <w:rPr>
          <w:u w:val="none"/>
        </w:rPr>
        <w:t>timely</w:t>
      </w:r>
      <w:r w:rsidR="4ADFAE14">
        <w:rPr>
          <w:u w:val="none"/>
        </w:rPr>
        <w:t xml:space="preserve"> support. This approach empowered practitioners to design environments and experiences that responded to children’s individual needs and interests. The curriculum guidance provided a helpful structure without being overly prescriptive, which enabled many practitioners to feel confident in following the lead of the children in their </w:t>
      </w:r>
      <w:r w:rsidR="7AD7B2D6">
        <w:rPr>
          <w:u w:val="none"/>
        </w:rPr>
        <w:t>care, Welsh</w:t>
      </w:r>
      <w:r w:rsidR="4ADFAE14">
        <w:rPr>
          <w:u w:val="none"/>
        </w:rPr>
        <w:t xml:space="preserve"> Government, </w:t>
      </w:r>
      <w:r w:rsidR="66213E4D">
        <w:rPr>
          <w:u w:val="none"/>
        </w:rPr>
        <w:t>(</w:t>
      </w:r>
      <w:r w:rsidR="4ADFAE14">
        <w:rPr>
          <w:u w:val="none"/>
        </w:rPr>
        <w:t>20</w:t>
      </w:r>
      <w:r w:rsidR="1B5FFA24">
        <w:rPr>
          <w:u w:val="none"/>
        </w:rPr>
        <w:t>15</w:t>
      </w:r>
      <w:r w:rsidR="4ADFAE14">
        <w:rPr>
          <w:u w:val="none"/>
        </w:rPr>
        <w:t>).</w:t>
      </w:r>
    </w:p>
    <w:p w:rsidR="4ADFAE14" w:rsidP="48C3A5B2" w:rsidRDefault="4ADFAE14" w14:paraId="6CFA8437" w14:textId="57BCA8F4">
      <w:pPr>
        <w:pStyle w:val="Normal"/>
        <w:rPr>
          <w:u w:val="none"/>
        </w:rPr>
      </w:pPr>
      <w:r w:rsidR="4ADFAE14">
        <w:rPr>
          <w:u w:val="none"/>
        </w:rPr>
        <w:t>By comparison, the Curriculum for Wales introduced six broad Areas of Learning and Experience (</w:t>
      </w:r>
      <w:r w:rsidR="4ADFAE14">
        <w:rPr>
          <w:u w:val="none"/>
        </w:rPr>
        <w:t>AoLEs</w:t>
      </w:r>
      <w:r w:rsidR="4ADFAE14">
        <w:rPr>
          <w:u w:val="none"/>
        </w:rPr>
        <w:t xml:space="preserve">) that apply across the full age range of schooling. While early years guidance still acknowledges that “play and active learning are central to the ways in which young children learn” (Welsh Government, </w:t>
      </w:r>
      <w:r w:rsidR="58578DA0">
        <w:rPr>
          <w:u w:val="none"/>
        </w:rPr>
        <w:t>2022</w:t>
      </w:r>
      <w:r w:rsidR="6C3F6AC1">
        <w:rPr>
          <w:u w:val="none"/>
        </w:rPr>
        <w:t>b)</w:t>
      </w:r>
      <w:r w:rsidR="4ADFAE14">
        <w:rPr>
          <w:u w:val="none"/>
        </w:rPr>
        <w:t xml:space="preserve">, the overarching framework focuses heavily on the Four Purposes and the use of Progression Steps as a measure of learning. This shift has raised concern among early years practitioners, particularly around whether the developmental needs of young children are being overshadowed by broader school-level priorities. Without a dedicated early years framework, there is a risk that play may become less valued or misunderstood in practice. Some settings may feel pressure to prioritise structured outcomes over exploratory learning, particularly where accountability systems demand evidence of measurable progress Estyn, </w:t>
      </w:r>
      <w:r w:rsidR="482B25E4">
        <w:rPr>
          <w:u w:val="none"/>
        </w:rPr>
        <w:t>(</w:t>
      </w:r>
      <w:r w:rsidR="4ADFAE14">
        <w:rPr>
          <w:u w:val="none"/>
        </w:rPr>
        <w:t>202</w:t>
      </w:r>
      <w:r w:rsidR="5E86E90F">
        <w:rPr>
          <w:u w:val="none"/>
        </w:rPr>
        <w:t>4</w:t>
      </w:r>
      <w:r w:rsidR="2AA1C95C">
        <w:rPr>
          <w:u w:val="none"/>
        </w:rPr>
        <w:t>). A</w:t>
      </w:r>
      <w:r w:rsidR="4ADFAE14">
        <w:rPr>
          <w:u w:val="none"/>
        </w:rPr>
        <w:t xml:space="preserve"> key strength of the Foundation Phase was its strong, unified vision of early childhood education. It made play not just acceptable, but essential, allowing practitioners to offer rich, creative learning experiences without the need to justify them through narrow academic outcomes. Scholars such as Bruce (2011) and Moyles (2015) argue that legitimising play in formal education settings was one of the most progressive aspects of the Foundation Phase. However, while the philosophy was sound, its rollout revealed significant weaknesses. There was a lack of consistent training and understanding of play pedagogy across the sector, leading to wide variation in practice </w:t>
      </w:r>
      <w:r w:rsidR="00083880">
        <w:rPr>
          <w:u w:val="none"/>
        </w:rPr>
        <w:t xml:space="preserve">department of </w:t>
      </w:r>
      <w:r w:rsidR="0607B6BD">
        <w:rPr>
          <w:u w:val="none"/>
        </w:rPr>
        <w:t xml:space="preserve">education, </w:t>
      </w:r>
      <w:r w:rsidR="3456063E">
        <w:rPr>
          <w:u w:val="none"/>
        </w:rPr>
        <w:t>Nutbrown, (2012</w:t>
      </w:r>
      <w:r w:rsidR="4ADFAE14">
        <w:rPr>
          <w:u w:val="none"/>
        </w:rPr>
        <w:t xml:space="preserve">). Some settings delivered high-quality play-based provision, while others struggled due to underfunded support, limited leadership guidance, and inconsistent interpretation of the curriculum Taylor et al., </w:t>
      </w:r>
      <w:r w:rsidR="6CBCC1ED">
        <w:rPr>
          <w:u w:val="none"/>
        </w:rPr>
        <w:t>(</w:t>
      </w:r>
      <w:r w:rsidR="4ADFAE14">
        <w:rPr>
          <w:u w:val="none"/>
        </w:rPr>
        <w:t>2015).</w:t>
      </w:r>
    </w:p>
    <w:p w:rsidR="4ADFAE14" w:rsidP="48C3A5B2" w:rsidRDefault="4ADFAE14" w14:paraId="028B242C" w14:textId="4A6B54F0">
      <w:pPr>
        <w:pStyle w:val="Normal"/>
        <w:rPr>
          <w:u w:val="none"/>
        </w:rPr>
      </w:pPr>
      <w:r w:rsidR="4ADFAE14">
        <w:rPr>
          <w:u w:val="none"/>
        </w:rPr>
        <w:t xml:space="preserve">The Curriculum for Wales was developed with these issues in mind. It aims to give schools more flexibility and ownership of their curriculum, encouraging localised and co-constructed approaches that meet the specific needs of their </w:t>
      </w:r>
      <w:r w:rsidR="7F4F20D0">
        <w:rPr>
          <w:u w:val="none"/>
        </w:rPr>
        <w:t>communities, Welsh</w:t>
      </w:r>
      <w:r w:rsidR="4ADFAE14">
        <w:rPr>
          <w:u w:val="none"/>
        </w:rPr>
        <w:t xml:space="preserve"> Government, </w:t>
      </w:r>
      <w:r w:rsidR="7290369E">
        <w:rPr>
          <w:u w:val="none"/>
        </w:rPr>
        <w:t>(</w:t>
      </w:r>
      <w:r w:rsidR="39892848">
        <w:rPr>
          <w:u w:val="none"/>
        </w:rPr>
        <w:t>2022) c.</w:t>
      </w:r>
      <w:r w:rsidR="4ADFAE14">
        <w:rPr>
          <w:u w:val="none"/>
        </w:rPr>
        <w:t xml:space="preserve"> In theory, this should allow for more innovative, creative, and play-based practices that are meaningful to children. However, the same flexibility can also create inconsistency, particularly in how early years settings interpret and implement the curriculum. Where leadership teams are strongly committed to play, rich learning environments can thrive. But in schools more focused on academic outcomes or constrained by inspection pressures, play-based learning can become marginalised Estyn, </w:t>
      </w:r>
      <w:r w:rsidR="3C9F944A">
        <w:rPr>
          <w:u w:val="none"/>
        </w:rPr>
        <w:t>(</w:t>
      </w:r>
      <w:r w:rsidR="4ADFAE14">
        <w:rPr>
          <w:u w:val="none"/>
        </w:rPr>
        <w:t>202</w:t>
      </w:r>
      <w:r w:rsidR="0077BAC8">
        <w:rPr>
          <w:u w:val="none"/>
        </w:rPr>
        <w:t>4</w:t>
      </w:r>
      <w:r w:rsidR="4ADFAE14">
        <w:rPr>
          <w:u w:val="none"/>
        </w:rPr>
        <w:t>). Without a dedicated early years stage, there is less structural protection for play, and practices can vary significantly depending on school ethos.</w:t>
      </w:r>
    </w:p>
    <w:p w:rsidR="4ADFAE14" w:rsidP="48C3A5B2" w:rsidRDefault="4ADFAE14" w14:paraId="26AC85DA" w14:textId="56E7D610">
      <w:pPr>
        <w:pStyle w:val="Normal"/>
        <w:rPr>
          <w:u w:val="none"/>
        </w:rPr>
      </w:pPr>
      <w:r w:rsidR="4ADFAE14">
        <w:rPr>
          <w:u w:val="none"/>
        </w:rPr>
        <w:t xml:space="preserve">The original vision of the Foundation Phase was </w:t>
      </w:r>
      <w:r w:rsidR="4ADFAE14">
        <w:rPr>
          <w:u w:val="none"/>
        </w:rPr>
        <w:t>closely linked</w:t>
      </w:r>
      <w:r w:rsidR="4ADFAE14">
        <w:rPr>
          <w:u w:val="none"/>
        </w:rPr>
        <w:t xml:space="preserve"> to a broader Welsh Government agenda to develop a distinctive, child-centred education system. It aimed to move away from early formal instruction and instead focus on holistic development and well-being. The statutory guidance clearly outlined the importance of play, outdoor learning, and continuous provision, giving practitioners the confidence to support children in ways that aligned with established early childhood theories. Froebel’s ideas about learning through nature and sensory exploration</w:t>
      </w:r>
      <w:r w:rsidR="7EDDD5CA">
        <w:rPr>
          <w:u w:val="none"/>
        </w:rPr>
        <w:t xml:space="preserve">, </w:t>
      </w:r>
      <w:r w:rsidR="725DD491">
        <w:rPr>
          <w:u w:val="none"/>
        </w:rPr>
        <w:t>Smedley</w:t>
      </w:r>
      <w:r w:rsidR="7EDDD5CA">
        <w:rPr>
          <w:u w:val="none"/>
        </w:rPr>
        <w:t xml:space="preserve"> and Hoskins</w:t>
      </w:r>
      <w:r w:rsidR="4ADFAE14">
        <w:rPr>
          <w:u w:val="none"/>
        </w:rPr>
        <w:t xml:space="preserve"> (</w:t>
      </w:r>
      <w:r w:rsidR="3B09793A">
        <w:rPr>
          <w:u w:val="none"/>
        </w:rPr>
        <w:t>2020</w:t>
      </w:r>
      <w:r w:rsidR="4ADFAE14">
        <w:rPr>
          <w:u w:val="none"/>
        </w:rPr>
        <w:t xml:space="preserve">) </w:t>
      </w:r>
      <w:r w:rsidR="4ADFAE14">
        <w:rPr>
          <w:u w:val="none"/>
        </w:rPr>
        <w:t xml:space="preserve">are </w:t>
      </w:r>
      <w:r w:rsidR="4ADFAE14">
        <w:rPr>
          <w:u w:val="none"/>
        </w:rPr>
        <w:t>evi</w:t>
      </w:r>
      <w:r w:rsidR="4ADFAE14">
        <w:rPr>
          <w:u w:val="none"/>
        </w:rPr>
        <w:t>dent</w:t>
      </w:r>
      <w:r w:rsidR="4ADFAE14">
        <w:rPr>
          <w:u w:val="none"/>
        </w:rPr>
        <w:t xml:space="preserve"> in the emphasis on outdoor environments, while schema theory </w:t>
      </w:r>
      <w:r w:rsidR="0C17FEC1">
        <w:rPr>
          <w:u w:val="none"/>
        </w:rPr>
        <w:t>as cited by Meylani (2024)</w:t>
      </w:r>
      <w:r w:rsidR="4ADFAE14">
        <w:rPr>
          <w:u w:val="none"/>
        </w:rPr>
        <w:t xml:space="preserve"> helped</w:t>
      </w:r>
      <w:r w:rsidR="4ADFAE14">
        <w:rPr>
          <w:u w:val="none"/>
        </w:rPr>
        <w:t xml:space="preserve"> inform how practitioners could extend children’s interests through hands-on play. For example, a child fascinated by building might be encouraged to explore this interest further using real tools and materials outdoors, developing fine motor skills and problem-solving in the process. These approaches allowed for learning that was both purposeful and developmenta</w:t>
      </w:r>
      <w:r w:rsidR="4ADFAE14">
        <w:rPr>
          <w:u w:val="none"/>
        </w:rPr>
        <w:t xml:space="preserve">lly </w:t>
      </w:r>
      <w:r w:rsidR="4ADFAE14">
        <w:rPr>
          <w:u w:val="none"/>
        </w:rPr>
        <w:t>appropr</w:t>
      </w:r>
      <w:r w:rsidR="4ADFAE14">
        <w:rPr>
          <w:u w:val="none"/>
        </w:rPr>
        <w:t>iate</w:t>
      </w:r>
      <w:r w:rsidR="7D5A700E">
        <w:rPr>
          <w:u w:val="none"/>
        </w:rPr>
        <w:t xml:space="preserve"> </w:t>
      </w:r>
      <w:r w:rsidR="7D5A700E">
        <w:rPr>
          <w:u w:val="none"/>
        </w:rPr>
        <w:t>moreover, Research</w:t>
      </w:r>
      <w:r w:rsidR="7D5A700E">
        <w:rPr>
          <w:u w:val="none"/>
        </w:rPr>
        <w:t xml:space="preserve"> shows that play-based learning really helps young children. One study looking at how the Foundation Phase was used in Wales found that when children saw activities as play, they were more engaged and happier — which are both signs that they were learning more deeply, Wainwright et.al (2019).</w:t>
      </w:r>
    </w:p>
    <w:p w:rsidR="4ADFAE14" w:rsidP="48C3A5B2" w:rsidRDefault="4ADFAE14" w14:paraId="55EAA154" w14:textId="757013AA">
      <w:pPr>
        <w:pStyle w:val="Normal"/>
        <w:rPr>
          <w:u w:val="none"/>
        </w:rPr>
      </w:pPr>
      <w:r w:rsidR="4ADFAE14">
        <w:rPr>
          <w:u w:val="none"/>
        </w:rPr>
        <w:t xml:space="preserve">In contrast, while the Curriculum for Wales promotes many of the same values in principle, its broader scope and structural design introduce new tensions. As Underwood et al. (2024) note, the challenge lies in applying developmentally </w:t>
      </w:r>
      <w:r w:rsidR="4ADFAE14">
        <w:rPr>
          <w:u w:val="none"/>
        </w:rPr>
        <w:t>appropriate practices</w:t>
      </w:r>
      <w:r w:rsidR="4ADFAE14">
        <w:rPr>
          <w:u w:val="none"/>
        </w:rPr>
        <w:t xml:space="preserve"> within a system designed to track learning from early childhood through to adolescence. Stewart,</w:t>
      </w:r>
      <w:r w:rsidRPr="48C3A5B2" w:rsidR="4ADFAE14">
        <w:rPr>
          <w:u w:val="single"/>
        </w:rPr>
        <w:t xml:space="preserve"> </w:t>
      </w:r>
      <w:r w:rsidR="4ADFAE14">
        <w:rPr>
          <w:u w:val="none"/>
        </w:rPr>
        <w:t>MacDonald</w:t>
      </w:r>
      <w:r w:rsidR="4ADFAE14">
        <w:rPr>
          <w:u w:val="none"/>
        </w:rPr>
        <w:t xml:space="preserve"> and Waters-Davies (2024) further argue that how play is implemented depends heavily on individual school ethos and practitioner interpretation. In schools with strong early years leadership and a deep understanding of child development, play-based learning continues to flourish. However, in other settings, the drive to meet progression expectations can lead to a more formalised approach, where structured academic tasks begin to displace child-led exploration.</w:t>
      </w:r>
    </w:p>
    <w:p w:rsidR="4ADFAE14" w:rsidP="48C3A5B2" w:rsidRDefault="4ADFAE14" w14:paraId="007B478F" w14:textId="6B7A5F5A">
      <w:pPr>
        <w:pStyle w:val="Normal"/>
        <w:rPr>
          <w:u w:val="none"/>
        </w:rPr>
      </w:pPr>
      <w:r w:rsidR="4ADFAE14">
        <w:rPr>
          <w:u w:val="none"/>
        </w:rPr>
        <w:t xml:space="preserve">The Curriculum and Assessment (Wales) Act 2021 introduced a new legal foundation for education in Wales, with the aim of creating a more integrated and flexible system. While the Act gives schools autonomy to design curricula that reflect their learners’ needs, this comes with significant responsibility. Without specific guidance for early childhood, there is concern that settings may struggle to balance the demands of progression with the principles of play-based learning. </w:t>
      </w:r>
      <w:r w:rsidR="1891C129">
        <w:rPr>
          <w:u w:val="none"/>
        </w:rPr>
        <w:t>Underwood et.al</w:t>
      </w:r>
      <w:r w:rsidR="4ADFAE14">
        <w:rPr>
          <w:u w:val="none"/>
        </w:rPr>
        <w:t xml:space="preserve"> (</w:t>
      </w:r>
      <w:r w:rsidR="34BD0E9D">
        <w:rPr>
          <w:u w:val="none"/>
        </w:rPr>
        <w:t>2024</w:t>
      </w:r>
      <w:r w:rsidR="3859B359">
        <w:rPr>
          <w:u w:val="none"/>
        </w:rPr>
        <w:t>b</w:t>
      </w:r>
      <w:r w:rsidR="34BD0E9D">
        <w:rPr>
          <w:u w:val="none"/>
        </w:rPr>
        <w:t>) a, warn</w:t>
      </w:r>
      <w:r w:rsidR="4ADFAE14">
        <w:rPr>
          <w:u w:val="none"/>
        </w:rPr>
        <w:t xml:space="preserve"> that play pedagogy may be diluted unless it is clearly protected and explicitly valued within the broader curriculum.</w:t>
      </w:r>
    </w:p>
    <w:p w:rsidR="4ADFAE14" w:rsidP="48C3A5B2" w:rsidRDefault="4ADFAE14" w14:paraId="1B64AD31" w14:textId="44D49E72">
      <w:pPr>
        <w:pStyle w:val="Normal"/>
        <w:rPr>
          <w:u w:val="none"/>
        </w:rPr>
      </w:pPr>
      <w:r w:rsidR="4ADFAE14">
        <w:rPr>
          <w:u w:val="none"/>
        </w:rPr>
        <w:t xml:space="preserve">There are further issues to consider when comparing the two approaches. The Foundation Phase provided a </w:t>
      </w:r>
      <w:r w:rsidR="4ADFAE14">
        <w:rPr>
          <w:u w:val="none"/>
        </w:rPr>
        <w:t>relatively coherent</w:t>
      </w:r>
      <w:r w:rsidR="4ADFAE14">
        <w:rPr>
          <w:u w:val="none"/>
        </w:rPr>
        <w:t xml:space="preserve"> and unified early years curriculum that, despite implementation challenges, had a strong identity rooted in theory and practice. The Curriculum for Wales, by contrast, offers greater autonomy but places more emphasis on progression and outcomes. While both approaches are influenced by theorists such as Piaget, Vygotsky, and Froebel, their applications differ in practice. The Foundation Phase prioritised a nurturing, child-led approach, while the Curriculum for Wales </w:t>
      </w:r>
      <w:r w:rsidR="4ADFAE14">
        <w:rPr>
          <w:u w:val="none"/>
        </w:rPr>
        <w:t>attempts</w:t>
      </w:r>
      <w:r w:rsidR="4ADFAE14">
        <w:rPr>
          <w:u w:val="none"/>
        </w:rPr>
        <w:t xml:space="preserve"> to align early learning with whole-school planning. Although well-intentioned, this broader alignment can place pressure on early years practitioners to adopt more structured, adult-led activities at the expense of child-led exploration.</w:t>
      </w:r>
    </w:p>
    <w:p w:rsidR="4ADFAE14" w:rsidP="48C3A5B2" w:rsidRDefault="4ADFAE14" w14:paraId="3D7FC1B7" w14:textId="40765308">
      <w:pPr>
        <w:pStyle w:val="Normal"/>
        <w:rPr>
          <w:u w:val="none"/>
        </w:rPr>
      </w:pPr>
      <w:r w:rsidR="4ADFAE14">
        <w:rPr>
          <w:u w:val="none"/>
        </w:rPr>
        <w:t xml:space="preserve">As Taylor et al. (2025) explain, practitioners must have a deep understanding of child development </w:t>
      </w:r>
      <w:r w:rsidR="274C4A6A">
        <w:rPr>
          <w:u w:val="none"/>
        </w:rPr>
        <w:t>to</w:t>
      </w:r>
      <w:r w:rsidR="4ADFAE14">
        <w:rPr>
          <w:u w:val="none"/>
        </w:rPr>
        <w:t xml:space="preserve"> design effective curricula that support confident, capable learners. They also emphasise the importance of recognising barriers to participation, including </w:t>
      </w:r>
      <w:r w:rsidR="4ADFAE14">
        <w:rPr>
          <w:u w:val="none"/>
        </w:rPr>
        <w:t>additional</w:t>
      </w:r>
      <w:r w:rsidR="4ADFAE14">
        <w:rPr>
          <w:u w:val="none"/>
        </w:rPr>
        <w:t xml:space="preserve"> learning needs and differences in children’s prior experiences. These considerations are especially important in the early </w:t>
      </w:r>
      <w:r w:rsidR="4ADFAE14">
        <w:rPr>
          <w:u w:val="none"/>
        </w:rPr>
        <w:t>years, when</w:t>
      </w:r>
      <w:r w:rsidR="4ADFAE14">
        <w:rPr>
          <w:u w:val="none"/>
        </w:rPr>
        <w:t xml:space="preserve"> emotional development and well-being play such a key role. Housman (2017) adds that children’s emotional </w:t>
      </w:r>
      <w:r w:rsidR="41C5CDDF">
        <w:rPr>
          <w:u w:val="none"/>
        </w:rPr>
        <w:t>competence including</w:t>
      </w:r>
      <w:r w:rsidR="4ADFAE14">
        <w:rPr>
          <w:u w:val="none"/>
        </w:rPr>
        <w:t xml:space="preserve"> their ability to regulate emotions and understand </w:t>
      </w:r>
      <w:r w:rsidR="237ACAC8">
        <w:rPr>
          <w:u w:val="none"/>
        </w:rPr>
        <w:t>others is</w:t>
      </w:r>
      <w:r w:rsidR="4ADFAE14">
        <w:rPr>
          <w:u w:val="none"/>
        </w:rPr>
        <w:t xml:space="preserve"> closely tied to later academic and social success. Settings that respect children’s individuality, provide nurturing environments, and encourage emotional expression are more likely to support long-term positive outcomes.</w:t>
      </w:r>
      <w:r w:rsidR="711950AA">
        <w:rPr>
          <w:u w:val="none"/>
        </w:rPr>
        <w:t xml:space="preserve"> Although the Foundation Phase placed a strong focus on play, how well it worked depended a lot on the setting. Differences in how staff were trained and how they understood play-based learning led to some inconsistency. To help improve this, the Welsh Government introduced the Early Childhood Play, Learning and Care Plan, which aims to offer all children from birth to five high-quality, inclusive opportunities to learn and grow through play.</w:t>
      </w:r>
      <w:r w:rsidR="00FED162">
        <w:rPr>
          <w:u w:val="none"/>
        </w:rPr>
        <w:t xml:space="preserve"> Gov.Wales (2024)</w:t>
      </w:r>
    </w:p>
    <w:p w:rsidR="4ADFAE14" w:rsidP="48C3A5B2" w:rsidRDefault="4ADFAE14" w14:paraId="17E45D6A" w14:textId="7B4C40BD">
      <w:pPr>
        <w:pStyle w:val="Normal"/>
        <w:rPr>
          <w:u w:val="none"/>
        </w:rPr>
      </w:pPr>
      <w:r w:rsidR="4ADFAE14">
        <w:rPr>
          <w:u w:val="none"/>
        </w:rPr>
        <w:t xml:space="preserve">While the Curriculum for Wales continues to promote the importance of well-being and holistic development, it remains to be seen how effectively this will be </w:t>
      </w:r>
      <w:r w:rsidR="4ADFAE14">
        <w:rPr>
          <w:u w:val="none"/>
        </w:rPr>
        <w:t>maintained</w:t>
      </w:r>
      <w:r w:rsidR="4ADFAE14">
        <w:rPr>
          <w:u w:val="none"/>
        </w:rPr>
        <w:t xml:space="preserve"> in practice. Its success depends not only on strong leadership and practitioner knowledge, but also on a wider understanding that play is not an optional extra — it is central to how young children make sense of the world. If this understanding is lost in pursuit of progression and performance, the core principles of early childhood education may be at</w:t>
      </w:r>
      <w:r w:rsidRPr="48C3A5B2" w:rsidR="4ADFAE14">
        <w:rPr>
          <w:u w:val="single"/>
        </w:rPr>
        <w:t xml:space="preserve"> </w:t>
      </w:r>
      <w:r w:rsidR="4ADFAE14">
        <w:rPr>
          <w:u w:val="none"/>
        </w:rPr>
        <w:t xml:space="preserve">risk. For Wales to build on the strengths of the Foundation Phase while embracing the flexibility of the new curriculum, it must ensure that play </w:t>
      </w:r>
      <w:r w:rsidR="4ADFAE14">
        <w:rPr>
          <w:u w:val="none"/>
        </w:rPr>
        <w:t>remains</w:t>
      </w:r>
      <w:r w:rsidR="4ADFAE14">
        <w:rPr>
          <w:u w:val="none"/>
        </w:rPr>
        <w:t xml:space="preserve"> protected, valued, and embedded in everyday practice.</w:t>
      </w:r>
    </w:p>
    <w:p w:rsidR="2269B2B5" w:rsidP="48C3A5B2" w:rsidRDefault="2269B2B5" w14:paraId="65A6CA24" w14:textId="47A53DA7">
      <w:pPr>
        <w:pStyle w:val="Normal"/>
        <w:rPr>
          <w:u w:val="single"/>
        </w:rPr>
      </w:pPr>
      <w:r w:rsidRPr="49B1FC76" w:rsidR="2269B2B5">
        <w:rPr>
          <w:u w:val="single"/>
        </w:rPr>
        <w:t>Part 2.</w:t>
      </w:r>
    </w:p>
    <w:p w:rsidR="62027F3D" w:rsidP="48C3A5B2" w:rsidRDefault="62027F3D" w14:paraId="7B92353A" w14:textId="425ECEA1">
      <w:pPr>
        <w:pStyle w:val="Normal"/>
        <w:rPr>
          <w:u w:val="none"/>
        </w:rPr>
      </w:pPr>
      <w:r w:rsidR="7EE7CC2C">
        <w:rPr>
          <w:u w:val="none"/>
        </w:rPr>
        <w:t xml:space="preserve">The concept of the ‘Unique Child’ is a core principle in early childhood education and is central to frameworks such as the Early Years Foundation Stage (EYFS) (DfE, 2024). It recognises that every child is an individual, shaped by their own experiences, interests, cultural background, and developmental path. This principle supports a child-centred, inclusive pedagogy that values diversity and prioritises personal growth over standardised expectations. Within play-based learning </w:t>
      </w:r>
      <w:r w:rsidR="228CA5CC">
        <w:rPr>
          <w:u w:val="none"/>
        </w:rPr>
        <w:t>environments, where</w:t>
      </w:r>
      <w:r w:rsidR="7EE7CC2C">
        <w:rPr>
          <w:u w:val="none"/>
        </w:rPr>
        <w:t xml:space="preserve"> children engage in exploration, imagination, and discovery—it becomes particularly important to assess development in ways that respect and respond to each child’s unique identity and pace of learning</w:t>
      </w:r>
      <w:r w:rsidR="7EE7CC2C">
        <w:rPr>
          <w:u w:val="none"/>
        </w:rPr>
        <w:t xml:space="preserve"> </w:t>
      </w:r>
      <w:r w:rsidR="7EE7CC2C">
        <w:rPr>
          <w:u w:val="none"/>
        </w:rPr>
        <w:t>Alsubai</w:t>
      </w:r>
      <w:r w:rsidR="7EE7CC2C">
        <w:rPr>
          <w:u w:val="none"/>
        </w:rPr>
        <w:t>e</w:t>
      </w:r>
      <w:r w:rsidR="7EE7CC2C">
        <w:rPr>
          <w:u w:val="none"/>
        </w:rPr>
        <w:t xml:space="preserve">, </w:t>
      </w:r>
      <w:r w:rsidR="28C04883">
        <w:rPr>
          <w:u w:val="none"/>
        </w:rPr>
        <w:t>(</w:t>
      </w:r>
      <w:r w:rsidR="7EE7CC2C">
        <w:rPr>
          <w:u w:val="none"/>
        </w:rPr>
        <w:t>2015).</w:t>
      </w:r>
    </w:p>
    <w:p w:rsidR="62027F3D" w:rsidP="48C3A5B2" w:rsidRDefault="62027F3D" w14:paraId="756CDB7B" w14:textId="73B23371">
      <w:pPr>
        <w:pStyle w:val="Normal"/>
        <w:rPr>
          <w:u w:val="none"/>
        </w:rPr>
      </w:pPr>
      <w:r w:rsidR="7EE7CC2C">
        <w:rPr>
          <w:u w:val="none"/>
        </w:rPr>
        <w:t xml:space="preserve">This </w:t>
      </w:r>
      <w:r w:rsidR="4F354C26">
        <w:rPr>
          <w:u w:val="none"/>
        </w:rPr>
        <w:t>part</w:t>
      </w:r>
      <w:r w:rsidR="7EE7CC2C">
        <w:rPr>
          <w:u w:val="none"/>
        </w:rPr>
        <w:t xml:space="preserve"> critically evaluates various methods of assessment and progress tracking, alongside widely used age- or stage-related development models, within the context of play-based curricula. It considers the extent to which these approaches align with the ‘Unique Child’ philosophy and support holistic, meaningful learning experiences. The discussion will </w:t>
      </w:r>
      <w:r w:rsidR="7EE7CC2C">
        <w:rPr>
          <w:u w:val="none"/>
        </w:rPr>
        <w:t>identify</w:t>
      </w:r>
      <w:r w:rsidR="7EE7CC2C">
        <w:rPr>
          <w:u w:val="none"/>
        </w:rPr>
        <w:t xml:space="preserve"> both strengths and limitations in current practices, aiming to propose strategies that foster responsive and developmentally </w:t>
      </w:r>
      <w:r w:rsidR="7EE7CC2C">
        <w:rPr>
          <w:u w:val="none"/>
        </w:rPr>
        <w:t>appropriate early</w:t>
      </w:r>
      <w:r w:rsidR="7EE7CC2C">
        <w:rPr>
          <w:u w:val="none"/>
        </w:rPr>
        <w:t xml:space="preserve"> years provision.</w:t>
      </w:r>
    </w:p>
    <w:p w:rsidR="62027F3D" w:rsidP="48C3A5B2" w:rsidRDefault="62027F3D" w14:paraId="6F6077EF" w14:textId="1EC60207">
      <w:pPr>
        <w:pStyle w:val="Normal"/>
        <w:rPr>
          <w:u w:val="none"/>
        </w:rPr>
      </w:pPr>
      <w:r w:rsidR="7EE7CC2C">
        <w:rPr>
          <w:u w:val="none"/>
        </w:rPr>
        <w:t>The idea of the ‘Unique Child’ forms a foundational element in early years practice. The EYFS (2024) articulates that each child is “constantly learning and can be resilient, capable, confident and self-assured.” This emphasis on individuality encourages practitioners to embrace developmental variation and to build responsive environments that enable all children to thrive. Rather than expecting uniformity, this approach supports flexible pedagogies that adapt to the needs, interests, and cultural contexts of each learner.</w:t>
      </w:r>
    </w:p>
    <w:p w:rsidR="62027F3D" w:rsidP="48C3A5B2" w:rsidRDefault="62027F3D" w14:paraId="1E164266" w14:textId="2C2972D2">
      <w:pPr>
        <w:pStyle w:val="Normal"/>
        <w:rPr>
          <w:u w:val="none"/>
        </w:rPr>
      </w:pPr>
      <w:r w:rsidR="7EE7CC2C">
        <w:rPr>
          <w:u w:val="none"/>
        </w:rPr>
        <w:t xml:space="preserve">The Birth to 5 Matters guidance Early </w:t>
      </w:r>
      <w:r w:rsidR="00EA5C05">
        <w:rPr>
          <w:u w:val="none"/>
        </w:rPr>
        <w:t>years coalition</w:t>
      </w:r>
      <w:r w:rsidR="7EE7CC2C">
        <w:rPr>
          <w:u w:val="none"/>
        </w:rPr>
        <w:t xml:space="preserve">, </w:t>
      </w:r>
      <w:r w:rsidR="25F8D866">
        <w:rPr>
          <w:u w:val="none"/>
        </w:rPr>
        <w:t>(</w:t>
      </w:r>
      <w:r w:rsidR="7EE7CC2C">
        <w:rPr>
          <w:u w:val="none"/>
        </w:rPr>
        <w:t>2021) further reinforces this perspective, advocating that practitioners should “start from the child” and understand development as a non-linear and diverse process. This viewpoint aligns with key developmental theorists. Jean Piaget (1952)</w:t>
      </w:r>
      <w:r w:rsidR="3687D50F">
        <w:rPr>
          <w:u w:val="none"/>
        </w:rPr>
        <w:t xml:space="preserve"> as cited by </w:t>
      </w:r>
      <w:r w:rsidR="475360DB">
        <w:rPr>
          <w:u w:val="none"/>
        </w:rPr>
        <w:t>Pakpahan</w:t>
      </w:r>
      <w:r w:rsidR="475360DB">
        <w:rPr>
          <w:u w:val="none"/>
        </w:rPr>
        <w:t xml:space="preserve"> and </w:t>
      </w:r>
      <w:r w:rsidR="475360DB">
        <w:rPr>
          <w:u w:val="none"/>
        </w:rPr>
        <w:t>Saragih</w:t>
      </w:r>
      <w:r w:rsidR="475360DB">
        <w:rPr>
          <w:u w:val="none"/>
        </w:rPr>
        <w:t>(2022)</w:t>
      </w:r>
      <w:r w:rsidR="7EE7CC2C">
        <w:rPr>
          <w:u w:val="none"/>
        </w:rPr>
        <w:t xml:space="preserve"> suggested that children construct knowledge actively through interaction with their environment, while Lev Vygotsky</w:t>
      </w:r>
      <w:r w:rsidR="7EE7CC2C">
        <w:rPr>
          <w:u w:val="none"/>
        </w:rPr>
        <w:t xml:space="preserve"> (1978)</w:t>
      </w:r>
      <w:r w:rsidR="51FE6632">
        <w:rPr>
          <w:u w:val="none"/>
        </w:rPr>
        <w:t xml:space="preserve"> a</w:t>
      </w:r>
      <w:r w:rsidR="11FA73BA">
        <w:rPr>
          <w:u w:val="none"/>
        </w:rPr>
        <w:t>s</w:t>
      </w:r>
      <w:r w:rsidR="51FE6632">
        <w:rPr>
          <w:u w:val="none"/>
        </w:rPr>
        <w:t xml:space="preserve"> cited by Ekaterina </w:t>
      </w:r>
      <w:r w:rsidR="51FE6632">
        <w:rPr>
          <w:u w:val="none"/>
        </w:rPr>
        <w:t>Zaversheva</w:t>
      </w:r>
      <w:r w:rsidR="51FE6632">
        <w:rPr>
          <w:u w:val="none"/>
        </w:rPr>
        <w:t xml:space="preserve"> and Van (2021)</w:t>
      </w:r>
      <w:r w:rsidR="7EE7CC2C">
        <w:rPr>
          <w:u w:val="none"/>
        </w:rPr>
        <w:t xml:space="preserve"> emphasised the importance of social and cultural contexts in shaping learning. These theories stress that children do not learn in the same way or at the same rate, highlighting the need for personalised, differentiated teaching strategies.</w:t>
      </w:r>
    </w:p>
    <w:p w:rsidR="62027F3D" w:rsidP="48C3A5B2" w:rsidRDefault="62027F3D" w14:paraId="3163E9C4" w14:textId="58DA2A4B">
      <w:pPr>
        <w:pStyle w:val="Normal"/>
      </w:pPr>
      <w:r w:rsidR="7EE7CC2C">
        <w:rPr>
          <w:u w:val="none"/>
        </w:rPr>
        <w:t>In addition to cognitive development, emotional well-being is integral to learning. John Bowlby’s (1969) attachment theory demonstrates that secure, trusting relationships form the basis for exploration and risk-taking in learning. This is especially relevant in play-based curricula, where children’s engagement, creativity, and confidence are directly influenced by how safe and supported they feel.</w:t>
      </w:r>
    </w:p>
    <w:p w:rsidR="62027F3D" w:rsidP="48C3A5B2" w:rsidRDefault="62027F3D" w14:paraId="22A352A3" w14:textId="0F36E3FF">
      <w:pPr>
        <w:pStyle w:val="Normal"/>
        <w:rPr>
          <w:u w:val="none"/>
        </w:rPr>
      </w:pPr>
      <w:r w:rsidR="7EE7CC2C">
        <w:rPr>
          <w:u w:val="none"/>
        </w:rPr>
        <w:t xml:space="preserve">Contemporary educators such </w:t>
      </w:r>
      <w:r w:rsidR="16E38DEB">
        <w:rPr>
          <w:u w:val="none"/>
        </w:rPr>
        <w:t>as Bruce</w:t>
      </w:r>
      <w:r w:rsidR="7EE7CC2C">
        <w:rPr>
          <w:u w:val="none"/>
        </w:rPr>
        <w:t xml:space="preserve"> (2011</w:t>
      </w:r>
      <w:r w:rsidR="6B1FC355">
        <w:rPr>
          <w:u w:val="none"/>
        </w:rPr>
        <w:t>b</w:t>
      </w:r>
      <w:r w:rsidR="7EE7CC2C">
        <w:rPr>
          <w:u w:val="none"/>
        </w:rPr>
        <w:t xml:space="preserve">) and Cathy </w:t>
      </w:r>
      <w:r w:rsidR="6499552B">
        <w:rPr>
          <w:u w:val="none"/>
        </w:rPr>
        <w:t>Nutbrown, department of education</w:t>
      </w:r>
      <w:r w:rsidR="7EE7CC2C">
        <w:rPr>
          <w:u w:val="none"/>
        </w:rPr>
        <w:t xml:space="preserve"> (2012</w:t>
      </w:r>
      <w:r w:rsidR="20AF5A86">
        <w:rPr>
          <w:u w:val="none"/>
        </w:rPr>
        <w:t>b</w:t>
      </w:r>
      <w:r w:rsidR="7EE7CC2C">
        <w:rPr>
          <w:u w:val="none"/>
        </w:rPr>
        <w:t>) also argue for a holistic understanding of the child. They advocate that children should be recognised as capable learners with agency and voice. Supporting the unique child, therefore, involves more than tracking milestones—it requires tunin</w:t>
      </w:r>
      <w:r w:rsidR="38419BF0">
        <w:rPr>
          <w:u w:val="none"/>
        </w:rPr>
        <w:t xml:space="preserve">g </w:t>
      </w:r>
      <w:r w:rsidR="4CEEEB5D">
        <w:rPr>
          <w:u w:val="none"/>
        </w:rPr>
        <w:t>in to</w:t>
      </w:r>
      <w:r w:rsidR="7EE7CC2C">
        <w:rPr>
          <w:u w:val="none"/>
        </w:rPr>
        <w:t xml:space="preserve"> the child’s emotional, cultural, and developmental world.</w:t>
      </w:r>
    </w:p>
    <w:p w:rsidR="62027F3D" w:rsidP="49B1FC76" w:rsidRDefault="62027F3D" w14:paraId="7B50223C" w14:textId="1BEADE7B">
      <w:pPr>
        <w:spacing w:before="240" w:beforeAutospacing="off" w:after="240" w:afterAutospacing="off"/>
      </w:pPr>
      <w:r w:rsidRPr="49B1FC76" w:rsidR="047AAAA8">
        <w:rPr>
          <w:rFonts w:ascii="Aptos" w:hAnsi="Aptos" w:eastAsia="Aptos" w:cs="Aptos"/>
          <w:noProof w:val="0"/>
          <w:sz w:val="24"/>
          <w:szCs w:val="24"/>
          <w:lang w:val="en-GB"/>
        </w:rPr>
        <w:t>Observation is central to early childhood assessment. It enables practitioners to understand children’s interests, capabilities, and developmental needs within natural, play-based contexts.</w:t>
      </w:r>
      <w:r w:rsidRPr="49B1FC76" w:rsidR="047AAAA8">
        <w:rPr>
          <w:rFonts w:ascii="Aptos" w:hAnsi="Aptos" w:eastAsia="Aptos" w:cs="Aptos"/>
          <w:b w:val="0"/>
          <w:bCs w:val="0"/>
          <w:noProof w:val="0"/>
          <w:sz w:val="24"/>
          <w:szCs w:val="24"/>
          <w:lang w:val="en-GB"/>
        </w:rPr>
        <w:t xml:space="preserve"> </w:t>
      </w:r>
      <w:r w:rsidRPr="49B1FC76" w:rsidR="0C4AC826">
        <w:rPr>
          <w:rFonts w:ascii="Aptos" w:hAnsi="Aptos" w:eastAsia="Aptos" w:cs="Aptos"/>
          <w:b w:val="0"/>
          <w:bCs w:val="0"/>
          <w:noProof w:val="0"/>
          <w:sz w:val="24"/>
          <w:szCs w:val="24"/>
          <w:lang w:val="en-GB"/>
        </w:rPr>
        <w:t>Carr and Lee</w:t>
      </w:r>
      <w:r w:rsidRPr="49B1FC76" w:rsidR="047AAAA8">
        <w:rPr>
          <w:rFonts w:ascii="Aptos" w:hAnsi="Aptos" w:eastAsia="Aptos" w:cs="Aptos"/>
          <w:b w:val="0"/>
          <w:bCs w:val="0"/>
          <w:noProof w:val="0"/>
          <w:sz w:val="24"/>
          <w:szCs w:val="24"/>
          <w:lang w:val="en-GB"/>
        </w:rPr>
        <w:t xml:space="preserve"> (2012)</w:t>
      </w:r>
      <w:r w:rsidRPr="49B1FC76" w:rsidR="047AAAA8">
        <w:rPr>
          <w:rFonts w:ascii="Aptos" w:hAnsi="Aptos" w:eastAsia="Aptos" w:cs="Aptos"/>
          <w:noProof w:val="0"/>
          <w:sz w:val="24"/>
          <w:szCs w:val="24"/>
          <w:lang w:val="en-GB"/>
        </w:rPr>
        <w:t xml:space="preserve"> emphasise tha</w:t>
      </w:r>
      <w:r w:rsidRPr="49B1FC76" w:rsidR="047AAAA8">
        <w:rPr>
          <w:rFonts w:ascii="Aptos" w:hAnsi="Aptos" w:eastAsia="Aptos" w:cs="Aptos"/>
          <w:noProof w:val="0"/>
          <w:sz w:val="24"/>
          <w:szCs w:val="24"/>
          <w:lang w:val="en-GB"/>
        </w:rPr>
        <w:t>t</w:t>
      </w:r>
      <w:r w:rsidRPr="49B1FC76" w:rsidR="047AAAA8">
        <w:rPr>
          <w:rFonts w:ascii="Aptos" w:hAnsi="Aptos" w:eastAsia="Aptos" w:cs="Aptos"/>
          <w:noProof w:val="0"/>
          <w:sz w:val="24"/>
          <w:szCs w:val="24"/>
          <w:lang w:val="en-GB"/>
        </w:rPr>
        <w:t xml:space="preserve"> </w:t>
      </w:r>
      <w:r w:rsidRPr="49B1FC76" w:rsidR="047AAAA8">
        <w:rPr>
          <w:rFonts w:ascii="Aptos" w:hAnsi="Aptos" w:eastAsia="Aptos" w:cs="Aptos"/>
          <w:noProof w:val="0"/>
          <w:sz w:val="24"/>
          <w:szCs w:val="24"/>
          <w:lang w:val="en-GB"/>
        </w:rPr>
        <w:t>observi</w:t>
      </w:r>
      <w:r w:rsidRPr="49B1FC76" w:rsidR="047AAAA8">
        <w:rPr>
          <w:rFonts w:ascii="Aptos" w:hAnsi="Aptos" w:eastAsia="Aptos" w:cs="Aptos"/>
          <w:noProof w:val="0"/>
          <w:sz w:val="24"/>
          <w:szCs w:val="24"/>
          <w:lang w:val="en-GB"/>
        </w:rPr>
        <w:t>n</w:t>
      </w:r>
      <w:r w:rsidRPr="49B1FC76" w:rsidR="047AAAA8">
        <w:rPr>
          <w:rFonts w:ascii="Aptos" w:hAnsi="Aptos" w:eastAsia="Aptos" w:cs="Aptos"/>
          <w:noProof w:val="0"/>
          <w:sz w:val="24"/>
          <w:szCs w:val="24"/>
          <w:lang w:val="en-GB"/>
        </w:rPr>
        <w:t>g</w:t>
      </w:r>
      <w:r w:rsidRPr="49B1FC76" w:rsidR="047AAAA8">
        <w:rPr>
          <w:rFonts w:ascii="Aptos" w:hAnsi="Aptos" w:eastAsia="Aptos" w:cs="Aptos"/>
          <w:noProof w:val="0"/>
          <w:sz w:val="24"/>
          <w:szCs w:val="24"/>
          <w:lang w:val="en-GB"/>
        </w:rPr>
        <w:t xml:space="preserve"> children in play provides a “window into learning,” allowing educators to plan next steps that are both developmentall</w:t>
      </w:r>
      <w:r w:rsidRPr="49B1FC76" w:rsidR="047AAAA8">
        <w:rPr>
          <w:rFonts w:ascii="Aptos" w:hAnsi="Aptos" w:eastAsia="Aptos" w:cs="Aptos"/>
          <w:noProof w:val="0"/>
          <w:sz w:val="24"/>
          <w:szCs w:val="24"/>
          <w:lang w:val="en-GB"/>
        </w:rPr>
        <w:t>y</w:t>
      </w:r>
      <w:r w:rsidRPr="49B1FC76" w:rsidR="047AAAA8">
        <w:rPr>
          <w:rFonts w:ascii="Aptos" w:hAnsi="Aptos" w:eastAsia="Aptos" w:cs="Aptos"/>
          <w:noProof w:val="0"/>
          <w:sz w:val="24"/>
          <w:szCs w:val="24"/>
          <w:lang w:val="en-GB"/>
        </w:rPr>
        <w:t xml:space="preserve"> </w:t>
      </w:r>
      <w:r w:rsidRPr="49B1FC76" w:rsidR="047AAAA8">
        <w:rPr>
          <w:rFonts w:ascii="Aptos" w:hAnsi="Aptos" w:eastAsia="Aptos" w:cs="Aptos"/>
          <w:noProof w:val="0"/>
          <w:sz w:val="24"/>
          <w:szCs w:val="24"/>
          <w:lang w:val="en-GB"/>
        </w:rPr>
        <w:t>appropria</w:t>
      </w:r>
      <w:r w:rsidRPr="49B1FC76" w:rsidR="047AAAA8">
        <w:rPr>
          <w:rFonts w:ascii="Aptos" w:hAnsi="Aptos" w:eastAsia="Aptos" w:cs="Aptos"/>
          <w:noProof w:val="0"/>
          <w:sz w:val="24"/>
          <w:szCs w:val="24"/>
          <w:lang w:val="en-GB"/>
        </w:rPr>
        <w:t>t</w:t>
      </w:r>
      <w:r w:rsidRPr="49B1FC76" w:rsidR="047AAAA8">
        <w:rPr>
          <w:rFonts w:ascii="Aptos" w:hAnsi="Aptos" w:eastAsia="Aptos" w:cs="Aptos"/>
          <w:noProof w:val="0"/>
          <w:sz w:val="24"/>
          <w:szCs w:val="24"/>
          <w:lang w:val="en-GB"/>
        </w:rPr>
        <w:t>e</w:t>
      </w:r>
      <w:r w:rsidRPr="49B1FC76" w:rsidR="047AAAA8">
        <w:rPr>
          <w:rFonts w:ascii="Aptos" w:hAnsi="Aptos" w:eastAsia="Aptos" w:cs="Aptos"/>
          <w:noProof w:val="0"/>
          <w:sz w:val="24"/>
          <w:szCs w:val="24"/>
          <w:lang w:val="en-GB"/>
        </w:rPr>
        <w:t xml:space="preserve"> and personally meaningful.</w:t>
      </w:r>
    </w:p>
    <w:p w:rsidR="62027F3D" w:rsidP="49B1FC76" w:rsidRDefault="62027F3D" w14:paraId="1778F40F" w14:textId="1B279159">
      <w:pPr>
        <w:spacing w:before="240" w:beforeAutospacing="off" w:after="240" w:afterAutospacing="off"/>
        <w:rPr>
          <w:rFonts w:ascii="Aptos" w:hAnsi="Aptos" w:eastAsia="Aptos" w:cs="Aptos"/>
          <w:noProof w:val="0"/>
          <w:sz w:val="24"/>
          <w:szCs w:val="24"/>
          <w:lang w:val="en-GB"/>
        </w:rPr>
      </w:pPr>
      <w:r w:rsidRPr="49B1FC76" w:rsidR="047AAAA8">
        <w:rPr>
          <w:rFonts w:ascii="Aptos" w:hAnsi="Aptos" w:eastAsia="Aptos" w:cs="Aptos"/>
          <w:noProof w:val="0"/>
          <w:sz w:val="24"/>
          <w:szCs w:val="24"/>
          <w:lang w:val="en-GB"/>
        </w:rPr>
        <w:t xml:space="preserve">Narrative observations, such as learning stories, offer a qualitative, holistic picture of the child’s experiences. They move beyond deficit models of assessment by focusing on what children can do and how they engage with their environment. This aligns closely with the principle of the </w:t>
      </w:r>
      <w:r w:rsidRPr="49B1FC76" w:rsidR="047AAAA8">
        <w:rPr>
          <w:rFonts w:ascii="Aptos" w:hAnsi="Aptos" w:eastAsia="Aptos" w:cs="Aptos"/>
          <w:i w:val="0"/>
          <w:iCs w:val="0"/>
          <w:noProof w:val="0"/>
          <w:sz w:val="24"/>
          <w:szCs w:val="24"/>
          <w:lang w:val="en-GB"/>
        </w:rPr>
        <w:t>Unique Child</w:t>
      </w:r>
      <w:r w:rsidRPr="49B1FC76" w:rsidR="047AAAA8">
        <w:rPr>
          <w:rFonts w:ascii="Aptos" w:hAnsi="Aptos" w:eastAsia="Aptos" w:cs="Aptos"/>
          <w:i w:val="0"/>
          <w:iCs w:val="0"/>
          <w:noProof w:val="0"/>
          <w:sz w:val="28"/>
          <w:szCs w:val="28"/>
          <w:lang w:val="en-GB"/>
        </w:rPr>
        <w:t>,</w:t>
      </w:r>
      <w:r w:rsidRPr="49B1FC76" w:rsidR="047AAAA8">
        <w:rPr>
          <w:rFonts w:ascii="Aptos" w:hAnsi="Aptos" w:eastAsia="Aptos" w:cs="Aptos"/>
          <w:noProof w:val="0"/>
          <w:sz w:val="24"/>
          <w:szCs w:val="24"/>
          <w:lang w:val="en-GB"/>
        </w:rPr>
        <w:t xml:space="preserve"> as outlined in the </w:t>
      </w:r>
      <w:r w:rsidRPr="49B1FC76" w:rsidR="18276FA2">
        <w:rPr>
          <w:rFonts w:ascii="Aptos" w:hAnsi="Aptos" w:eastAsia="Aptos" w:cs="Aptos"/>
          <w:noProof w:val="0"/>
          <w:sz w:val="24"/>
          <w:szCs w:val="24"/>
          <w:lang w:val="en-GB"/>
        </w:rPr>
        <w:t>E</w:t>
      </w:r>
      <w:r w:rsidRPr="49B1FC76" w:rsidR="047AAAA8">
        <w:rPr>
          <w:rFonts w:ascii="Aptos" w:hAnsi="Aptos" w:eastAsia="Aptos" w:cs="Aptos"/>
          <w:noProof w:val="0"/>
          <w:sz w:val="24"/>
          <w:szCs w:val="24"/>
          <w:lang w:val="en-GB"/>
        </w:rPr>
        <w:t>yfs</w:t>
      </w:r>
      <w:r w:rsidRPr="49B1FC76" w:rsidR="047AAAA8">
        <w:rPr>
          <w:rFonts w:ascii="Aptos" w:hAnsi="Aptos" w:eastAsia="Aptos" w:cs="Aptos"/>
          <w:b w:val="1"/>
          <w:bCs w:val="1"/>
          <w:noProof w:val="0"/>
          <w:sz w:val="24"/>
          <w:szCs w:val="24"/>
          <w:lang w:val="en-GB"/>
        </w:rPr>
        <w:t xml:space="preserve"> (</w:t>
      </w:r>
      <w:r w:rsidRPr="49B1FC76" w:rsidR="047AAAA8">
        <w:rPr>
          <w:rFonts w:ascii="Aptos" w:hAnsi="Aptos" w:eastAsia="Aptos" w:cs="Aptos"/>
          <w:b w:val="0"/>
          <w:bCs w:val="0"/>
          <w:noProof w:val="0"/>
          <w:sz w:val="24"/>
          <w:szCs w:val="24"/>
          <w:lang w:val="en-GB"/>
        </w:rPr>
        <w:t>d</w:t>
      </w:r>
      <w:r w:rsidRPr="49B1FC76" w:rsidR="4C2E6ACD">
        <w:rPr>
          <w:rFonts w:ascii="Aptos" w:hAnsi="Aptos" w:eastAsia="Aptos" w:cs="Aptos"/>
          <w:b w:val="0"/>
          <w:bCs w:val="0"/>
          <w:noProof w:val="0"/>
          <w:sz w:val="24"/>
          <w:szCs w:val="24"/>
          <w:lang w:val="en-GB"/>
        </w:rPr>
        <w:t xml:space="preserve">epartment for </w:t>
      </w:r>
      <w:r w:rsidRPr="49B1FC76" w:rsidR="6FAC2A98">
        <w:rPr>
          <w:rFonts w:ascii="Aptos" w:hAnsi="Aptos" w:eastAsia="Aptos" w:cs="Aptos"/>
          <w:b w:val="0"/>
          <w:bCs w:val="0"/>
          <w:noProof w:val="0"/>
          <w:sz w:val="24"/>
          <w:szCs w:val="24"/>
          <w:lang w:val="en-GB"/>
        </w:rPr>
        <w:t>education</w:t>
      </w:r>
      <w:r w:rsidRPr="49B1FC76" w:rsidR="047AAAA8">
        <w:rPr>
          <w:rFonts w:ascii="Aptos" w:hAnsi="Aptos" w:eastAsia="Aptos" w:cs="Aptos"/>
          <w:b w:val="1"/>
          <w:bCs w:val="1"/>
          <w:noProof w:val="0"/>
          <w:sz w:val="24"/>
          <w:szCs w:val="24"/>
          <w:lang w:val="en-GB"/>
        </w:rPr>
        <w:t xml:space="preserve">, </w:t>
      </w:r>
      <w:r w:rsidRPr="49B1FC76" w:rsidR="047AAAA8">
        <w:rPr>
          <w:rFonts w:ascii="Aptos" w:hAnsi="Aptos" w:eastAsia="Aptos" w:cs="Aptos"/>
          <w:b w:val="0"/>
          <w:bCs w:val="0"/>
          <w:noProof w:val="0"/>
          <w:sz w:val="24"/>
          <w:szCs w:val="24"/>
          <w:lang w:val="en-GB"/>
        </w:rPr>
        <w:t>2024</w:t>
      </w:r>
      <w:r w:rsidRPr="49B1FC76" w:rsidR="047AAAA8">
        <w:rPr>
          <w:rFonts w:ascii="Aptos" w:hAnsi="Aptos" w:eastAsia="Aptos" w:cs="Aptos"/>
          <w:b w:val="1"/>
          <w:bCs w:val="1"/>
          <w:noProof w:val="0"/>
          <w:sz w:val="24"/>
          <w:szCs w:val="24"/>
          <w:lang w:val="en-GB"/>
        </w:rPr>
        <w:t>)</w:t>
      </w:r>
      <w:r w:rsidRPr="49B1FC76" w:rsidR="047AAAA8">
        <w:rPr>
          <w:rFonts w:ascii="Aptos" w:hAnsi="Aptos" w:eastAsia="Aptos" w:cs="Aptos"/>
          <w:noProof w:val="0"/>
          <w:sz w:val="24"/>
          <w:szCs w:val="24"/>
          <w:lang w:val="en-GB"/>
        </w:rPr>
        <w:t xml:space="preserve"> and </w:t>
      </w:r>
      <w:r w:rsidRPr="49B1FC76" w:rsidR="744B6BEC">
        <w:rPr>
          <w:rFonts w:ascii="Aptos" w:hAnsi="Aptos" w:eastAsia="Aptos" w:cs="Aptos"/>
          <w:noProof w:val="0"/>
          <w:sz w:val="24"/>
          <w:szCs w:val="24"/>
          <w:lang w:val="en-GB"/>
        </w:rPr>
        <w:t>Birth</w:t>
      </w:r>
      <w:r w:rsidRPr="49B1FC76" w:rsidR="047AAAA8">
        <w:rPr>
          <w:rFonts w:ascii="Aptos" w:hAnsi="Aptos" w:eastAsia="Aptos" w:cs="Aptos"/>
          <w:b w:val="1"/>
          <w:bCs w:val="1"/>
          <w:noProof w:val="0"/>
          <w:sz w:val="24"/>
          <w:szCs w:val="24"/>
          <w:lang w:val="en-GB"/>
        </w:rPr>
        <w:t xml:space="preserve"> </w:t>
      </w:r>
      <w:r w:rsidRPr="49B1FC76" w:rsidR="33B8C919">
        <w:rPr>
          <w:rFonts w:ascii="Aptos" w:hAnsi="Aptos" w:eastAsia="Aptos" w:cs="Aptos"/>
          <w:b w:val="0"/>
          <w:bCs w:val="0"/>
          <w:noProof w:val="0"/>
          <w:sz w:val="24"/>
          <w:szCs w:val="24"/>
          <w:lang w:val="en-GB"/>
        </w:rPr>
        <w:t>to</w:t>
      </w:r>
      <w:r w:rsidRPr="49B1FC76" w:rsidR="047AAAA8">
        <w:rPr>
          <w:rFonts w:ascii="Aptos" w:hAnsi="Aptos" w:eastAsia="Aptos" w:cs="Aptos"/>
          <w:b w:val="1"/>
          <w:bCs w:val="1"/>
          <w:noProof w:val="0"/>
          <w:sz w:val="24"/>
          <w:szCs w:val="24"/>
          <w:lang w:val="en-GB"/>
        </w:rPr>
        <w:t xml:space="preserve"> </w:t>
      </w:r>
      <w:r w:rsidRPr="49B1FC76" w:rsidR="7D15BFC1">
        <w:rPr>
          <w:rFonts w:ascii="Aptos" w:hAnsi="Aptos" w:eastAsia="Aptos" w:cs="Aptos"/>
          <w:b w:val="0"/>
          <w:bCs w:val="0"/>
          <w:noProof w:val="0"/>
          <w:sz w:val="24"/>
          <w:szCs w:val="24"/>
          <w:lang w:val="en-GB"/>
        </w:rPr>
        <w:t>5</w:t>
      </w:r>
      <w:r w:rsidRPr="49B1FC76" w:rsidR="047AAAA8">
        <w:rPr>
          <w:rFonts w:ascii="Aptos" w:hAnsi="Aptos" w:eastAsia="Aptos" w:cs="Aptos"/>
          <w:b w:val="1"/>
          <w:bCs w:val="1"/>
          <w:noProof w:val="0"/>
          <w:sz w:val="24"/>
          <w:szCs w:val="24"/>
          <w:lang w:val="en-GB"/>
        </w:rPr>
        <w:t xml:space="preserve"> </w:t>
      </w:r>
      <w:r w:rsidRPr="49B1FC76" w:rsidR="321E5A71">
        <w:rPr>
          <w:rFonts w:ascii="Aptos" w:hAnsi="Aptos" w:eastAsia="Aptos" w:cs="Aptos"/>
          <w:b w:val="0"/>
          <w:bCs w:val="0"/>
          <w:noProof w:val="0"/>
          <w:sz w:val="24"/>
          <w:szCs w:val="24"/>
          <w:lang w:val="en-GB"/>
        </w:rPr>
        <w:t>matters</w:t>
      </w:r>
      <w:r w:rsidRPr="49B1FC76" w:rsidR="047AAAA8">
        <w:rPr>
          <w:rFonts w:ascii="Aptos" w:hAnsi="Aptos" w:eastAsia="Aptos" w:cs="Aptos"/>
          <w:noProof w:val="0"/>
          <w:sz w:val="24"/>
          <w:szCs w:val="24"/>
          <w:lang w:val="en-GB"/>
        </w:rPr>
        <w:t xml:space="preserve"> Early </w:t>
      </w:r>
      <w:r w:rsidRPr="49B1FC76" w:rsidR="7C0B595F">
        <w:rPr>
          <w:rFonts w:ascii="Aptos" w:hAnsi="Aptos" w:eastAsia="Aptos" w:cs="Aptos"/>
          <w:noProof w:val="0"/>
          <w:sz w:val="24"/>
          <w:szCs w:val="24"/>
          <w:lang w:val="en-GB"/>
        </w:rPr>
        <w:t xml:space="preserve">years </w:t>
      </w:r>
      <w:r w:rsidRPr="49B1FC76" w:rsidR="7F7AA00D">
        <w:rPr>
          <w:rFonts w:ascii="Aptos" w:hAnsi="Aptos" w:eastAsia="Aptos" w:cs="Aptos"/>
          <w:noProof w:val="0"/>
          <w:sz w:val="24"/>
          <w:szCs w:val="24"/>
          <w:lang w:val="en-GB"/>
        </w:rPr>
        <w:t xml:space="preserve">coalition, </w:t>
      </w:r>
      <w:r w:rsidRPr="49B1FC76" w:rsidR="3ED7C869">
        <w:rPr>
          <w:rFonts w:ascii="Aptos" w:hAnsi="Aptos" w:eastAsia="Aptos" w:cs="Aptos"/>
          <w:noProof w:val="0"/>
          <w:sz w:val="24"/>
          <w:szCs w:val="24"/>
          <w:lang w:val="en-GB"/>
        </w:rPr>
        <w:t>(2021</w:t>
      </w:r>
      <w:r w:rsidRPr="49B1FC76" w:rsidR="030CAC22">
        <w:rPr>
          <w:rFonts w:ascii="Aptos" w:hAnsi="Aptos" w:eastAsia="Aptos" w:cs="Aptos"/>
          <w:noProof w:val="0"/>
          <w:sz w:val="24"/>
          <w:szCs w:val="24"/>
          <w:lang w:val="en-GB"/>
        </w:rPr>
        <w:t>b</w:t>
      </w:r>
      <w:r w:rsidRPr="49B1FC76" w:rsidR="047AAAA8">
        <w:rPr>
          <w:rFonts w:ascii="Aptos" w:hAnsi="Aptos" w:eastAsia="Aptos" w:cs="Aptos"/>
          <w:noProof w:val="0"/>
          <w:sz w:val="24"/>
          <w:szCs w:val="24"/>
          <w:lang w:val="en-GB"/>
        </w:rPr>
        <w:t>), which both stress the importance of individualised, strengths-based approaches.</w:t>
      </w:r>
    </w:p>
    <w:p w:rsidR="62027F3D" w:rsidP="49B1FC76" w:rsidRDefault="62027F3D" w14:paraId="71545BAA" w14:textId="4ED7EDED">
      <w:pPr>
        <w:spacing w:before="240" w:beforeAutospacing="off" w:after="240" w:afterAutospacing="off"/>
      </w:pPr>
      <w:r w:rsidRPr="49B1FC76" w:rsidR="047AAAA8">
        <w:rPr>
          <w:rFonts w:ascii="Aptos" w:hAnsi="Aptos" w:eastAsia="Aptos" w:cs="Aptos"/>
          <w:noProof w:val="0"/>
          <w:sz w:val="24"/>
          <w:szCs w:val="24"/>
          <w:lang w:val="en-GB"/>
        </w:rPr>
        <w:t xml:space="preserve">However, observation-based assessment requires reflective and skilled practitioners. Research by Basford and Bath (2014) </w:t>
      </w:r>
      <w:r w:rsidRPr="49B1FC76" w:rsidR="702AD48B">
        <w:rPr>
          <w:rFonts w:ascii="Aptos" w:hAnsi="Aptos" w:eastAsia="Aptos" w:cs="Aptos"/>
          <w:noProof w:val="0"/>
          <w:sz w:val="24"/>
          <w:szCs w:val="24"/>
          <w:lang w:val="en-GB"/>
        </w:rPr>
        <w:t>states that</w:t>
      </w:r>
      <w:r w:rsidRPr="49B1FC76" w:rsidR="047AAAA8">
        <w:rPr>
          <w:rFonts w:ascii="Aptos" w:hAnsi="Aptos" w:eastAsia="Aptos" w:cs="Aptos"/>
          <w:noProof w:val="0"/>
          <w:sz w:val="24"/>
          <w:szCs w:val="24"/>
          <w:lang w:val="en-GB"/>
        </w:rPr>
        <w:t xml:space="preserve"> observational data can be influenced by practitioner bias or inconsistencies in interpretation. Ensuring observations are contextualised, inclusive, and regularly reviewed</w:t>
      </w:r>
      <w:r w:rsidRPr="49B1FC76" w:rsidR="047AAAA8">
        <w:rPr>
          <w:rFonts w:ascii="Aptos" w:hAnsi="Aptos" w:eastAsia="Aptos" w:cs="Aptos"/>
          <w:noProof w:val="0"/>
          <w:sz w:val="24"/>
          <w:szCs w:val="24"/>
          <w:lang w:val="en-GB"/>
        </w:rPr>
        <w:t xml:space="preserve"> helps </w:t>
      </w:r>
      <w:r w:rsidRPr="49B1FC76" w:rsidR="047AAAA8">
        <w:rPr>
          <w:rFonts w:ascii="Aptos" w:hAnsi="Aptos" w:eastAsia="Aptos" w:cs="Aptos"/>
          <w:noProof w:val="0"/>
          <w:sz w:val="24"/>
          <w:szCs w:val="24"/>
          <w:lang w:val="en-GB"/>
        </w:rPr>
        <w:t>m</w:t>
      </w:r>
      <w:r w:rsidRPr="49B1FC76" w:rsidR="047AAAA8">
        <w:rPr>
          <w:rFonts w:ascii="Aptos" w:hAnsi="Aptos" w:eastAsia="Aptos" w:cs="Aptos"/>
          <w:noProof w:val="0"/>
          <w:sz w:val="24"/>
          <w:szCs w:val="24"/>
          <w:lang w:val="en-GB"/>
        </w:rPr>
        <w:t>aintain</w:t>
      </w:r>
      <w:r w:rsidRPr="49B1FC76" w:rsidR="047AAAA8">
        <w:rPr>
          <w:rFonts w:ascii="Aptos" w:hAnsi="Aptos" w:eastAsia="Aptos" w:cs="Aptos"/>
          <w:noProof w:val="0"/>
          <w:sz w:val="24"/>
          <w:szCs w:val="24"/>
          <w:lang w:val="en-GB"/>
        </w:rPr>
        <w:t xml:space="preserve"> accuracy and depth.</w:t>
      </w:r>
    </w:p>
    <w:p w:rsidR="62027F3D" w:rsidP="49B1FC76" w:rsidRDefault="62027F3D" w14:paraId="6E94533A" w14:textId="1328D3F6">
      <w:pPr>
        <w:spacing w:before="240" w:beforeAutospacing="off" w:after="240" w:afterAutospacing="off"/>
        <w:rPr>
          <w:rFonts w:ascii="Aptos" w:hAnsi="Aptos" w:eastAsia="Aptos" w:cs="Aptos"/>
          <w:noProof w:val="0"/>
          <w:sz w:val="24"/>
          <w:szCs w:val="24"/>
          <w:lang w:val="en-GB"/>
        </w:rPr>
      </w:pPr>
      <w:r w:rsidRPr="49B1FC76" w:rsidR="626957E9">
        <w:rPr>
          <w:rFonts w:ascii="Aptos" w:hAnsi="Aptos" w:eastAsia="Aptos" w:cs="Aptos"/>
          <w:noProof w:val="0"/>
          <w:sz w:val="24"/>
          <w:szCs w:val="24"/>
          <w:lang w:val="en-GB"/>
        </w:rPr>
        <w:t xml:space="preserve">Complementing observation are learning </w:t>
      </w:r>
      <w:r w:rsidRPr="49B1FC76" w:rsidR="69ACE667">
        <w:rPr>
          <w:rFonts w:ascii="Aptos" w:hAnsi="Aptos" w:eastAsia="Aptos" w:cs="Aptos"/>
          <w:noProof w:val="0"/>
          <w:sz w:val="24"/>
          <w:szCs w:val="24"/>
          <w:lang w:val="en-GB"/>
        </w:rPr>
        <w:t>profiles, systematic</w:t>
      </w:r>
      <w:r w:rsidRPr="49B1FC76" w:rsidR="626957E9">
        <w:rPr>
          <w:rFonts w:ascii="Aptos" w:hAnsi="Aptos" w:eastAsia="Aptos" w:cs="Aptos"/>
          <w:noProof w:val="0"/>
          <w:sz w:val="24"/>
          <w:szCs w:val="24"/>
          <w:lang w:val="en-GB"/>
        </w:rPr>
        <w:t xml:space="preserve"> records that track individual children’s developmental progress over time. These profiles typically include key observations, photographs, practitioner commentary, and links to developmental frameworks such as the EYFS or Development Matters. Digital </w:t>
      </w:r>
      <w:r w:rsidRPr="49B1FC76" w:rsidR="451DCA4C">
        <w:rPr>
          <w:rFonts w:ascii="Aptos" w:hAnsi="Aptos" w:eastAsia="Aptos" w:cs="Aptos"/>
          <w:noProof w:val="0"/>
          <w:sz w:val="24"/>
          <w:szCs w:val="24"/>
          <w:lang w:val="en-GB"/>
        </w:rPr>
        <w:t>versions also</w:t>
      </w:r>
      <w:r w:rsidRPr="49B1FC76" w:rsidR="626957E9">
        <w:rPr>
          <w:rFonts w:ascii="Aptos" w:hAnsi="Aptos" w:eastAsia="Aptos" w:cs="Aptos"/>
          <w:noProof w:val="0"/>
          <w:sz w:val="24"/>
          <w:szCs w:val="24"/>
          <w:lang w:val="en-GB"/>
        </w:rPr>
        <w:t xml:space="preserve"> allow for parental contributions, reinforcing shared understanding between educators and families.</w:t>
      </w:r>
    </w:p>
    <w:p w:rsidR="62027F3D" w:rsidP="49B1FC76" w:rsidRDefault="62027F3D" w14:paraId="133B5659" w14:textId="0AE89218">
      <w:pPr>
        <w:pStyle w:val="Normal"/>
        <w:spacing w:before="240" w:beforeAutospacing="off" w:after="240" w:afterAutospacing="off"/>
      </w:pPr>
      <w:r w:rsidRPr="49B1FC76" w:rsidR="626957E9">
        <w:rPr>
          <w:rFonts w:ascii="Aptos" w:hAnsi="Aptos" w:eastAsia="Aptos" w:cs="Aptos"/>
          <w:noProof w:val="0"/>
          <w:sz w:val="24"/>
          <w:szCs w:val="24"/>
          <w:lang w:val="en-GB"/>
        </w:rPr>
        <w:t xml:space="preserve">Learning profiles </w:t>
      </w:r>
      <w:r w:rsidRPr="49B1FC76" w:rsidR="626957E9">
        <w:rPr>
          <w:rFonts w:ascii="Aptos" w:hAnsi="Aptos" w:eastAsia="Aptos" w:cs="Aptos"/>
          <w:noProof w:val="0"/>
          <w:sz w:val="24"/>
          <w:szCs w:val="24"/>
          <w:lang w:val="en-GB"/>
        </w:rPr>
        <w:t>provide</w:t>
      </w:r>
      <w:r w:rsidRPr="49B1FC76" w:rsidR="626957E9">
        <w:rPr>
          <w:rFonts w:ascii="Aptos" w:hAnsi="Aptos" w:eastAsia="Aptos" w:cs="Aptos"/>
          <w:noProof w:val="0"/>
          <w:sz w:val="24"/>
          <w:szCs w:val="24"/>
          <w:lang w:val="en-GB"/>
        </w:rPr>
        <w:t xml:space="preserve"> a structured way to document the child’s learning journey and </w:t>
      </w:r>
      <w:r w:rsidRPr="49B1FC76" w:rsidR="626957E9">
        <w:rPr>
          <w:rFonts w:ascii="Aptos" w:hAnsi="Aptos" w:eastAsia="Aptos" w:cs="Aptos"/>
          <w:noProof w:val="0"/>
          <w:sz w:val="24"/>
          <w:szCs w:val="24"/>
          <w:lang w:val="en-GB"/>
        </w:rPr>
        <w:t>identify</w:t>
      </w:r>
      <w:r w:rsidRPr="49B1FC76" w:rsidR="626957E9">
        <w:rPr>
          <w:rFonts w:ascii="Aptos" w:hAnsi="Aptos" w:eastAsia="Aptos" w:cs="Aptos"/>
          <w:noProof w:val="0"/>
          <w:sz w:val="24"/>
          <w:szCs w:val="24"/>
          <w:lang w:val="en-GB"/>
        </w:rPr>
        <w:t xml:space="preserve"> patterns in development. According to Nutbrown (2011c), profiles help make learning “visible” and support practitioners in recognising individual learning styles and progress. When used </w:t>
      </w:r>
      <w:r w:rsidRPr="49B1FC76" w:rsidR="24695F96">
        <w:rPr>
          <w:rFonts w:ascii="Aptos" w:hAnsi="Aptos" w:eastAsia="Aptos" w:cs="Aptos"/>
          <w:noProof w:val="0"/>
          <w:sz w:val="24"/>
          <w:szCs w:val="24"/>
          <w:lang w:val="en-GB"/>
        </w:rPr>
        <w:t>flexibly, not</w:t>
      </w:r>
      <w:r w:rsidRPr="49B1FC76" w:rsidR="626957E9">
        <w:rPr>
          <w:rFonts w:ascii="Aptos" w:hAnsi="Aptos" w:eastAsia="Aptos" w:cs="Aptos"/>
          <w:noProof w:val="0"/>
          <w:sz w:val="24"/>
          <w:szCs w:val="24"/>
          <w:lang w:val="en-GB"/>
        </w:rPr>
        <w:t xml:space="preserve"> just as a </w:t>
      </w:r>
      <w:r w:rsidRPr="49B1FC76" w:rsidR="60642410">
        <w:rPr>
          <w:rFonts w:ascii="Aptos" w:hAnsi="Aptos" w:eastAsia="Aptos" w:cs="Aptos"/>
          <w:noProof w:val="0"/>
          <w:sz w:val="24"/>
          <w:szCs w:val="24"/>
          <w:lang w:val="en-GB"/>
        </w:rPr>
        <w:t>checklist, they</w:t>
      </w:r>
      <w:r w:rsidRPr="49B1FC76" w:rsidR="626957E9">
        <w:rPr>
          <w:rFonts w:ascii="Aptos" w:hAnsi="Aptos" w:eastAsia="Aptos" w:cs="Aptos"/>
          <w:noProof w:val="0"/>
          <w:sz w:val="24"/>
          <w:szCs w:val="24"/>
          <w:lang w:val="en-GB"/>
        </w:rPr>
        <w:t xml:space="preserve"> can uphold the philosophy of the Unique Child by acknowledging variation and celebrating non-linear progress.</w:t>
      </w:r>
    </w:p>
    <w:p w:rsidR="62027F3D" w:rsidP="49B1FC76" w:rsidRDefault="62027F3D" w14:paraId="65B7430A" w14:textId="17EA4856">
      <w:pPr>
        <w:pStyle w:val="Normal"/>
        <w:spacing w:before="240" w:beforeAutospacing="off" w:after="240" w:afterAutospacing="off"/>
      </w:pPr>
      <w:r w:rsidRPr="49B1FC76" w:rsidR="626957E9">
        <w:rPr>
          <w:rFonts w:ascii="Aptos" w:hAnsi="Aptos" w:eastAsia="Aptos" w:cs="Aptos"/>
          <w:noProof w:val="0"/>
          <w:sz w:val="24"/>
          <w:szCs w:val="24"/>
          <w:lang w:val="en-GB"/>
        </w:rPr>
        <w:t xml:space="preserve">Still, there is a risk that profiles become overly focused on data collection. As Bradbury and Roberts-Holmes (2017b) warn, the increasing pressure to </w:t>
      </w:r>
      <w:r w:rsidRPr="49B1FC76" w:rsidR="626957E9">
        <w:rPr>
          <w:rFonts w:ascii="Aptos" w:hAnsi="Aptos" w:eastAsia="Aptos" w:cs="Aptos"/>
          <w:noProof w:val="0"/>
          <w:sz w:val="24"/>
          <w:szCs w:val="24"/>
          <w:lang w:val="en-GB"/>
        </w:rPr>
        <w:t>demonstrate</w:t>
      </w:r>
      <w:r w:rsidRPr="49B1FC76" w:rsidR="626957E9">
        <w:rPr>
          <w:rFonts w:ascii="Aptos" w:hAnsi="Aptos" w:eastAsia="Aptos" w:cs="Aptos"/>
          <w:noProof w:val="0"/>
          <w:sz w:val="24"/>
          <w:szCs w:val="24"/>
          <w:lang w:val="en-GB"/>
        </w:rPr>
        <w:t xml:space="preserve"> ‘progress’ can lead to superficial recording that undermines the richness of play-based learning. It is therefore </w:t>
      </w:r>
      <w:r w:rsidRPr="49B1FC76" w:rsidR="7D7662D2">
        <w:rPr>
          <w:rFonts w:ascii="Aptos" w:hAnsi="Aptos" w:eastAsia="Aptos" w:cs="Aptos"/>
          <w:noProof w:val="0"/>
          <w:sz w:val="24"/>
          <w:szCs w:val="24"/>
          <w:lang w:val="en-GB"/>
        </w:rPr>
        <w:t>important that</w:t>
      </w:r>
      <w:r w:rsidRPr="49B1FC76" w:rsidR="626957E9">
        <w:rPr>
          <w:rFonts w:ascii="Aptos" w:hAnsi="Aptos" w:eastAsia="Aptos" w:cs="Aptos"/>
          <w:noProof w:val="0"/>
          <w:sz w:val="24"/>
          <w:szCs w:val="24"/>
          <w:lang w:val="en-GB"/>
        </w:rPr>
        <w:t xml:space="preserve"> learning profiles </w:t>
      </w:r>
      <w:r w:rsidRPr="49B1FC76" w:rsidR="626957E9">
        <w:rPr>
          <w:rFonts w:ascii="Aptos" w:hAnsi="Aptos" w:eastAsia="Aptos" w:cs="Aptos"/>
          <w:noProof w:val="0"/>
          <w:sz w:val="24"/>
          <w:szCs w:val="24"/>
          <w:lang w:val="en-GB"/>
        </w:rPr>
        <w:t>remain</w:t>
      </w:r>
      <w:r w:rsidRPr="49B1FC76" w:rsidR="626957E9">
        <w:rPr>
          <w:rFonts w:ascii="Aptos" w:hAnsi="Aptos" w:eastAsia="Aptos" w:cs="Aptos"/>
          <w:noProof w:val="0"/>
          <w:sz w:val="24"/>
          <w:szCs w:val="24"/>
          <w:lang w:val="en-GB"/>
        </w:rPr>
        <w:t xml:space="preserve"> a reflective tool, supporting rather than constraining child-centred pedagogy.</w:t>
      </w:r>
    </w:p>
    <w:p w:rsidR="62027F3D" w:rsidP="49B1FC76" w:rsidRDefault="62027F3D" w14:paraId="487DB88C" w14:textId="52940D4B">
      <w:pPr>
        <w:pStyle w:val="Normal"/>
        <w:spacing w:before="240" w:beforeAutospacing="off" w:after="240" w:afterAutospacing="off"/>
        <w:rPr>
          <w:rFonts w:ascii="Aptos" w:hAnsi="Aptos" w:eastAsia="Aptos" w:cs="Aptos"/>
          <w:noProof w:val="0"/>
          <w:sz w:val="24"/>
          <w:szCs w:val="24"/>
          <w:lang w:val="en-GB"/>
        </w:rPr>
      </w:pPr>
      <w:r w:rsidRPr="49B1FC76" w:rsidR="2429EEDB">
        <w:rPr>
          <w:rFonts w:ascii="Aptos" w:hAnsi="Aptos" w:eastAsia="Aptos" w:cs="Aptos"/>
          <w:noProof w:val="0"/>
          <w:sz w:val="24"/>
          <w:szCs w:val="24"/>
          <w:lang w:val="en-GB"/>
        </w:rPr>
        <w:t>A critical evaluation of assessment and progress tracking tools in early childhood education must consider how well these methods uphold the Unique Child principle. While tools like observations and learning profiles offer flexibility and personalisation, their effectiveness depends on how they are implemented within play-based, child-led settings.</w:t>
      </w:r>
    </w:p>
    <w:p w:rsidR="62027F3D" w:rsidP="49B1FC76" w:rsidRDefault="62027F3D" w14:paraId="2143B26E" w14:textId="50466D71">
      <w:pPr>
        <w:pStyle w:val="Normal"/>
        <w:spacing w:before="240" w:beforeAutospacing="off" w:after="240" w:afterAutospacing="off"/>
        <w:rPr>
          <w:rFonts w:ascii="Aptos" w:hAnsi="Aptos" w:eastAsia="Aptos" w:cs="Aptos"/>
          <w:noProof w:val="0"/>
          <w:sz w:val="24"/>
          <w:szCs w:val="24"/>
          <w:lang w:val="en-GB"/>
        </w:rPr>
      </w:pPr>
      <w:r w:rsidRPr="49B1FC76" w:rsidR="2429EEDB">
        <w:rPr>
          <w:rFonts w:ascii="Aptos" w:hAnsi="Aptos" w:eastAsia="Aptos" w:cs="Aptos"/>
          <w:noProof w:val="0"/>
          <w:sz w:val="24"/>
          <w:szCs w:val="24"/>
          <w:lang w:val="en-GB"/>
        </w:rPr>
        <w:t>One major strength of observational assessment is its capacity to capture learning as it unfolds in real contexts. Learning stories and narrative observations, as described by Carr and Lee (2012), allow practitioners to see children as competent, capable learners and reflect on the dispositions they bring to learning. These methods support holistic development, accommodating cognitive, emotional, and social dimensions that often fall outside standardised checklists.</w:t>
      </w:r>
    </w:p>
    <w:p w:rsidR="62027F3D" w:rsidP="49B1FC76" w:rsidRDefault="62027F3D" w14:paraId="4A58B1ED" w14:textId="79503E76">
      <w:pPr>
        <w:pStyle w:val="Normal"/>
        <w:spacing w:before="240" w:beforeAutospacing="off" w:after="240" w:afterAutospacing="off"/>
        <w:rPr>
          <w:rFonts w:ascii="Aptos" w:hAnsi="Aptos" w:eastAsia="Aptos" w:cs="Aptos"/>
          <w:noProof w:val="0"/>
          <w:sz w:val="24"/>
          <w:szCs w:val="24"/>
          <w:lang w:val="en-GB"/>
        </w:rPr>
      </w:pPr>
      <w:r w:rsidRPr="49B1FC76" w:rsidR="618BDB4F">
        <w:rPr>
          <w:rFonts w:ascii="Aptos" w:hAnsi="Aptos" w:eastAsia="Aptos" w:cs="Aptos"/>
          <w:noProof w:val="0"/>
          <w:sz w:val="24"/>
          <w:szCs w:val="24"/>
          <w:lang w:val="en-GB"/>
        </w:rPr>
        <w:t>L</w:t>
      </w:r>
      <w:r w:rsidRPr="49B1FC76" w:rsidR="5F52DBF8">
        <w:rPr>
          <w:rFonts w:ascii="Aptos" w:hAnsi="Aptos" w:eastAsia="Aptos" w:cs="Aptos"/>
          <w:noProof w:val="0"/>
          <w:sz w:val="24"/>
          <w:szCs w:val="24"/>
          <w:lang w:val="en-GB"/>
        </w:rPr>
        <w:t>earning profiles, especially when co-constructed with families and based on reflective observations, also support child-centred pedagogy. When used well, they create a longitudinal, personalised account of a child's development, supporting continuity across settings and fostering strong home–school links (Nutbrown, 2011). Digital tools</w:t>
      </w:r>
      <w:r w:rsidRPr="49B1FC76" w:rsidR="422E966D">
        <w:rPr>
          <w:rFonts w:ascii="Aptos" w:hAnsi="Aptos" w:eastAsia="Aptos" w:cs="Aptos"/>
          <w:noProof w:val="0"/>
          <w:sz w:val="24"/>
          <w:szCs w:val="24"/>
          <w:lang w:val="en-GB"/>
        </w:rPr>
        <w:t xml:space="preserve"> </w:t>
      </w:r>
      <w:r w:rsidRPr="49B1FC76" w:rsidR="5F52DBF8">
        <w:rPr>
          <w:rFonts w:ascii="Aptos" w:hAnsi="Aptos" w:eastAsia="Aptos" w:cs="Aptos"/>
          <w:noProof w:val="0"/>
          <w:sz w:val="24"/>
          <w:szCs w:val="24"/>
          <w:lang w:val="en-GB"/>
        </w:rPr>
        <w:t xml:space="preserve">further enable this connection, </w:t>
      </w:r>
      <w:r w:rsidRPr="49B1FC76" w:rsidR="5F52DBF8">
        <w:rPr>
          <w:rFonts w:ascii="Aptos" w:hAnsi="Aptos" w:eastAsia="Aptos" w:cs="Aptos"/>
          <w:noProof w:val="0"/>
          <w:sz w:val="24"/>
          <w:szCs w:val="24"/>
          <w:lang w:val="en-GB"/>
        </w:rPr>
        <w:t>facilitating</w:t>
      </w:r>
      <w:r w:rsidRPr="49B1FC76" w:rsidR="5F52DBF8">
        <w:rPr>
          <w:rFonts w:ascii="Aptos" w:hAnsi="Aptos" w:eastAsia="Aptos" w:cs="Aptos"/>
          <w:noProof w:val="0"/>
          <w:sz w:val="24"/>
          <w:szCs w:val="24"/>
          <w:lang w:val="en-GB"/>
        </w:rPr>
        <w:t xml:space="preserve"> real-time sharing of progress and strengthening parental engagement.</w:t>
      </w:r>
    </w:p>
    <w:p w:rsidR="62027F3D" w:rsidP="49B1FC76" w:rsidRDefault="62027F3D" w14:paraId="7AB57DF3" w14:textId="01FFECC3">
      <w:pPr>
        <w:pStyle w:val="Normal"/>
        <w:spacing w:before="240" w:beforeAutospacing="off" w:after="240" w:afterAutospacing="off"/>
        <w:rPr>
          <w:rFonts w:ascii="Aptos" w:hAnsi="Aptos" w:eastAsia="Aptos" w:cs="Aptos"/>
          <w:noProof w:val="0"/>
          <w:sz w:val="24"/>
          <w:szCs w:val="24"/>
          <w:lang w:val="en-GB"/>
        </w:rPr>
      </w:pPr>
      <w:r w:rsidRPr="49B1FC76" w:rsidR="5F52DBF8">
        <w:rPr>
          <w:rFonts w:ascii="Aptos" w:hAnsi="Aptos" w:eastAsia="Aptos" w:cs="Aptos"/>
          <w:noProof w:val="0"/>
          <w:sz w:val="24"/>
          <w:szCs w:val="24"/>
          <w:lang w:val="en-GB"/>
        </w:rPr>
        <w:t xml:space="preserve">Progress tracking, when flexible, helps practitioners plan responsive provision. Frameworks such as Birth to 5 Matters </w:t>
      </w:r>
      <w:r w:rsidRPr="49B1FC76" w:rsidR="255ACFB0">
        <w:rPr>
          <w:rFonts w:ascii="Aptos" w:hAnsi="Aptos" w:eastAsia="Aptos" w:cs="Aptos"/>
          <w:noProof w:val="0"/>
          <w:sz w:val="24"/>
          <w:szCs w:val="24"/>
          <w:lang w:val="en-GB"/>
        </w:rPr>
        <w:t>Early years</w:t>
      </w:r>
      <w:r w:rsidRPr="49B1FC76" w:rsidR="3AE9A37E">
        <w:rPr>
          <w:rFonts w:ascii="Aptos" w:hAnsi="Aptos" w:eastAsia="Aptos" w:cs="Aptos"/>
          <w:noProof w:val="0"/>
          <w:sz w:val="24"/>
          <w:szCs w:val="24"/>
          <w:lang w:val="en-GB"/>
        </w:rPr>
        <w:t xml:space="preserve"> </w:t>
      </w:r>
      <w:r w:rsidRPr="49B1FC76" w:rsidR="1C29BB7B">
        <w:rPr>
          <w:rFonts w:ascii="Aptos" w:hAnsi="Aptos" w:eastAsia="Aptos" w:cs="Aptos"/>
          <w:noProof w:val="0"/>
          <w:sz w:val="24"/>
          <w:szCs w:val="24"/>
          <w:lang w:val="en-GB"/>
        </w:rPr>
        <w:t>coalition</w:t>
      </w:r>
      <w:r w:rsidRPr="49B1FC76" w:rsidR="5F52DBF8">
        <w:rPr>
          <w:rFonts w:ascii="Aptos" w:hAnsi="Aptos" w:eastAsia="Aptos" w:cs="Aptos"/>
          <w:noProof w:val="0"/>
          <w:sz w:val="24"/>
          <w:szCs w:val="24"/>
          <w:lang w:val="en-GB"/>
        </w:rPr>
        <w:t xml:space="preserve">, </w:t>
      </w:r>
      <w:r w:rsidRPr="49B1FC76" w:rsidR="135EF610">
        <w:rPr>
          <w:rFonts w:ascii="Aptos" w:hAnsi="Aptos" w:eastAsia="Aptos" w:cs="Aptos"/>
          <w:noProof w:val="0"/>
          <w:sz w:val="24"/>
          <w:szCs w:val="24"/>
          <w:lang w:val="en-GB"/>
        </w:rPr>
        <w:t>(</w:t>
      </w:r>
      <w:r w:rsidRPr="49B1FC76" w:rsidR="5F52DBF8">
        <w:rPr>
          <w:rFonts w:ascii="Aptos" w:hAnsi="Aptos" w:eastAsia="Aptos" w:cs="Aptos"/>
          <w:noProof w:val="0"/>
          <w:sz w:val="24"/>
          <w:szCs w:val="24"/>
          <w:lang w:val="en-GB"/>
        </w:rPr>
        <w:t>2021) offer developmental ranges rather than strict milestones, promoting professional judgement and a focus on well-being, relationships, and agency.</w:t>
      </w:r>
    </w:p>
    <w:p w:rsidR="62027F3D" w:rsidP="49B1FC76" w:rsidRDefault="62027F3D" w14:paraId="610AF2FA" w14:textId="587B8AC8">
      <w:pPr>
        <w:pStyle w:val="Normal"/>
        <w:spacing w:before="240" w:beforeAutospacing="off" w:after="240" w:afterAutospacing="off"/>
      </w:pPr>
      <w:r w:rsidRPr="49B1FC76" w:rsidR="5F52DBF8">
        <w:rPr>
          <w:rFonts w:ascii="Aptos" w:hAnsi="Aptos" w:eastAsia="Aptos" w:cs="Aptos"/>
          <w:noProof w:val="0"/>
          <w:sz w:val="24"/>
          <w:szCs w:val="24"/>
          <w:lang w:val="en-GB"/>
        </w:rPr>
        <w:t xml:space="preserve">Despite their strengths, both observations and learning profiles carry limitations. Observational assessments can be subject to bias or inconsistency, particularly if staff lack training or time for reflective </w:t>
      </w:r>
      <w:r w:rsidRPr="49B1FC76" w:rsidR="5F52DBF8">
        <w:rPr>
          <w:rFonts w:ascii="Aptos" w:hAnsi="Aptos" w:eastAsia="Aptos" w:cs="Aptos"/>
          <w:noProof w:val="0"/>
          <w:sz w:val="24"/>
          <w:szCs w:val="24"/>
          <w:lang w:val="en-GB"/>
        </w:rPr>
        <w:t>analysis, Basford</w:t>
      </w:r>
      <w:r w:rsidRPr="49B1FC76" w:rsidR="5F52DBF8">
        <w:rPr>
          <w:rFonts w:ascii="Aptos" w:hAnsi="Aptos" w:eastAsia="Aptos" w:cs="Aptos"/>
          <w:noProof w:val="0"/>
          <w:sz w:val="24"/>
          <w:szCs w:val="24"/>
          <w:lang w:val="en-GB"/>
        </w:rPr>
        <w:t xml:space="preserve"> &amp; Bath, (2014). There is also the risk of focusing too much on capturing ‘evidence’ to meet accountability demands, rather than using observations to inform responsive practice.</w:t>
      </w:r>
    </w:p>
    <w:p w:rsidR="62027F3D" w:rsidP="49B1FC76" w:rsidRDefault="62027F3D" w14:paraId="6D3C41B4" w14:textId="56D0A52E">
      <w:pPr>
        <w:pStyle w:val="Normal"/>
        <w:spacing w:before="240" w:beforeAutospacing="off" w:after="240" w:afterAutospacing="off"/>
      </w:pPr>
      <w:r w:rsidRPr="49B1FC76" w:rsidR="5F52DBF8">
        <w:rPr>
          <w:rFonts w:ascii="Aptos" w:hAnsi="Aptos" w:eastAsia="Aptos" w:cs="Aptos"/>
          <w:noProof w:val="0"/>
          <w:sz w:val="24"/>
          <w:szCs w:val="24"/>
          <w:lang w:val="en-GB"/>
        </w:rPr>
        <w:t xml:space="preserve">Similarly, learning profiles may become overly </w:t>
      </w:r>
      <w:r w:rsidRPr="49B1FC76" w:rsidR="22995111">
        <w:rPr>
          <w:rFonts w:ascii="Aptos" w:hAnsi="Aptos" w:eastAsia="Aptos" w:cs="Aptos"/>
          <w:noProof w:val="0"/>
          <w:sz w:val="24"/>
          <w:szCs w:val="24"/>
          <w:lang w:val="en-GB"/>
        </w:rPr>
        <w:t>official</w:t>
      </w:r>
      <w:r w:rsidRPr="49B1FC76" w:rsidR="5F52DBF8">
        <w:rPr>
          <w:rFonts w:ascii="Aptos" w:hAnsi="Aptos" w:eastAsia="Aptos" w:cs="Aptos"/>
          <w:noProof w:val="0"/>
          <w:sz w:val="24"/>
          <w:szCs w:val="24"/>
          <w:lang w:val="en-GB"/>
        </w:rPr>
        <w:t>. If treated as a product rather than a process, they can prioritise outcomes over exploration and individuality. Bradbury and Roberts-Holmes (2017</w:t>
      </w:r>
      <w:r w:rsidRPr="49B1FC76" w:rsidR="61460F13">
        <w:rPr>
          <w:rFonts w:ascii="Aptos" w:hAnsi="Aptos" w:eastAsia="Aptos" w:cs="Aptos"/>
          <w:noProof w:val="0"/>
          <w:sz w:val="24"/>
          <w:szCs w:val="24"/>
          <w:lang w:val="en-GB"/>
        </w:rPr>
        <w:t>b</w:t>
      </w:r>
      <w:r w:rsidRPr="49B1FC76" w:rsidR="5F52DBF8">
        <w:rPr>
          <w:rFonts w:ascii="Aptos" w:hAnsi="Aptos" w:eastAsia="Aptos" w:cs="Aptos"/>
          <w:noProof w:val="0"/>
          <w:sz w:val="24"/>
          <w:szCs w:val="24"/>
          <w:lang w:val="en-GB"/>
        </w:rPr>
        <w:t>) warn that digital assessment systems may contribute to the “datafication” of early childhood, potentially undermining the spontaneity and depth of play-based learning.</w:t>
      </w:r>
    </w:p>
    <w:p w:rsidR="62027F3D" w:rsidP="49B1FC76" w:rsidRDefault="62027F3D" w14:paraId="05B5B1C3" w14:textId="15DE09B8">
      <w:pPr>
        <w:pStyle w:val="Normal"/>
        <w:spacing w:before="240" w:beforeAutospacing="off" w:after="240" w:afterAutospacing="off"/>
      </w:pPr>
      <w:r w:rsidRPr="49B1FC76" w:rsidR="5F52DBF8">
        <w:rPr>
          <w:rFonts w:ascii="Aptos" w:hAnsi="Aptos" w:eastAsia="Aptos" w:cs="Aptos"/>
          <w:noProof w:val="0"/>
          <w:sz w:val="24"/>
          <w:szCs w:val="24"/>
          <w:lang w:val="en-GB"/>
        </w:rPr>
        <w:t>Progress tracking itself can become problematic if it enforces normative expectations. As Osgood</w:t>
      </w:r>
      <w:r w:rsidRPr="49B1FC76" w:rsidR="414DE648">
        <w:rPr>
          <w:rFonts w:ascii="Aptos" w:hAnsi="Aptos" w:eastAsia="Aptos" w:cs="Aptos"/>
          <w:noProof w:val="0"/>
          <w:sz w:val="24"/>
          <w:szCs w:val="24"/>
          <w:lang w:val="en-GB"/>
        </w:rPr>
        <w:t xml:space="preserve"> and Mohandas</w:t>
      </w:r>
      <w:r w:rsidRPr="49B1FC76" w:rsidR="5F52DBF8">
        <w:rPr>
          <w:rFonts w:ascii="Aptos" w:hAnsi="Aptos" w:eastAsia="Aptos" w:cs="Aptos"/>
          <w:noProof w:val="0"/>
          <w:sz w:val="24"/>
          <w:szCs w:val="24"/>
          <w:lang w:val="en-GB"/>
        </w:rPr>
        <w:t xml:space="preserve"> (2022) argues, rigid milestone tracking risks positioning some children as ‘behind’, which can </w:t>
      </w:r>
      <w:r w:rsidRPr="49B1FC76" w:rsidR="5F52DBF8">
        <w:rPr>
          <w:rFonts w:ascii="Aptos" w:hAnsi="Aptos" w:eastAsia="Aptos" w:cs="Aptos"/>
          <w:noProof w:val="0"/>
          <w:sz w:val="24"/>
          <w:szCs w:val="24"/>
          <w:lang w:val="en-GB"/>
        </w:rPr>
        <w:t>pathologies natural variations in development and undermine inclusion—particularly for children with SEND or EAL backgrounds.</w:t>
      </w:r>
    </w:p>
    <w:p w:rsidR="62027F3D" w:rsidP="49B1FC76" w:rsidRDefault="62027F3D" w14:paraId="035DBF7C" w14:textId="73E24BEE">
      <w:pPr>
        <w:pStyle w:val="Normal"/>
        <w:spacing w:before="240" w:beforeAutospacing="off" w:after="240" w:afterAutospacing="off"/>
        <w:rPr>
          <w:u w:val="single"/>
        </w:rPr>
      </w:pPr>
      <w:r w:rsidRPr="49B1FC76" w:rsidR="06A24A07">
        <w:rPr>
          <w:rFonts w:ascii="Aptos" w:hAnsi="Aptos" w:eastAsia="Aptos" w:cs="Aptos"/>
          <w:noProof w:val="0"/>
          <w:sz w:val="24"/>
          <w:szCs w:val="24"/>
          <w:lang w:val="en-GB"/>
        </w:rPr>
        <w:t>Darling-Hammond and Oakes (</w:t>
      </w:r>
      <w:r w:rsidRPr="49B1FC76" w:rsidR="5482D49F">
        <w:rPr>
          <w:rFonts w:ascii="Aptos" w:hAnsi="Aptos" w:eastAsia="Aptos" w:cs="Aptos"/>
          <w:noProof w:val="0"/>
          <w:sz w:val="24"/>
          <w:szCs w:val="24"/>
          <w:lang w:val="en-GB"/>
        </w:rPr>
        <w:t xml:space="preserve">2021) Recommend </w:t>
      </w:r>
      <w:r w:rsidRPr="49B1FC76" w:rsidR="5F52DBF8">
        <w:rPr>
          <w:rFonts w:ascii="Aptos" w:hAnsi="Aptos" w:eastAsia="Aptos" w:cs="Aptos"/>
          <w:noProof w:val="0"/>
          <w:sz w:val="24"/>
          <w:szCs w:val="24"/>
          <w:lang w:val="en-GB"/>
        </w:rPr>
        <w:t xml:space="preserve">Prioritise practitioner reflection: Ensure staff have time and training to carry out high-quality, meaningful observations that go beyond surface-level </w:t>
      </w:r>
      <w:r w:rsidRPr="49B1FC76" w:rsidR="797E8717">
        <w:rPr>
          <w:rFonts w:ascii="Aptos" w:hAnsi="Aptos" w:eastAsia="Aptos" w:cs="Aptos"/>
          <w:noProof w:val="0"/>
          <w:sz w:val="24"/>
          <w:szCs w:val="24"/>
          <w:lang w:val="en-GB"/>
        </w:rPr>
        <w:t>recording. Use</w:t>
      </w:r>
      <w:r w:rsidRPr="49B1FC76" w:rsidR="5F52DBF8">
        <w:rPr>
          <w:rFonts w:ascii="Aptos" w:hAnsi="Aptos" w:eastAsia="Aptos" w:cs="Aptos"/>
          <w:noProof w:val="0"/>
          <w:sz w:val="24"/>
          <w:szCs w:val="24"/>
          <w:lang w:val="en-GB"/>
        </w:rPr>
        <w:t xml:space="preserve"> frameworks flexibly: Adopt tools like Birth to 5 Matters that allow for varied developmental trajectories, reducing pressure to fit children into narrow </w:t>
      </w:r>
      <w:r w:rsidRPr="49B1FC76" w:rsidR="4FD5B3DE">
        <w:rPr>
          <w:rFonts w:ascii="Aptos" w:hAnsi="Aptos" w:eastAsia="Aptos" w:cs="Aptos"/>
          <w:noProof w:val="0"/>
          <w:sz w:val="24"/>
          <w:szCs w:val="24"/>
          <w:lang w:val="en-GB"/>
        </w:rPr>
        <w:t>bands. Balance</w:t>
      </w:r>
      <w:r w:rsidRPr="49B1FC76" w:rsidR="5F52DBF8">
        <w:rPr>
          <w:rFonts w:ascii="Aptos" w:hAnsi="Aptos" w:eastAsia="Aptos" w:cs="Aptos"/>
          <w:noProof w:val="0"/>
          <w:sz w:val="24"/>
          <w:szCs w:val="24"/>
          <w:lang w:val="en-GB"/>
        </w:rPr>
        <w:t xml:space="preserve"> documentation with interaction: Emphasise relational pedagogy and avoid assessment practices that detract from adult–child engagement during </w:t>
      </w:r>
      <w:r w:rsidRPr="49B1FC76" w:rsidR="08F4F02E">
        <w:rPr>
          <w:rFonts w:ascii="Aptos" w:hAnsi="Aptos" w:eastAsia="Aptos" w:cs="Aptos"/>
          <w:noProof w:val="0"/>
          <w:sz w:val="24"/>
          <w:szCs w:val="24"/>
          <w:lang w:val="en-GB"/>
        </w:rPr>
        <w:t>play. Involve</w:t>
      </w:r>
      <w:r w:rsidRPr="49B1FC76" w:rsidR="5F52DBF8">
        <w:rPr>
          <w:rFonts w:ascii="Aptos" w:hAnsi="Aptos" w:eastAsia="Aptos" w:cs="Aptos"/>
          <w:noProof w:val="0"/>
          <w:sz w:val="24"/>
          <w:szCs w:val="24"/>
          <w:lang w:val="en-GB"/>
        </w:rPr>
        <w:t xml:space="preserve"> families: Co-construct learning profiles with input from home to better reflect the child’s full context and support cultural </w:t>
      </w:r>
      <w:r w:rsidRPr="49B1FC76" w:rsidR="21BDDCAB">
        <w:rPr>
          <w:rFonts w:ascii="Aptos" w:hAnsi="Aptos" w:eastAsia="Aptos" w:cs="Aptos"/>
          <w:noProof w:val="0"/>
          <w:sz w:val="24"/>
          <w:szCs w:val="24"/>
          <w:lang w:val="en-GB"/>
        </w:rPr>
        <w:t>responsiveness. Safeguard</w:t>
      </w:r>
      <w:r w:rsidRPr="49B1FC76" w:rsidR="5F52DBF8">
        <w:rPr>
          <w:rFonts w:ascii="Aptos" w:hAnsi="Aptos" w:eastAsia="Aptos" w:cs="Aptos"/>
          <w:noProof w:val="0"/>
          <w:sz w:val="24"/>
          <w:szCs w:val="24"/>
          <w:lang w:val="en-GB"/>
        </w:rPr>
        <w:t xml:space="preserve"> play: Ensure assessment </w:t>
      </w:r>
      <w:r w:rsidRPr="49B1FC76" w:rsidR="2B9F6B93">
        <w:rPr>
          <w:rFonts w:ascii="Aptos" w:hAnsi="Aptos" w:eastAsia="Aptos" w:cs="Aptos"/>
          <w:noProof w:val="0"/>
          <w:sz w:val="24"/>
          <w:szCs w:val="24"/>
          <w:lang w:val="en-GB"/>
        </w:rPr>
        <w:t>enhances, rather</w:t>
      </w:r>
      <w:r w:rsidRPr="49B1FC76" w:rsidR="5F52DBF8">
        <w:rPr>
          <w:rFonts w:ascii="Aptos" w:hAnsi="Aptos" w:eastAsia="Aptos" w:cs="Aptos"/>
          <w:noProof w:val="0"/>
          <w:sz w:val="24"/>
          <w:szCs w:val="24"/>
          <w:lang w:val="en-GB"/>
        </w:rPr>
        <w:t xml:space="preserve"> than interrupts</w:t>
      </w:r>
      <w:r w:rsidRPr="49B1FC76" w:rsidR="0DB5467C">
        <w:rPr>
          <w:rFonts w:ascii="Aptos" w:hAnsi="Aptos" w:eastAsia="Aptos" w:cs="Aptos"/>
          <w:noProof w:val="0"/>
          <w:sz w:val="24"/>
          <w:szCs w:val="24"/>
          <w:lang w:val="en-GB"/>
        </w:rPr>
        <w:t>,</w:t>
      </w:r>
      <w:r w:rsidRPr="49B1FC76" w:rsidR="5F52DBF8">
        <w:rPr>
          <w:rFonts w:ascii="Aptos" w:hAnsi="Aptos" w:eastAsia="Aptos" w:cs="Aptos"/>
          <w:noProof w:val="0"/>
          <w:sz w:val="24"/>
          <w:szCs w:val="24"/>
          <w:lang w:val="en-GB"/>
        </w:rPr>
        <w:t>children’s right to explore, create, and learn through play.</w:t>
      </w:r>
      <w:r w:rsidRPr="49B1FC76" w:rsidR="3CFBB6C0">
        <w:rPr>
          <w:rFonts w:ascii="Aptos" w:hAnsi="Aptos" w:eastAsia="Aptos" w:cs="Aptos"/>
          <w:noProof w:val="0"/>
          <w:sz w:val="24"/>
          <w:szCs w:val="24"/>
          <w:lang w:val="en-GB"/>
        </w:rPr>
        <w:t xml:space="preserve"> A deeper, more child-centred approach involves reflective dialogue and contextualised interpretation, beyond quantifiable indicators. For example, tracking a child's engagement schemas or play themes over time through team reflections can highlight emotional, social, and cognitive growth areas that linear checklists overlook Brooker, (2010). This method ensures alignment with the Unique Child approach, acknowledging that development unfolds in diverse, unpredictable ways</w:t>
      </w:r>
    </w:p>
    <w:p w:rsidR="62027F3D" w:rsidP="49B1FC76" w:rsidRDefault="62027F3D" w14:paraId="006B7B6A" w14:textId="24E93316">
      <w:pPr>
        <w:pStyle w:val="Normal"/>
        <w:spacing w:before="240" w:beforeAutospacing="off" w:after="240" w:afterAutospacing="off"/>
        <w:rPr>
          <w:u w:val="single"/>
        </w:rPr>
      </w:pPr>
      <w:r w:rsidRPr="49B1FC76" w:rsidR="62027F3D">
        <w:rPr>
          <w:u w:val="single"/>
        </w:rPr>
        <w:t>Part 3</w:t>
      </w:r>
      <w:r w:rsidRPr="49B1FC76" w:rsidR="669C35CB">
        <w:rPr>
          <w:u w:val="single"/>
        </w:rPr>
        <w:t>.</w:t>
      </w:r>
    </w:p>
    <w:p w:rsidR="669C35CB" w:rsidP="49B1FC76" w:rsidRDefault="669C35CB" w14:paraId="431EDB92" w14:textId="0A7E3E7A">
      <w:pPr>
        <w:pStyle w:val="Normal"/>
        <w:spacing w:before="240" w:beforeAutospacing="off" w:after="240" w:afterAutospacing="off"/>
        <w:rPr>
          <w:u w:val="none"/>
        </w:rPr>
      </w:pPr>
      <w:r w:rsidR="669C35CB">
        <w:rPr>
          <w:u w:val="none"/>
        </w:rPr>
        <w:t>The United Nations Convention on the Rights of the Child (UNCRC) clearly outlines the rights of every child. But are these rights genuinely respected in early years settings—or are they treated more like a checklist, or a poster on the wall?</w:t>
      </w:r>
    </w:p>
    <w:p w:rsidR="669C35CB" w:rsidP="49B1FC76" w:rsidRDefault="669C35CB" w14:paraId="13A8E042" w14:textId="452F0E10">
      <w:pPr>
        <w:pStyle w:val="Normal"/>
        <w:spacing w:before="240" w:beforeAutospacing="off" w:after="240" w:afterAutospacing="off"/>
        <w:rPr>
          <w:u w:val="none"/>
        </w:rPr>
      </w:pPr>
      <w:r w:rsidR="669C35CB">
        <w:rPr>
          <w:u w:val="none"/>
        </w:rPr>
        <w:t>Most practitioners would agree with the principles: children should be listened to, given freedom to play, and supported to learn and develop safely. However, how often are these rights meaningfully upheld in daily practice? And how often are they quietly overridden by routines, curriculum pressures, or adult priorities?</w:t>
      </w:r>
    </w:p>
    <w:p w:rsidR="669C35CB" w:rsidP="49B1FC76" w:rsidRDefault="669C35CB" w14:paraId="7C398A0C" w14:textId="4518A4A7">
      <w:pPr>
        <w:pStyle w:val="Normal"/>
        <w:spacing w:before="240" w:beforeAutospacing="off" w:after="240" w:afterAutospacing="off"/>
        <w:rPr>
          <w:u w:val="none"/>
        </w:rPr>
      </w:pPr>
      <w:r w:rsidR="669C35CB">
        <w:rPr>
          <w:u w:val="none"/>
        </w:rPr>
        <w:t xml:space="preserve">In theory, early years practice in the UK is underpinned by the </w:t>
      </w:r>
      <w:r w:rsidR="7A6B4683">
        <w:rPr>
          <w:u w:val="none"/>
        </w:rPr>
        <w:t>UNCRC (</w:t>
      </w:r>
      <w:r w:rsidR="7A6B4683">
        <w:rPr>
          <w:u w:val="none"/>
        </w:rPr>
        <w:t>1989)</w:t>
      </w:r>
      <w:r w:rsidR="669C35CB">
        <w:rPr>
          <w:u w:val="none"/>
        </w:rPr>
        <w:t>, which outlines every child’s entitlement to safety, voice, participation, and education. The Early Years Foundation Stage (EYFS) (DfE, 2024) aligns with these rights, advocating for inclusive, child-led learning. Yet despite this foundation, practice can often drift toward a more adult-directed, performative model—one where children’s voices are acknowledged but not acted upon in any meaningful way.</w:t>
      </w:r>
    </w:p>
    <w:p w:rsidR="669C35CB" w:rsidP="49B1FC76" w:rsidRDefault="669C35CB" w14:paraId="3AF7F7CE" w14:textId="1C0E92F6">
      <w:pPr>
        <w:pStyle w:val="Normal"/>
        <w:spacing w:before="240" w:beforeAutospacing="off" w:after="240" w:afterAutospacing="off"/>
        <w:rPr>
          <w:u w:val="none"/>
        </w:rPr>
      </w:pPr>
      <w:r w:rsidR="669C35CB">
        <w:rPr>
          <w:u w:val="none"/>
        </w:rPr>
        <w:t>The Right to Be Heard — Or Only When It’s Convenient?</w:t>
      </w:r>
    </w:p>
    <w:p w:rsidR="669C35CB" w:rsidP="49B1FC76" w:rsidRDefault="669C35CB" w14:paraId="1392F506" w14:textId="582EB1EE">
      <w:pPr>
        <w:pStyle w:val="Normal"/>
        <w:spacing w:before="240" w:beforeAutospacing="off" w:after="240" w:afterAutospacing="off"/>
      </w:pPr>
      <w:r w:rsidR="669C35CB">
        <w:rPr>
          <w:u w:val="none"/>
        </w:rPr>
        <w:t xml:space="preserve">Article 12 of the UNCRC guarantees children the right to express their views freely in all matters affecting them, with their views given due weight. But in a </w:t>
      </w:r>
      <w:r w:rsidR="0968B2B6">
        <w:rPr>
          <w:u w:val="none"/>
        </w:rPr>
        <w:t>busy early year</w:t>
      </w:r>
      <w:r w:rsidR="669C35CB">
        <w:rPr>
          <w:u w:val="none"/>
        </w:rPr>
        <w:t xml:space="preserve"> setting, with tight schedules and structured routines, how often is this right fully realised?</w:t>
      </w:r>
    </w:p>
    <w:p w:rsidR="669C35CB" w:rsidP="49B1FC76" w:rsidRDefault="669C35CB" w14:paraId="6EC48E8C" w14:textId="712EEF32">
      <w:pPr>
        <w:pStyle w:val="Normal"/>
        <w:spacing w:before="240" w:beforeAutospacing="off" w:after="240" w:afterAutospacing="off"/>
      </w:pPr>
      <w:r w:rsidR="669C35CB">
        <w:rPr>
          <w:u w:val="none"/>
        </w:rPr>
        <w:t xml:space="preserve">Lundy (2007) </w:t>
      </w:r>
      <w:r w:rsidR="669C35CB">
        <w:rPr>
          <w:u w:val="none"/>
        </w:rPr>
        <w:t>identifies</w:t>
      </w:r>
      <w:r w:rsidR="669C35CB">
        <w:rPr>
          <w:u w:val="none"/>
        </w:rPr>
        <w:t xml:space="preserve"> four essential conditions for this right to be meaningful: space, voice, audience, and influence. While early years settings may offer opportunities to </w:t>
      </w:r>
      <w:r w:rsidR="53748552">
        <w:rPr>
          <w:u w:val="none"/>
        </w:rPr>
        <w:t>speak, through</w:t>
      </w:r>
      <w:r w:rsidR="669C35CB">
        <w:rPr>
          <w:u w:val="none"/>
        </w:rPr>
        <w:t xml:space="preserve"> play, group time, or keyworker </w:t>
      </w:r>
      <w:r w:rsidR="5967B05C">
        <w:rPr>
          <w:u w:val="none"/>
        </w:rPr>
        <w:t>interactions, children's</w:t>
      </w:r>
      <w:r w:rsidR="669C35CB">
        <w:rPr>
          <w:u w:val="none"/>
        </w:rPr>
        <w:t xml:space="preserve"> views are not always influential. Listening should involve more than simply hearing a child say they want to play with the cars. Preferences, refusals, silences, and behaviours all communicate something. When a child resists joining an adult-led activity, is that choice respected, or gently overruled in the name of classroom order?</w:t>
      </w:r>
    </w:p>
    <w:p w:rsidR="669C35CB" w:rsidP="49B1FC76" w:rsidRDefault="669C35CB" w14:paraId="7A5E8F2C" w14:textId="167194DA">
      <w:pPr>
        <w:pStyle w:val="Normal"/>
        <w:spacing w:before="240" w:beforeAutospacing="off" w:after="240" w:afterAutospacing="off"/>
      </w:pPr>
      <w:r w:rsidR="669C35CB">
        <w:rPr>
          <w:u w:val="none"/>
        </w:rPr>
        <w:t>As Clark (2017) suggests, authentic listening requires practitioners to slow down, observe, and reflect—not just respond. This kind of listening demands time, empathy, and a genuine openness to children’s perspectives.</w:t>
      </w:r>
    </w:p>
    <w:p w:rsidR="669C35CB" w:rsidP="49B1FC76" w:rsidRDefault="669C35CB" w14:paraId="0397B1F0" w14:textId="3DDE31E9">
      <w:pPr>
        <w:pStyle w:val="Normal"/>
        <w:spacing w:before="240" w:beforeAutospacing="off" w:after="240" w:afterAutospacing="off"/>
      </w:pPr>
      <w:r w:rsidR="669C35CB">
        <w:rPr>
          <w:u w:val="none"/>
        </w:rPr>
        <w:t>Chicken and Tyrie (2023) found through observations, interviews, and documentary analysis that educators’ engagement with Article 12 was influenced by their own beliefs about childhood and their professional roles. Their research highlights how time constraints, space, and adult expectations all limit the ways children’s voices are expressed and received.</w:t>
      </w:r>
    </w:p>
    <w:p w:rsidR="669C35CB" w:rsidP="49B1FC76" w:rsidRDefault="669C35CB" w14:paraId="143C35F7" w14:textId="7A363815">
      <w:pPr>
        <w:pStyle w:val="Normal"/>
        <w:spacing w:before="240" w:beforeAutospacing="off" w:after="240" w:afterAutospacing="off"/>
      </w:pPr>
      <w:r w:rsidR="669C35CB">
        <w:rPr>
          <w:u w:val="none"/>
        </w:rPr>
        <w:t xml:space="preserve">Similarly, the ‘Hear Me and Listen’ study (Bradwell, 2019) used the Mosaic Approach—a child-centred </w:t>
      </w:r>
      <w:r w:rsidR="669C35CB">
        <w:rPr>
          <w:u w:val="none"/>
        </w:rPr>
        <w:t>methodology</w:t>
      </w:r>
      <w:r w:rsidR="669C35CB">
        <w:rPr>
          <w:u w:val="none"/>
        </w:rPr>
        <w:t xml:space="preserve"> incorporating drawings, photos, maps, and child-led observations—to explore how children express themselves beyond verbal communication. The findings revealed five key themes influencing children’s participation: ‘This Is Me</w:t>
      </w:r>
      <w:r w:rsidR="669C35CB">
        <w:rPr>
          <w:u w:val="none"/>
        </w:rPr>
        <w:t>’,</w:t>
      </w:r>
      <w:r w:rsidR="669C35CB">
        <w:rPr>
          <w:u w:val="none"/>
        </w:rPr>
        <w:t xml:space="preserve"> ‘Relationships</w:t>
      </w:r>
      <w:r w:rsidR="669C35CB">
        <w:rPr>
          <w:u w:val="none"/>
        </w:rPr>
        <w:t>’,</w:t>
      </w:r>
      <w:r w:rsidR="669C35CB">
        <w:rPr>
          <w:u w:val="none"/>
        </w:rPr>
        <w:t xml:space="preserve"> ‘Environment</w:t>
      </w:r>
      <w:r w:rsidR="669C35CB">
        <w:rPr>
          <w:u w:val="none"/>
        </w:rPr>
        <w:t>’,</w:t>
      </w:r>
      <w:r w:rsidR="669C35CB">
        <w:rPr>
          <w:u w:val="none"/>
        </w:rPr>
        <w:t xml:space="preserve"> ‘Curriculum</w:t>
      </w:r>
      <w:r w:rsidR="669C35CB">
        <w:rPr>
          <w:u w:val="none"/>
        </w:rPr>
        <w:t>’,</w:t>
      </w:r>
      <w:r w:rsidR="669C35CB">
        <w:rPr>
          <w:u w:val="none"/>
        </w:rPr>
        <w:t xml:space="preserve"> and ‘Practitioners</w:t>
      </w:r>
      <w:r w:rsidR="669C35CB">
        <w:rPr>
          <w:u w:val="none"/>
        </w:rPr>
        <w:t>’.</w:t>
      </w:r>
      <w:r w:rsidR="669C35CB">
        <w:rPr>
          <w:u w:val="none"/>
        </w:rPr>
        <w:t xml:space="preserve"> These themes show how children’s voices are shaped—and often constrained—by the people and structures around them, the study concluded that listening must go beyond acknowledgement. Children’s contributions should actively inform and shape practice.</w:t>
      </w:r>
    </w:p>
    <w:p w:rsidR="669C35CB" w:rsidP="49B1FC76" w:rsidRDefault="669C35CB" w14:paraId="364E203A" w14:textId="7FD407FB">
      <w:pPr>
        <w:pStyle w:val="Normal"/>
        <w:spacing w:before="240" w:beforeAutospacing="off" w:after="240" w:afterAutospacing="off"/>
        <w:rPr>
          <w:u w:val="none"/>
        </w:rPr>
      </w:pPr>
      <w:r w:rsidR="669C35CB">
        <w:rPr>
          <w:u w:val="none"/>
        </w:rPr>
        <w:t>The Right to Education — Equality or Inequality?</w:t>
      </w:r>
    </w:p>
    <w:p w:rsidR="669C35CB" w:rsidP="49B1FC76" w:rsidRDefault="669C35CB" w14:paraId="4E2811F4" w14:textId="0CFD02A3">
      <w:pPr>
        <w:pStyle w:val="Normal"/>
        <w:spacing w:before="240" w:beforeAutospacing="off" w:after="240" w:afterAutospacing="off"/>
      </w:pPr>
      <w:r w:rsidR="669C35CB">
        <w:rPr>
          <w:u w:val="none"/>
        </w:rPr>
        <w:t>Article 28 of the UNCRC establishes the right of all children to an education that respects their dignity and promotes development. Yet, the reality for many children in the UK, especially those from disadvantaged backgrounds, shows a gap between this right and their lived experience.</w:t>
      </w:r>
    </w:p>
    <w:p w:rsidR="669C35CB" w:rsidP="49B1FC76" w:rsidRDefault="669C35CB" w14:paraId="63D8290A" w14:textId="2451E70D">
      <w:pPr>
        <w:pStyle w:val="Normal"/>
        <w:spacing w:before="240" w:beforeAutospacing="off" w:after="240" w:afterAutospacing="off"/>
      </w:pPr>
      <w:r w:rsidR="669C35CB">
        <w:rPr>
          <w:u w:val="none"/>
        </w:rPr>
        <w:t>While the UK has made significant progress in expanding access to early education, persistent inequalities remain. According to the National Audit Office (2024), only 25% of disadvantaged pupils achieved a grade 5 or above in English and Maths at GCSE, compared to 52% of their non-disadvantaged peers. Although this statistic refers to older children, early years outcomes are deeply connected to these long-term educational trajectories.</w:t>
      </w:r>
    </w:p>
    <w:p w:rsidR="669C35CB" w:rsidP="49B1FC76" w:rsidRDefault="669C35CB" w14:paraId="72DE241F" w14:textId="2A87B718">
      <w:pPr>
        <w:pStyle w:val="Normal"/>
        <w:spacing w:before="240" w:beforeAutospacing="off" w:after="240" w:afterAutospacing="off"/>
      </w:pPr>
      <w:r w:rsidR="669C35CB">
        <w:rPr>
          <w:u w:val="none"/>
        </w:rPr>
        <w:t>Early intervention and high-quality early years education have the potential to narrow this gap</w:t>
      </w:r>
      <w:r w:rsidR="3DA52081">
        <w:rPr>
          <w:u w:val="none"/>
        </w:rPr>
        <w:t>,</w:t>
      </w:r>
      <w:r w:rsidR="669C35CB">
        <w:rPr>
          <w:u w:val="none"/>
        </w:rPr>
        <w:t xml:space="preserve">but only if all children receive </w:t>
      </w:r>
      <w:r w:rsidR="669C35CB">
        <w:rPr>
          <w:u w:val="none"/>
        </w:rPr>
        <w:t>equitable</w:t>
      </w:r>
      <w:r w:rsidR="669C35CB">
        <w:rPr>
          <w:u w:val="none"/>
        </w:rPr>
        <w:t xml:space="preserve"> support. Standardised developmental expectations or limited resources may marginalise children with SEND, those with English as an </w:t>
      </w:r>
      <w:r w:rsidR="669C35CB">
        <w:rPr>
          <w:u w:val="none"/>
        </w:rPr>
        <w:t>additional</w:t>
      </w:r>
      <w:r w:rsidR="669C35CB">
        <w:rPr>
          <w:u w:val="none"/>
        </w:rPr>
        <w:t xml:space="preserve"> language, or those from minoritised communities. Inclusion must go beyond access to settings</w:t>
      </w:r>
      <w:r w:rsidR="569D50D7">
        <w:rPr>
          <w:u w:val="none"/>
        </w:rPr>
        <w:t>,</w:t>
      </w:r>
      <w:r w:rsidR="669C35CB">
        <w:rPr>
          <w:u w:val="none"/>
        </w:rPr>
        <w:t>it must mean true participation, representation, and respect for every child’s context.</w:t>
      </w:r>
    </w:p>
    <w:p w:rsidR="669C35CB" w:rsidP="49B1FC76" w:rsidRDefault="669C35CB" w14:paraId="4757CCD7" w14:textId="333D5BC0">
      <w:pPr>
        <w:pStyle w:val="Normal"/>
        <w:spacing w:before="240" w:beforeAutospacing="off" w:after="240" w:afterAutospacing="off"/>
        <w:rPr>
          <w:u w:val="none"/>
        </w:rPr>
      </w:pPr>
      <w:r w:rsidR="669C35CB">
        <w:rPr>
          <w:u w:val="none"/>
        </w:rPr>
        <w:t>From Policy to Practice: Are We Doing Enough?</w:t>
      </w:r>
    </w:p>
    <w:p w:rsidR="669C35CB" w:rsidP="49B1FC76" w:rsidRDefault="669C35CB" w14:paraId="7BC46C85" w14:textId="5D3587C3">
      <w:pPr>
        <w:pStyle w:val="Normal"/>
        <w:spacing w:before="240" w:beforeAutospacing="off" w:after="240" w:afterAutospacing="off"/>
      </w:pPr>
      <w:r w:rsidR="669C35CB">
        <w:rPr>
          <w:u w:val="none"/>
        </w:rPr>
        <w:t>There is no shortage of frameworks and policies promoting a rights-based approach. Documents like Birth to 5 Matters (Early Education, 2021) explicitly encourage educators to “start with the child,” echoing the core values of the UNCRC. Yet implementing these values in practice requires more than good intentions. It demands ongoing professional reflection, systemic support, and a willingness to question power dynamics in early years environments.</w:t>
      </w:r>
    </w:p>
    <w:p w:rsidR="669C35CB" w:rsidP="49B1FC76" w:rsidRDefault="669C35CB" w14:paraId="198F2D00" w14:textId="4FCB883D">
      <w:pPr>
        <w:pStyle w:val="Normal"/>
        <w:spacing w:before="240" w:beforeAutospacing="off" w:after="240" w:afterAutospacing="off"/>
      </w:pPr>
      <w:r w:rsidR="669C35CB">
        <w:rPr>
          <w:u w:val="none"/>
        </w:rPr>
        <w:t>As Osgood and Mohandas (2022) argue, adult agendas still dominate much of what happens in early childhood education, even when wrapped in the language of child-centredness. We must ask ourselves: are we truly respecting children’s rights, or are we shaping their experiences around adult needs, policies, and pressures?</w:t>
      </w:r>
    </w:p>
    <w:p w:rsidR="669C35CB" w:rsidP="49B1FC76" w:rsidRDefault="669C35CB" w14:paraId="2AF176D5" w14:textId="460D0DDA">
      <w:pPr>
        <w:pStyle w:val="Normal"/>
        <w:spacing w:before="240" w:beforeAutospacing="off" w:after="240" w:afterAutospacing="off"/>
        <w:rPr>
          <w:u w:val="single"/>
        </w:rPr>
      </w:pPr>
      <w:r w:rsidRPr="49B1FC76" w:rsidR="669C35CB">
        <w:rPr>
          <w:u w:val="single"/>
        </w:rPr>
        <w:t>So,</w:t>
      </w:r>
      <w:r w:rsidRPr="49B1FC76" w:rsidR="669C35CB">
        <w:rPr>
          <w:u w:val="single"/>
        </w:rPr>
        <w:t xml:space="preserve"> Are Children’s Rights Truly Being Respected?</w:t>
      </w:r>
    </w:p>
    <w:p w:rsidR="669C35CB" w:rsidP="49B1FC76" w:rsidRDefault="669C35CB" w14:paraId="308EBA02" w14:textId="1152B328">
      <w:pPr>
        <w:pStyle w:val="Normal"/>
        <w:spacing w:before="240" w:beforeAutospacing="off" w:after="240" w:afterAutospacing="off"/>
      </w:pPr>
      <w:r w:rsidR="669C35CB">
        <w:rPr>
          <w:u w:val="none"/>
        </w:rPr>
        <w:t>In some settings, yes—there is thoughtful, responsive practice that genuinely prioritises children’s rights. But in others, rights are referenced without being realised. The difference often lies in the attitudes, values, and reflections of individual practitioners and the structures that support or constrain them.</w:t>
      </w:r>
    </w:p>
    <w:p w:rsidR="669C35CB" w:rsidP="49B1FC76" w:rsidRDefault="669C35CB" w14:paraId="344B5997" w14:textId="18882B15">
      <w:pPr>
        <w:pStyle w:val="Normal"/>
        <w:spacing w:before="240" w:beforeAutospacing="off" w:after="240" w:afterAutospacing="off"/>
      </w:pPr>
      <w:r w:rsidR="669C35CB">
        <w:rPr>
          <w:u w:val="none"/>
        </w:rPr>
        <w:t xml:space="preserve">Respecting children’s rights is not a one-off act or a single training session. </w:t>
      </w:r>
      <w:r w:rsidR="669C35CB">
        <w:rPr>
          <w:u w:val="none"/>
        </w:rPr>
        <w:t>It’s</w:t>
      </w:r>
      <w:r w:rsidR="669C35CB">
        <w:rPr>
          <w:u w:val="none"/>
        </w:rPr>
        <w:t xml:space="preserve"> an ongoing commitment to listening, </w:t>
      </w:r>
      <w:r w:rsidR="669C35CB">
        <w:rPr>
          <w:u w:val="none"/>
        </w:rPr>
        <w:t>observing</w:t>
      </w:r>
      <w:r w:rsidR="669C35CB">
        <w:rPr>
          <w:u w:val="none"/>
        </w:rPr>
        <w:t xml:space="preserve">, and acting in partnership with children. It means creating environments where children feel safe to express themselves and </w:t>
      </w:r>
      <w:r w:rsidR="669C35CB">
        <w:rPr>
          <w:u w:val="none"/>
        </w:rPr>
        <w:t>confidently</w:t>
      </w:r>
      <w:r w:rsidR="669C35CB">
        <w:rPr>
          <w:u w:val="none"/>
        </w:rPr>
        <w:t xml:space="preserve"> that their views will be taken seriously. And it requires all of us to keep asking </w:t>
      </w:r>
      <w:r w:rsidR="669C35CB">
        <w:rPr>
          <w:u w:val="none"/>
        </w:rPr>
        <w:t>difficult questions</w:t>
      </w:r>
      <w:r w:rsidR="669C35CB">
        <w:rPr>
          <w:u w:val="none"/>
        </w:rPr>
        <w:t xml:space="preserve"> about how we work—and why.</w:t>
      </w:r>
    </w:p>
    <w:p w:rsidR="021056B1" w:rsidP="49B1FC76" w:rsidRDefault="021056B1" w14:paraId="2C8C4DF7" w14:textId="005E81FF">
      <w:pPr>
        <w:pStyle w:val="Normal"/>
        <w:spacing w:before="240" w:beforeAutospacing="off" w:after="240" w:afterAutospacing="off"/>
        <w:rPr>
          <w:u w:val="single"/>
        </w:rPr>
      </w:pPr>
      <w:r w:rsidRPr="49B1FC76" w:rsidR="021056B1">
        <w:rPr>
          <w:u w:val="single"/>
        </w:rPr>
        <w:t>Personal Reflection.</w:t>
      </w:r>
    </w:p>
    <w:p w:rsidR="021056B1" w:rsidP="49B1FC76" w:rsidRDefault="021056B1" w14:paraId="57A05EAF" w14:textId="63160657">
      <w:pPr>
        <w:pStyle w:val="Normal"/>
        <w:spacing w:before="240" w:beforeAutospacing="off" w:after="240" w:afterAutospacing="off"/>
      </w:pPr>
      <w:r w:rsidR="021056B1">
        <w:rPr>
          <w:u w:val="none"/>
        </w:rPr>
        <w:t>In my role as a parent group facilitator with Flying Start, I’ve seen first-hand the commitment to respecting and planning for the ‘Unique Child’. Each session is carefully designed to respond to children’s interests, needs, and individual contexts. We aim to create spaces where every child feels valued, listened to, and supported—not just in words, but through our actions and interactions.</w:t>
      </w:r>
    </w:p>
    <w:p w:rsidR="021056B1" w:rsidP="49B1FC76" w:rsidRDefault="021056B1" w14:paraId="5152B152" w14:textId="6F664281">
      <w:pPr>
        <w:pStyle w:val="Normal"/>
        <w:spacing w:before="240" w:beforeAutospacing="off" w:after="240" w:afterAutospacing="off"/>
      </w:pPr>
      <w:r w:rsidR="021056B1">
        <w:rPr>
          <w:u w:val="none"/>
        </w:rPr>
        <w:t>However, despite our best intentions, there are real-world barriers that can make this difficult. Limited funding often means fewer resources, restricted access to training, or insufficient staffing</w:t>
      </w:r>
      <w:r w:rsidR="390DFAE1">
        <w:rPr>
          <w:u w:val="none"/>
        </w:rPr>
        <w:t>,</w:t>
      </w:r>
      <w:r w:rsidR="021056B1">
        <w:rPr>
          <w:u w:val="none"/>
        </w:rPr>
        <w:t>factors that can directly affect the quality of engagement and flexibility we can offer. Physical environments can also be a challenge; some buildings are not designed with children’s rights in mind, limiting access to outdoor space or quiet areas for emotional regulation.</w:t>
      </w:r>
    </w:p>
    <w:p w:rsidR="021056B1" w:rsidP="49B1FC76" w:rsidRDefault="021056B1" w14:paraId="32B6B372" w14:textId="45AC2524">
      <w:pPr>
        <w:pStyle w:val="Normal"/>
        <w:spacing w:before="240" w:beforeAutospacing="off" w:after="240" w:afterAutospacing="off"/>
      </w:pPr>
      <w:r w:rsidR="021056B1">
        <w:rPr>
          <w:u w:val="none"/>
        </w:rPr>
        <w:t xml:space="preserve">Training, too, is </w:t>
      </w:r>
      <w:r w:rsidR="7379533D">
        <w:rPr>
          <w:u w:val="none"/>
        </w:rPr>
        <w:t>important</w:t>
      </w:r>
      <w:r w:rsidR="021056B1">
        <w:rPr>
          <w:u w:val="none"/>
        </w:rPr>
        <w:t xml:space="preserve">. Practitioners need ongoing, reflective professional development to fully understand how to embed children’s rights into everyday </w:t>
      </w:r>
      <w:r w:rsidR="029A5B4E">
        <w:rPr>
          <w:u w:val="none"/>
        </w:rPr>
        <w:t>practice, not</w:t>
      </w:r>
      <w:r w:rsidR="021056B1">
        <w:rPr>
          <w:u w:val="none"/>
        </w:rPr>
        <w:t xml:space="preserve"> just as a policy goal, but as a lived experience. While the intention to uphold rights and honour the ‘Unique Child’ is present, systemic challenges sometimes get in the way. Recognising and addressing these barriers is essential if we are to turn values into reality across all early year's settings.</w:t>
      </w:r>
    </w:p>
    <w:p w:rsidR="49B1FC76" w:rsidP="49B1FC76" w:rsidRDefault="49B1FC76" w14:paraId="0DAF21A1" w14:textId="230432CE">
      <w:pPr>
        <w:pStyle w:val="Normal"/>
        <w:spacing w:before="240" w:beforeAutospacing="off" w:after="240" w:afterAutospacing="off"/>
        <w:rPr>
          <w:u w:val="none"/>
        </w:rPr>
      </w:pPr>
    </w:p>
    <w:p w:rsidR="49B1FC76" w:rsidP="49B1FC76" w:rsidRDefault="49B1FC76" w14:paraId="19E1406E" w14:textId="6D6AD8E5">
      <w:pPr>
        <w:pStyle w:val="Normal"/>
        <w:spacing w:before="240" w:beforeAutospacing="off" w:after="240" w:afterAutospacing="off"/>
        <w:rPr>
          <w:u w:val="none"/>
        </w:rPr>
      </w:pPr>
    </w:p>
    <w:p w:rsidR="49B1FC76" w:rsidP="49B1FC76" w:rsidRDefault="49B1FC76" w14:paraId="5CB648AE" w14:textId="1D61F8FC">
      <w:pPr>
        <w:pStyle w:val="Normal"/>
        <w:spacing w:before="240" w:beforeAutospacing="off" w:after="240" w:afterAutospacing="off"/>
        <w:rPr>
          <w:u w:val="none"/>
        </w:rPr>
      </w:pPr>
    </w:p>
    <w:p w:rsidR="49B1FC76" w:rsidP="49B1FC76" w:rsidRDefault="49B1FC76" w14:paraId="15410384" w14:textId="21C58103">
      <w:pPr>
        <w:pStyle w:val="Normal"/>
        <w:spacing w:before="240" w:beforeAutospacing="off" w:after="240" w:afterAutospacing="off"/>
        <w:rPr>
          <w:u w:val="none"/>
        </w:rPr>
      </w:pPr>
    </w:p>
    <w:p w:rsidR="49B1FC76" w:rsidP="49B1FC76" w:rsidRDefault="49B1FC76" w14:paraId="5D892450" w14:textId="46A77004">
      <w:pPr>
        <w:pStyle w:val="Normal"/>
        <w:spacing w:before="240" w:beforeAutospacing="off" w:after="240" w:afterAutospacing="off"/>
        <w:rPr>
          <w:u w:val="none"/>
        </w:rPr>
      </w:pPr>
    </w:p>
    <w:p w:rsidR="49B1FC76" w:rsidP="49B1FC76" w:rsidRDefault="49B1FC76" w14:paraId="1C1FED07" w14:textId="264E83CC">
      <w:pPr>
        <w:pStyle w:val="Normal"/>
        <w:spacing w:before="240" w:beforeAutospacing="off" w:after="240" w:afterAutospacing="off"/>
        <w:rPr>
          <w:u w:val="none"/>
        </w:rPr>
      </w:pPr>
    </w:p>
    <w:p w:rsidR="49B1FC76" w:rsidP="49B1FC76" w:rsidRDefault="49B1FC76" w14:paraId="59F2E99F" w14:textId="4C972FEC">
      <w:pPr>
        <w:pStyle w:val="Normal"/>
        <w:spacing w:before="240" w:beforeAutospacing="off" w:after="240" w:afterAutospacing="off"/>
        <w:rPr>
          <w:u w:val="none"/>
        </w:rPr>
      </w:pPr>
    </w:p>
    <w:p w:rsidR="49B1FC76" w:rsidP="49B1FC76" w:rsidRDefault="49B1FC76" w14:paraId="03AD4B04" w14:textId="366AAFF2">
      <w:pPr>
        <w:pStyle w:val="Normal"/>
        <w:spacing w:before="240" w:beforeAutospacing="off" w:after="240" w:afterAutospacing="off"/>
        <w:rPr>
          <w:u w:val="none"/>
        </w:rPr>
      </w:pPr>
    </w:p>
    <w:p w:rsidR="49B1FC76" w:rsidP="49B1FC76" w:rsidRDefault="49B1FC76" w14:paraId="63ED8D2C" w14:textId="56E6076A">
      <w:pPr>
        <w:pStyle w:val="Normal"/>
        <w:spacing w:before="240" w:beforeAutospacing="off" w:after="240" w:afterAutospacing="off"/>
        <w:rPr>
          <w:u w:val="none"/>
        </w:rPr>
      </w:pPr>
    </w:p>
    <w:p w:rsidR="49B1FC76" w:rsidP="49B1FC76" w:rsidRDefault="49B1FC76" w14:paraId="2841B333" w14:textId="72100D61">
      <w:pPr>
        <w:pStyle w:val="Normal"/>
        <w:spacing w:before="240" w:beforeAutospacing="off" w:after="240" w:afterAutospacing="off"/>
        <w:rPr>
          <w:u w:val="none"/>
        </w:rPr>
      </w:pPr>
    </w:p>
    <w:p w:rsidR="49B1FC76" w:rsidP="49B1FC76" w:rsidRDefault="49B1FC76" w14:paraId="074CB7BC" w14:textId="5B7CDE47">
      <w:pPr>
        <w:pStyle w:val="Normal"/>
        <w:spacing w:before="240" w:beforeAutospacing="off" w:after="240" w:afterAutospacing="off"/>
        <w:rPr>
          <w:u w:val="none"/>
        </w:rPr>
      </w:pPr>
    </w:p>
    <w:p w:rsidR="49B1FC76" w:rsidP="49B1FC76" w:rsidRDefault="49B1FC76" w14:paraId="7CB1E077" w14:textId="00B8DEA5">
      <w:pPr>
        <w:pStyle w:val="Normal"/>
        <w:spacing w:before="240" w:beforeAutospacing="off" w:after="240" w:afterAutospacing="off"/>
        <w:rPr>
          <w:u w:val="none"/>
        </w:rPr>
      </w:pPr>
    </w:p>
    <w:p w:rsidR="49B1FC76" w:rsidP="49B1FC76" w:rsidRDefault="49B1FC76" w14:paraId="4D68B8F9" w14:textId="54804857">
      <w:pPr>
        <w:pStyle w:val="Normal"/>
        <w:spacing w:before="240" w:beforeAutospacing="off" w:after="240" w:afterAutospacing="off"/>
        <w:rPr>
          <w:u w:val="none"/>
        </w:rPr>
      </w:pPr>
    </w:p>
    <w:p w:rsidR="491A25E9" w:rsidP="49B1FC76" w:rsidRDefault="491A25E9" w14:paraId="4BFF7891" w14:textId="12F6A4A3">
      <w:pPr>
        <w:pStyle w:val="Normal"/>
        <w:spacing w:before="240" w:beforeAutospacing="off" w:after="240" w:afterAutospacing="off"/>
        <w:rPr>
          <w:rFonts w:ascii="Arial" w:hAnsi="Arial" w:eastAsia="Arial" w:cs="Arial"/>
          <w:u w:val="single"/>
        </w:rPr>
      </w:pPr>
      <w:r w:rsidRPr="49B1FC76" w:rsidR="491A25E9">
        <w:rPr>
          <w:rFonts w:ascii="Arial" w:hAnsi="Arial" w:eastAsia="Arial" w:cs="Arial"/>
          <w:u w:val="single"/>
        </w:rPr>
        <w:t>Reference list</w:t>
      </w:r>
    </w:p>
    <w:p w:rsidR="491A25E9" w:rsidP="49B1FC76" w:rsidRDefault="491A25E9" w14:paraId="37F558F2" w14:textId="061C38D8">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Alsubaie</w:t>
      </w:r>
      <w:r w:rsidRPr="49B1FC76" w:rsidR="491A25E9">
        <w:rPr>
          <w:rFonts w:ascii="Arial" w:hAnsi="Arial" w:eastAsia="Arial" w:cs="Arial"/>
          <w:u w:val="none"/>
        </w:rPr>
        <w:t xml:space="preserve">, </w:t>
      </w:r>
      <w:r w:rsidRPr="49B1FC76" w:rsidR="491A25E9">
        <w:rPr>
          <w:rFonts w:ascii="Arial" w:hAnsi="Arial" w:eastAsia="Arial" w:cs="Arial"/>
          <w:u w:val="none"/>
        </w:rPr>
        <w:t>Merfat</w:t>
      </w:r>
      <w:r w:rsidRPr="49B1FC76" w:rsidR="491A25E9">
        <w:rPr>
          <w:rFonts w:ascii="Arial" w:hAnsi="Arial" w:eastAsia="Arial" w:cs="Arial"/>
          <w:u w:val="none"/>
        </w:rPr>
        <w:t xml:space="preserve"> Ayesh (2015). Examples of Current Issues in the Multicultural Classroom. Journal of Education and Practice, [online] 6(10), pp.86–89. Available at: https://eric.ed.gov/?id=EJ1081654.</w:t>
      </w:r>
    </w:p>
    <w:p w:rsidR="491A25E9" w:rsidP="49B1FC76" w:rsidRDefault="491A25E9" w14:paraId="558CE518" w14:textId="08A2F1A3">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Basford, J. and Bath, C. (2014). Playing the assessment game: an English early childhood education perspective. Early Years, 34(2), pp.119–132. </w:t>
      </w:r>
      <w:r w:rsidRPr="49B1FC76" w:rsidR="158C04B8">
        <w:rPr>
          <w:rFonts w:ascii="Arial" w:hAnsi="Arial" w:eastAsia="Arial" w:cs="Arial"/>
          <w:u w:val="none"/>
        </w:rPr>
        <w:t>Doi: HTTPs</w:t>
      </w:r>
      <w:r w:rsidRPr="49B1FC76" w:rsidR="491A25E9">
        <w:rPr>
          <w:rFonts w:ascii="Arial" w:hAnsi="Arial" w:eastAsia="Arial" w:cs="Arial"/>
          <w:u w:val="none"/>
        </w:rPr>
        <w:t>://doi.org/10.1080/09575146.2014.903386.</w:t>
      </w:r>
    </w:p>
    <w:p w:rsidR="491A25E9" w:rsidP="49B1FC76" w:rsidRDefault="491A25E9" w14:paraId="7CAA0D65" w14:textId="58BF50E8">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Bradwell, M. (2019). Voice, </w:t>
      </w:r>
      <w:r w:rsidRPr="49B1FC76" w:rsidR="491A25E9">
        <w:rPr>
          <w:rFonts w:ascii="Arial" w:hAnsi="Arial" w:eastAsia="Arial" w:cs="Arial"/>
          <w:u w:val="none"/>
        </w:rPr>
        <w:t>views</w:t>
      </w:r>
      <w:r w:rsidRPr="49B1FC76" w:rsidR="491A25E9">
        <w:rPr>
          <w:rFonts w:ascii="Arial" w:hAnsi="Arial" w:eastAsia="Arial" w:cs="Arial"/>
          <w:u w:val="none"/>
        </w:rPr>
        <w:t xml:space="preserve"> and the UNCRC Articles 12 and 13. Journal of Early Childhood Research, 17(4), pp.423–433. </w:t>
      </w:r>
      <w:r w:rsidRPr="49B1FC76" w:rsidR="694A9226">
        <w:rPr>
          <w:rFonts w:ascii="Arial" w:hAnsi="Arial" w:eastAsia="Arial" w:cs="Arial"/>
          <w:u w:val="none"/>
        </w:rPr>
        <w:t>Doi: HTTPs</w:t>
      </w:r>
      <w:r w:rsidRPr="49B1FC76" w:rsidR="491A25E9">
        <w:rPr>
          <w:rFonts w:ascii="Arial" w:hAnsi="Arial" w:eastAsia="Arial" w:cs="Arial"/>
          <w:u w:val="none"/>
        </w:rPr>
        <w:t>://doi.org/10.1177/1476718x19875780.</w:t>
      </w:r>
    </w:p>
    <w:p w:rsidR="491A25E9" w:rsidP="49B1FC76" w:rsidRDefault="491A25E9" w14:paraId="1FBCC663" w14:textId="01598087">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Brooker, L. (2010). Constructing The Triangle </w:t>
      </w:r>
      <w:r w:rsidRPr="49B1FC76" w:rsidR="628AE433">
        <w:rPr>
          <w:rFonts w:ascii="Arial" w:hAnsi="Arial" w:eastAsia="Arial" w:cs="Arial"/>
          <w:u w:val="none"/>
        </w:rPr>
        <w:t>of</w:t>
      </w:r>
      <w:r w:rsidRPr="49B1FC76" w:rsidR="491A25E9">
        <w:rPr>
          <w:rFonts w:ascii="Arial" w:hAnsi="Arial" w:eastAsia="Arial" w:cs="Arial"/>
          <w:u w:val="none"/>
        </w:rPr>
        <w:t xml:space="preserve"> Care: Power </w:t>
      </w:r>
      <w:r w:rsidRPr="49B1FC76" w:rsidR="70A055D9">
        <w:rPr>
          <w:rFonts w:ascii="Arial" w:hAnsi="Arial" w:eastAsia="Arial" w:cs="Arial"/>
          <w:u w:val="none"/>
        </w:rPr>
        <w:t>and</w:t>
      </w:r>
      <w:r w:rsidRPr="49B1FC76" w:rsidR="491A25E9">
        <w:rPr>
          <w:rFonts w:ascii="Arial" w:hAnsi="Arial" w:eastAsia="Arial" w:cs="Arial"/>
          <w:u w:val="none"/>
        </w:rPr>
        <w:t xml:space="preserve"> Professionalism </w:t>
      </w:r>
      <w:r w:rsidRPr="49B1FC76" w:rsidR="587DD881">
        <w:rPr>
          <w:rFonts w:ascii="Arial" w:hAnsi="Arial" w:eastAsia="Arial" w:cs="Arial"/>
          <w:u w:val="none"/>
        </w:rPr>
        <w:t>in</w:t>
      </w:r>
      <w:r w:rsidRPr="49B1FC76" w:rsidR="491A25E9">
        <w:rPr>
          <w:rFonts w:ascii="Arial" w:hAnsi="Arial" w:eastAsia="Arial" w:cs="Arial"/>
          <w:u w:val="none"/>
        </w:rPr>
        <w:t xml:space="preserve"> Practitioner/Parent Relationships. British Journal of Educational Studies, 58(2), pp.181–196. </w:t>
      </w:r>
      <w:r w:rsidRPr="49B1FC76" w:rsidR="647F675F">
        <w:rPr>
          <w:rFonts w:ascii="Arial" w:hAnsi="Arial" w:eastAsia="Arial" w:cs="Arial"/>
          <w:u w:val="none"/>
        </w:rPr>
        <w:t>Doi: HTTPs</w:t>
      </w:r>
      <w:r w:rsidRPr="49B1FC76" w:rsidR="491A25E9">
        <w:rPr>
          <w:rFonts w:ascii="Arial" w:hAnsi="Arial" w:eastAsia="Arial" w:cs="Arial"/>
          <w:u w:val="none"/>
        </w:rPr>
        <w:t>://doi.org/10.1080/00071001003752203.</w:t>
      </w:r>
    </w:p>
    <w:p w:rsidR="491A25E9" w:rsidP="49B1FC76" w:rsidRDefault="491A25E9" w14:paraId="511DE30C" w14:textId="614F29EC">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Bruce, T. (2015). Early Childhood Education 5th Edition. Hodder Education.</w:t>
      </w:r>
    </w:p>
    <w:p w:rsidR="491A25E9" w:rsidP="49B1FC76" w:rsidRDefault="491A25E9" w14:paraId="2C5442BA" w14:textId="40ABD323">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Carr, M. and Lee, W. (2012). Learning </w:t>
      </w:r>
      <w:r w:rsidRPr="49B1FC76" w:rsidR="395C8A2B">
        <w:rPr>
          <w:rFonts w:ascii="Arial" w:hAnsi="Arial" w:eastAsia="Arial" w:cs="Arial"/>
          <w:u w:val="none"/>
        </w:rPr>
        <w:t>stories:</w:t>
      </w:r>
      <w:r w:rsidRPr="49B1FC76" w:rsidR="491A25E9">
        <w:rPr>
          <w:rFonts w:ascii="Arial" w:hAnsi="Arial" w:eastAsia="Arial" w:cs="Arial"/>
          <w:u w:val="none"/>
        </w:rPr>
        <w:t xml:space="preserve"> constructing learner identities in early education. London: Sage.</w:t>
      </w:r>
    </w:p>
    <w:p w:rsidR="491A25E9" w:rsidP="49B1FC76" w:rsidRDefault="491A25E9" w14:paraId="6213BA16" w14:textId="2B895EC1">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Chicken, S. and Tyrie, J. (2023). Can you Hear me? Problematising the Enactment of </w:t>
      </w:r>
      <w:r w:rsidRPr="49B1FC76" w:rsidR="491A25E9">
        <w:rPr>
          <w:rFonts w:ascii="Arial" w:hAnsi="Arial" w:eastAsia="Arial" w:cs="Arial"/>
          <w:u w:val="none"/>
        </w:rPr>
        <w:t>uncrc</w:t>
      </w:r>
      <w:r w:rsidRPr="49B1FC76" w:rsidR="491A25E9">
        <w:rPr>
          <w:rFonts w:ascii="Arial" w:hAnsi="Arial" w:eastAsia="Arial" w:cs="Arial"/>
          <w:u w:val="none"/>
        </w:rPr>
        <w:t xml:space="preserve"> Article 12 in Welsh Early Years Classrooms. The International Journal of Children’s Rights, 31(2), pp.301–325. </w:t>
      </w:r>
      <w:r w:rsidRPr="49B1FC76" w:rsidR="212BA9B6">
        <w:rPr>
          <w:rFonts w:ascii="Arial" w:hAnsi="Arial" w:eastAsia="Arial" w:cs="Arial"/>
          <w:u w:val="none"/>
        </w:rPr>
        <w:t>Doi: HTTPs</w:t>
      </w:r>
      <w:r w:rsidRPr="49B1FC76" w:rsidR="491A25E9">
        <w:rPr>
          <w:rFonts w:ascii="Arial" w:hAnsi="Arial" w:eastAsia="Arial" w:cs="Arial"/>
          <w:u w:val="none"/>
        </w:rPr>
        <w:t>://doi.org/10.1163/15718182-31010001.</w:t>
      </w:r>
    </w:p>
    <w:p w:rsidR="491A25E9" w:rsidP="49B1FC76" w:rsidRDefault="491A25E9" w14:paraId="3A41200A" w14:textId="04F252AD">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Clark, A. (2017). Listening to young </w:t>
      </w:r>
      <w:r w:rsidRPr="49B1FC76" w:rsidR="4327B349">
        <w:rPr>
          <w:rFonts w:ascii="Arial" w:hAnsi="Arial" w:eastAsia="Arial" w:cs="Arial"/>
          <w:u w:val="none"/>
        </w:rPr>
        <w:t>Children:</w:t>
      </w:r>
      <w:r w:rsidRPr="49B1FC76" w:rsidR="491A25E9">
        <w:rPr>
          <w:rFonts w:ascii="Arial" w:hAnsi="Arial" w:eastAsia="Arial" w:cs="Arial"/>
          <w:u w:val="none"/>
        </w:rPr>
        <w:t xml:space="preserve"> a guide to understanding and using the Mosaic approach. 3rd ed. London: Jessica Kingsley Publishers.</w:t>
      </w:r>
    </w:p>
    <w:p w:rsidR="491A25E9" w:rsidP="49B1FC76" w:rsidRDefault="491A25E9" w14:paraId="674D96E3" w14:textId="1FD64431">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Darling-Hammond, L. and Oakes, J. (2021). Preparing Teachers for Deeper Learning. Harvard Education Press.</w:t>
      </w:r>
    </w:p>
    <w:p w:rsidR="491A25E9" w:rsidP="49B1FC76" w:rsidRDefault="491A25E9" w14:paraId="7004D597" w14:textId="076434EB">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Department for Education (2012). Nutbrown review: foundations for quality. [online] GOV.UK. Available at: https://www.gov.uk/government/publications/nutbrown-review-foundations-for-quality [Accessed 27 May 2025].</w:t>
      </w:r>
    </w:p>
    <w:p w:rsidR="491A25E9" w:rsidP="49B1FC76" w:rsidRDefault="491A25E9" w14:paraId="32134942" w14:textId="7399E684">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Early Years Coalition (2021). Birth to 5 Matters – Guidance by the sector, for the Sector. [online] Birth to 5 Matters. Available at: https://birthto5matters.org.uk/ [Accessed 9 Jun. 2025].</w:t>
      </w:r>
    </w:p>
    <w:p w:rsidR="491A25E9" w:rsidP="49B1FC76" w:rsidRDefault="491A25E9" w14:paraId="1DFABE5A" w14:textId="6C26FA75">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Early years foundation stage statutory framework </w:t>
      </w:r>
      <w:r w:rsidRPr="49B1FC76" w:rsidR="0A554180">
        <w:rPr>
          <w:rFonts w:ascii="Arial" w:hAnsi="Arial" w:eastAsia="Arial" w:cs="Arial"/>
          <w:u w:val="none"/>
        </w:rPr>
        <w:t>for</w:t>
      </w:r>
      <w:r w:rsidRPr="49B1FC76" w:rsidR="491A25E9">
        <w:rPr>
          <w:rFonts w:ascii="Arial" w:hAnsi="Arial" w:eastAsia="Arial" w:cs="Arial"/>
          <w:u w:val="none"/>
        </w:rPr>
        <w:t xml:space="preserve"> group and school-based providers Setting the standards for learning, </w:t>
      </w:r>
      <w:r w:rsidRPr="49B1FC76" w:rsidR="491A25E9">
        <w:rPr>
          <w:rFonts w:ascii="Arial" w:hAnsi="Arial" w:eastAsia="Arial" w:cs="Arial"/>
          <w:u w:val="none"/>
        </w:rPr>
        <w:t>development</w:t>
      </w:r>
      <w:r w:rsidRPr="49B1FC76" w:rsidR="491A25E9">
        <w:rPr>
          <w:rFonts w:ascii="Arial" w:hAnsi="Arial" w:eastAsia="Arial" w:cs="Arial"/>
          <w:u w:val="none"/>
        </w:rPr>
        <w:t xml:space="preserve"> and care for children from birth to five. (2024). Available at: https://assets.publishing.service.gov.uk/media/670fa42a30536cb92748328f/EYFS_statutory_framework_for_group_and_school_-_based_providers.pdf?utm_s [Accessed 9 Jun. 2025].</w:t>
      </w:r>
    </w:p>
    <w:p w:rsidR="491A25E9" w:rsidP="49B1FC76" w:rsidRDefault="491A25E9" w14:paraId="08B521D5" w14:textId="1302BC6F">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Еkaterina</w:t>
      </w:r>
      <w:r w:rsidRPr="49B1FC76" w:rsidR="491A25E9">
        <w:rPr>
          <w:rFonts w:ascii="Arial" w:hAnsi="Arial" w:eastAsia="Arial" w:cs="Arial"/>
          <w:u w:val="none"/>
        </w:rPr>
        <w:t xml:space="preserve"> </w:t>
      </w:r>
      <w:r w:rsidRPr="49B1FC76" w:rsidR="491A25E9">
        <w:rPr>
          <w:rFonts w:ascii="Arial" w:hAnsi="Arial" w:eastAsia="Arial" w:cs="Arial"/>
          <w:u w:val="none"/>
        </w:rPr>
        <w:t>Zavershneva</w:t>
      </w:r>
      <w:r w:rsidRPr="49B1FC76" w:rsidR="491A25E9">
        <w:rPr>
          <w:rFonts w:ascii="Arial" w:hAnsi="Arial" w:eastAsia="Arial" w:cs="Arial"/>
          <w:u w:val="none"/>
        </w:rPr>
        <w:t xml:space="preserve"> and van (2021). Lev Vygotsky. Springer eBooks, pp.4539–4542. </w:t>
      </w:r>
      <w:r w:rsidRPr="49B1FC76" w:rsidR="2B4693F5">
        <w:rPr>
          <w:rFonts w:ascii="Arial" w:hAnsi="Arial" w:eastAsia="Arial" w:cs="Arial"/>
          <w:u w:val="none"/>
        </w:rPr>
        <w:t>Doi: HTTPs</w:t>
      </w:r>
      <w:r w:rsidRPr="49B1FC76" w:rsidR="491A25E9">
        <w:rPr>
          <w:rFonts w:ascii="Arial" w:hAnsi="Arial" w:eastAsia="Arial" w:cs="Arial"/>
          <w:u w:val="none"/>
        </w:rPr>
        <w:t>://doi.org/10.1007/978-3-319-19650-3_2391.</w:t>
      </w:r>
    </w:p>
    <w:p w:rsidR="491A25E9" w:rsidP="49B1FC76" w:rsidRDefault="491A25E9" w14:paraId="39220F8D" w14:textId="605852BE">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Estyn (2024). Home - Estyn. [online] Estyn. Available at: https://estyn.gov.wales/ [Accessed 27 May 2025].</w:t>
      </w:r>
    </w:p>
    <w:p w:rsidR="491A25E9" w:rsidP="49B1FC76" w:rsidRDefault="491A25E9" w14:paraId="5AA311B3" w14:textId="38608AC3">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Eun, B. (2019). The zone of proximal development as an overarching concept: A framework for synthesizing Vygotsky’s theories. Educational Philosophy and Theory, [online] 51(1), pp.18–30. </w:t>
      </w:r>
      <w:r w:rsidRPr="49B1FC76" w:rsidR="12902434">
        <w:rPr>
          <w:rFonts w:ascii="Arial" w:hAnsi="Arial" w:eastAsia="Arial" w:cs="Arial"/>
          <w:u w:val="none"/>
        </w:rPr>
        <w:t>Doi: HTTPs</w:t>
      </w:r>
      <w:r w:rsidRPr="49B1FC76" w:rsidR="491A25E9">
        <w:rPr>
          <w:rFonts w:ascii="Arial" w:hAnsi="Arial" w:eastAsia="Arial" w:cs="Arial"/>
          <w:u w:val="none"/>
        </w:rPr>
        <w:t>://doi.org/10.1080/00131857.2017.1421941.</w:t>
      </w:r>
    </w:p>
    <w:p w:rsidR="491A25E9" w:rsidP="49B1FC76" w:rsidRDefault="491A25E9" w14:paraId="59A01775" w14:textId="4FFD9453">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GOV.WALES. (2024). Written Statement: The Early Childhood Play Learning and Care in Wales Plan (15 March 2024) | GOV.WALES. [online] Available at: https://www.gov.wales/written-statement-early-childhood-play-learning-and-care-wales-plan? [Accessed 28 May 2025].</w:t>
      </w:r>
    </w:p>
    <w:p w:rsidR="491A25E9" w:rsidP="49B1FC76" w:rsidRDefault="491A25E9" w14:paraId="3559D0DF" w14:textId="334C6275">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Housman, D.K. (2017). The importance of emotional competence and self-regulation from birth: A case for the evidence-based emotional cognitive social early learning approach. International Journal of Child Care and Education Policy, [online] 11(1). </w:t>
      </w:r>
      <w:r w:rsidRPr="49B1FC76" w:rsidR="505AECDF">
        <w:rPr>
          <w:rFonts w:ascii="Arial" w:hAnsi="Arial" w:eastAsia="Arial" w:cs="Arial"/>
          <w:u w:val="none"/>
        </w:rPr>
        <w:t>Doi: HTTPs</w:t>
      </w:r>
      <w:r w:rsidRPr="49B1FC76" w:rsidR="491A25E9">
        <w:rPr>
          <w:rFonts w:ascii="Arial" w:hAnsi="Arial" w:eastAsia="Arial" w:cs="Arial"/>
          <w:u w:val="none"/>
        </w:rPr>
        <w:t>://doi.org/10.1186/s40723-017-0038-6.</w:t>
      </w:r>
    </w:p>
    <w:p w:rsidR="491A25E9" w:rsidP="49B1FC76" w:rsidRDefault="491A25E9" w14:paraId="0073692B" w14:textId="59DCFFB5">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Legislation.gov.uk. (2021). Curriculum and Assessment (Wales) Act 2021. [online] Available at: https://www.legislation.gov.uk/asc/2021/4/contents.</w:t>
      </w:r>
    </w:p>
    <w:p w:rsidR="491A25E9" w:rsidP="49B1FC76" w:rsidRDefault="491A25E9" w14:paraId="0898C95F" w14:textId="4155FE5A">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Llywodraeth</w:t>
      </w:r>
      <w:r w:rsidRPr="49B1FC76" w:rsidR="491A25E9">
        <w:rPr>
          <w:rFonts w:ascii="Arial" w:hAnsi="Arial" w:eastAsia="Arial" w:cs="Arial"/>
          <w:u w:val="none"/>
        </w:rPr>
        <w:t xml:space="preserve"> Cymru (2022). Curriculum for </w:t>
      </w:r>
      <w:r w:rsidRPr="49B1FC76" w:rsidR="689D383C">
        <w:rPr>
          <w:rFonts w:ascii="Arial" w:hAnsi="Arial" w:eastAsia="Arial" w:cs="Arial"/>
          <w:u w:val="none"/>
        </w:rPr>
        <w:t>Wales.</w:t>
      </w:r>
      <w:r w:rsidRPr="49B1FC76" w:rsidR="491A25E9">
        <w:rPr>
          <w:rFonts w:ascii="Arial" w:hAnsi="Arial" w:eastAsia="Arial" w:cs="Arial"/>
          <w:u w:val="none"/>
        </w:rPr>
        <w:t xml:space="preserve"> [online] hwb.gov.wales. Available at: https://hwb.gov.wales/curriculum-for-wales [Accessed 27 May 2025].</w:t>
      </w:r>
    </w:p>
    <w:p w:rsidR="491A25E9" w:rsidP="49B1FC76" w:rsidRDefault="491A25E9" w14:paraId="04632B3D" w14:textId="4DADA139">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Lundy, L. (2007). ‘Voice’ Is Not enough: Conceptualising Article 12 of the United Nations Convention on the Rights of the Child. British Educational Research Journal, [online] 33(6), pp.927–942. </w:t>
      </w:r>
      <w:r w:rsidRPr="49B1FC76" w:rsidR="46A4BC8F">
        <w:rPr>
          <w:rFonts w:ascii="Arial" w:hAnsi="Arial" w:eastAsia="Arial" w:cs="Arial"/>
          <w:u w:val="none"/>
        </w:rPr>
        <w:t>Doi: HTTPs</w:t>
      </w:r>
      <w:r w:rsidRPr="49B1FC76" w:rsidR="491A25E9">
        <w:rPr>
          <w:rFonts w:ascii="Arial" w:hAnsi="Arial" w:eastAsia="Arial" w:cs="Arial"/>
          <w:u w:val="none"/>
        </w:rPr>
        <w:t>://doi.org/10.1080/01411920701657033.</w:t>
      </w:r>
    </w:p>
    <w:p w:rsidR="491A25E9" w:rsidP="49B1FC76" w:rsidRDefault="491A25E9" w14:paraId="1668EE51" w14:textId="22A43C6E">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Meylani, R. (2024). Innovations With Schema Theory: Modern Implications </w:t>
      </w:r>
      <w:r w:rsidRPr="49B1FC76" w:rsidR="6A9EC450">
        <w:rPr>
          <w:rFonts w:ascii="Arial" w:hAnsi="Arial" w:eastAsia="Arial" w:cs="Arial"/>
          <w:u w:val="none"/>
        </w:rPr>
        <w:t>for</w:t>
      </w:r>
      <w:r w:rsidRPr="49B1FC76" w:rsidR="491A25E9">
        <w:rPr>
          <w:rFonts w:ascii="Arial" w:hAnsi="Arial" w:eastAsia="Arial" w:cs="Arial"/>
          <w:u w:val="none"/>
        </w:rPr>
        <w:t xml:space="preserve"> Learning, Memory, And Academic Achievement. International Journal </w:t>
      </w:r>
      <w:r w:rsidRPr="49B1FC76" w:rsidR="7F8D8B9D">
        <w:rPr>
          <w:rFonts w:ascii="Arial" w:hAnsi="Arial" w:eastAsia="Arial" w:cs="Arial"/>
          <w:u w:val="none"/>
        </w:rPr>
        <w:t>for</w:t>
      </w:r>
      <w:r w:rsidRPr="49B1FC76" w:rsidR="491A25E9">
        <w:rPr>
          <w:rFonts w:ascii="Arial" w:hAnsi="Arial" w:eastAsia="Arial" w:cs="Arial"/>
          <w:u w:val="none"/>
        </w:rPr>
        <w:t xml:space="preserve"> Multidisciplinary Research, 6(1). </w:t>
      </w:r>
      <w:r w:rsidRPr="49B1FC76" w:rsidR="38B501E4">
        <w:rPr>
          <w:rFonts w:ascii="Arial" w:hAnsi="Arial" w:eastAsia="Arial" w:cs="Arial"/>
          <w:u w:val="none"/>
        </w:rPr>
        <w:t>Doi: HTTPs</w:t>
      </w:r>
      <w:r w:rsidRPr="49B1FC76" w:rsidR="491A25E9">
        <w:rPr>
          <w:rFonts w:ascii="Arial" w:hAnsi="Arial" w:eastAsia="Arial" w:cs="Arial"/>
          <w:u w:val="none"/>
        </w:rPr>
        <w:t>://doi.org/10.36948/ijfmr.2024.v06i01.13785.</w:t>
      </w:r>
    </w:p>
    <w:p w:rsidR="491A25E9" w:rsidP="49B1FC76" w:rsidRDefault="491A25E9" w14:paraId="36575553" w14:textId="17AB5700">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Moyles, J.R. (2015). The Excellence of Play. 4th ed. Maidenhead: Open University Press.</w:t>
      </w:r>
    </w:p>
    <w:p w:rsidR="491A25E9" w:rsidP="49B1FC76" w:rsidRDefault="491A25E9" w14:paraId="69540E28" w14:textId="5022018B">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National Audit Office (2024). Improving educational outcomes for disadvantaged children Department for Education REPORT. [online] Available at: https://www.nao.org.uk/wp-content/uploads/2024/07/improving-educational-outcomes-for-disadvantaged-children-1.pdf.</w:t>
      </w:r>
    </w:p>
    <w:p w:rsidR="491A25E9" w:rsidP="49B1FC76" w:rsidRDefault="491A25E9" w14:paraId="033FD9B3" w14:textId="7EFB923F">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Ness, I.J. (2020). Zone of Proximal Development. The Palgrave </w:t>
      </w:r>
      <w:r w:rsidRPr="49B1FC76" w:rsidR="1B9129DF">
        <w:rPr>
          <w:rFonts w:ascii="Arial" w:hAnsi="Arial" w:eastAsia="Arial" w:cs="Arial"/>
          <w:u w:val="none"/>
        </w:rPr>
        <w:t>Encyclopaedia</w:t>
      </w:r>
      <w:r w:rsidRPr="49B1FC76" w:rsidR="491A25E9">
        <w:rPr>
          <w:rFonts w:ascii="Arial" w:hAnsi="Arial" w:eastAsia="Arial" w:cs="Arial"/>
          <w:u w:val="none"/>
        </w:rPr>
        <w:t xml:space="preserve"> of the Possible, pp.1–6. </w:t>
      </w:r>
      <w:r w:rsidRPr="49B1FC76" w:rsidR="4D8BCD1D">
        <w:rPr>
          <w:rFonts w:ascii="Arial" w:hAnsi="Arial" w:eastAsia="Arial" w:cs="Arial"/>
          <w:u w:val="none"/>
        </w:rPr>
        <w:t>Doi: HTTPs</w:t>
      </w:r>
      <w:r w:rsidRPr="49B1FC76" w:rsidR="491A25E9">
        <w:rPr>
          <w:rFonts w:ascii="Arial" w:hAnsi="Arial" w:eastAsia="Arial" w:cs="Arial"/>
          <w:u w:val="none"/>
        </w:rPr>
        <w:t>://doi.org/10.1007/978-3-319-98390-5_60-1.</w:t>
      </w:r>
    </w:p>
    <w:p w:rsidR="491A25E9" w:rsidP="49B1FC76" w:rsidRDefault="491A25E9" w14:paraId="0F08D90A" w14:textId="06FF1567">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Osgood, J. and Mohandas, S. (2022). Grappling with the Miseducation of Montessori: </w:t>
      </w:r>
      <w:r w:rsidRPr="49B1FC76" w:rsidR="491A25E9">
        <w:rPr>
          <w:rFonts w:ascii="Arial" w:hAnsi="Arial" w:eastAsia="Arial" w:cs="Arial"/>
          <w:u w:val="none"/>
        </w:rPr>
        <w:t>a</w:t>
      </w:r>
      <w:r w:rsidRPr="49B1FC76" w:rsidR="491A25E9">
        <w:rPr>
          <w:rFonts w:ascii="Arial" w:hAnsi="Arial" w:eastAsia="Arial" w:cs="Arial"/>
          <w:u w:val="none"/>
        </w:rPr>
        <w:t xml:space="preserve"> Feminist Posthuman Rereading of ‘child’ in Early Childhood Contexts. Contemporary Issues in Early Childhood, 23(3), p.146394912211172. </w:t>
      </w:r>
      <w:r w:rsidRPr="49B1FC76" w:rsidR="383AD645">
        <w:rPr>
          <w:rFonts w:ascii="Arial" w:hAnsi="Arial" w:eastAsia="Arial" w:cs="Arial"/>
          <w:u w:val="none"/>
        </w:rPr>
        <w:t>Doi: HTTPs</w:t>
      </w:r>
      <w:r w:rsidRPr="49B1FC76" w:rsidR="491A25E9">
        <w:rPr>
          <w:rFonts w:ascii="Arial" w:hAnsi="Arial" w:eastAsia="Arial" w:cs="Arial"/>
          <w:u w:val="none"/>
        </w:rPr>
        <w:t>://doi.org/10.1177/14639491221117222.</w:t>
      </w:r>
    </w:p>
    <w:p w:rsidR="491A25E9" w:rsidP="49B1FC76" w:rsidRDefault="491A25E9" w14:paraId="05945250" w14:textId="78F2824B">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Pakpahan</w:t>
      </w:r>
      <w:r w:rsidRPr="49B1FC76" w:rsidR="491A25E9">
        <w:rPr>
          <w:rFonts w:ascii="Arial" w:hAnsi="Arial" w:eastAsia="Arial" w:cs="Arial"/>
          <w:u w:val="none"/>
        </w:rPr>
        <w:t xml:space="preserve">, F.H. and </w:t>
      </w:r>
      <w:r w:rsidRPr="49B1FC76" w:rsidR="491A25E9">
        <w:rPr>
          <w:rFonts w:ascii="Arial" w:hAnsi="Arial" w:eastAsia="Arial" w:cs="Arial"/>
          <w:u w:val="none"/>
        </w:rPr>
        <w:t>Saragih</w:t>
      </w:r>
      <w:r w:rsidRPr="49B1FC76" w:rsidR="491A25E9">
        <w:rPr>
          <w:rFonts w:ascii="Arial" w:hAnsi="Arial" w:eastAsia="Arial" w:cs="Arial"/>
          <w:u w:val="none"/>
        </w:rPr>
        <w:t xml:space="preserve">, M. (2022). Theory of Cognitive Development by Jean Piaget. Journal of Applied Linguistics, 2(2), pp.55–60. </w:t>
      </w:r>
      <w:r w:rsidRPr="49B1FC76" w:rsidR="25AE5975">
        <w:rPr>
          <w:rFonts w:ascii="Arial" w:hAnsi="Arial" w:eastAsia="Arial" w:cs="Arial"/>
          <w:u w:val="none"/>
        </w:rPr>
        <w:t>Doi: HTTPs</w:t>
      </w:r>
      <w:r w:rsidRPr="49B1FC76" w:rsidR="491A25E9">
        <w:rPr>
          <w:rFonts w:ascii="Arial" w:hAnsi="Arial" w:eastAsia="Arial" w:cs="Arial"/>
          <w:u w:val="none"/>
        </w:rPr>
        <w:t>://doi.org/10.52622/joal.v2i2.79.</w:t>
      </w:r>
    </w:p>
    <w:p w:rsidR="491A25E9" w:rsidP="49B1FC76" w:rsidRDefault="491A25E9" w14:paraId="5068C32F" w14:textId="28AF811A">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Piaget, J. (1951). Play, Dreams and Imitation in Childhood. [online] Routledge. doi:https://doi.org/10.4324/9781315009698.</w:t>
      </w:r>
    </w:p>
    <w:p w:rsidR="491A25E9" w:rsidP="49B1FC76" w:rsidRDefault="491A25E9" w14:paraId="3253201C" w14:textId="0766D24F">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Roberts-Holmes, G. and Bradbury, A. (2016). Governance, accountability and the datafication of early years education in England. British Educational Research Journal, [online] 42(4), pp.600–613.</w:t>
      </w:r>
      <w:r w:rsidRPr="49B1FC76" w:rsidR="491A25E9">
        <w:rPr>
          <w:rFonts w:ascii="Arial" w:hAnsi="Arial" w:eastAsia="Arial" w:cs="Arial"/>
          <w:u w:val="none"/>
        </w:rPr>
        <w:t xml:space="preserve"> </w:t>
      </w:r>
      <w:r w:rsidRPr="49B1FC76" w:rsidR="265F7C88">
        <w:rPr>
          <w:rFonts w:ascii="Arial" w:hAnsi="Arial" w:eastAsia="Arial" w:cs="Arial"/>
          <w:u w:val="none"/>
        </w:rPr>
        <w:t>Doi: HTTPs</w:t>
      </w:r>
      <w:r w:rsidRPr="49B1FC76" w:rsidR="491A25E9">
        <w:rPr>
          <w:rFonts w:ascii="Arial" w:hAnsi="Arial" w:eastAsia="Arial" w:cs="Arial"/>
          <w:u w:val="none"/>
        </w:rPr>
        <w:t>://doi.org/10.1002/berj.3221.</w:t>
      </w:r>
    </w:p>
    <w:p w:rsidR="491A25E9" w:rsidP="49B1FC76" w:rsidRDefault="491A25E9" w14:paraId="532460AA" w14:textId="4C94907C">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Smedley, S. and Hoskins, K. (2020). Finding a place for Froebel’s theories: early years practitioners’ understanding and enactment of learning through play. Early Child Development and Care, 190(8), pp.1–13. </w:t>
      </w:r>
      <w:r w:rsidRPr="49B1FC76" w:rsidR="3B0487BA">
        <w:rPr>
          <w:rFonts w:ascii="Arial" w:hAnsi="Arial" w:eastAsia="Arial" w:cs="Arial"/>
          <w:u w:val="none"/>
        </w:rPr>
        <w:t>Doi: HTTPs</w:t>
      </w:r>
      <w:r w:rsidRPr="49B1FC76" w:rsidR="491A25E9">
        <w:rPr>
          <w:rFonts w:ascii="Arial" w:hAnsi="Arial" w:eastAsia="Arial" w:cs="Arial"/>
          <w:u w:val="none"/>
        </w:rPr>
        <w:t>://doi.org/10.1080/03004430.2018.1525706.</w:t>
      </w:r>
    </w:p>
    <w:p w:rsidR="491A25E9" w:rsidP="49B1FC76" w:rsidRDefault="491A25E9" w14:paraId="34588688" w14:textId="6890D0A1">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Stewart, S., MacDonald, N. and Waters-Davies, J. (2024). The Open University. Open.ac.uk. [online] </w:t>
      </w:r>
      <w:r w:rsidRPr="49B1FC76" w:rsidR="74B8DB4C">
        <w:rPr>
          <w:rFonts w:ascii="Arial" w:hAnsi="Arial" w:eastAsia="Arial" w:cs="Arial"/>
          <w:u w:val="none"/>
        </w:rPr>
        <w:t>Doi: HTTPs</w:t>
      </w:r>
      <w:r w:rsidRPr="49B1FC76" w:rsidR="491A25E9">
        <w:rPr>
          <w:rFonts w:ascii="Arial" w:hAnsi="Arial" w:eastAsia="Arial" w:cs="Arial"/>
          <w:u w:val="none"/>
        </w:rPr>
        <w:t>://oro.open.ac.uk/101664/1/101664.pdf.</w:t>
      </w:r>
    </w:p>
    <w:p w:rsidR="491A25E9" w:rsidP="49B1FC76" w:rsidRDefault="491A25E9" w14:paraId="3FB6E9DE" w14:textId="773E552A">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Taylor, </w:t>
      </w:r>
      <w:r w:rsidRPr="49B1FC76" w:rsidR="0903B670">
        <w:rPr>
          <w:rFonts w:ascii="Arial" w:hAnsi="Arial" w:eastAsia="Arial" w:cs="Arial"/>
          <w:u w:val="none"/>
        </w:rPr>
        <w:t>Chris</w:t>
      </w:r>
      <w:r w:rsidRPr="49B1FC76" w:rsidR="491A25E9">
        <w:rPr>
          <w:rFonts w:ascii="Arial" w:hAnsi="Arial" w:eastAsia="Arial" w:cs="Arial"/>
          <w:u w:val="none"/>
        </w:rPr>
        <w:t xml:space="preserve">, Rhys, M., Waldron, S., Davies, R., Power, S., </w:t>
      </w:r>
      <w:r w:rsidRPr="49B1FC76" w:rsidR="491A25E9">
        <w:rPr>
          <w:rFonts w:ascii="Arial" w:hAnsi="Arial" w:eastAsia="Arial" w:cs="Arial"/>
          <w:u w:val="none"/>
        </w:rPr>
        <w:t>Manyard</w:t>
      </w:r>
      <w:r w:rsidRPr="49B1FC76" w:rsidR="491A25E9">
        <w:rPr>
          <w:rFonts w:ascii="Arial" w:hAnsi="Arial" w:eastAsia="Arial" w:cs="Arial"/>
          <w:u w:val="none"/>
        </w:rPr>
        <w:t xml:space="preserve">, T., Moore, L., Blackaby, D. and </w:t>
      </w:r>
      <w:r w:rsidRPr="49B1FC76" w:rsidR="491A25E9">
        <w:rPr>
          <w:rFonts w:ascii="Arial" w:hAnsi="Arial" w:eastAsia="Arial" w:cs="Arial"/>
          <w:u w:val="none"/>
        </w:rPr>
        <w:t>Plewis</w:t>
      </w:r>
      <w:r w:rsidRPr="49B1FC76" w:rsidR="491A25E9">
        <w:rPr>
          <w:rFonts w:ascii="Arial" w:hAnsi="Arial" w:eastAsia="Arial" w:cs="Arial"/>
          <w:u w:val="none"/>
        </w:rPr>
        <w:t xml:space="preserve">, I. (2015). Evaluating the Foundation Phase Final Report </w:t>
      </w:r>
      <w:r w:rsidRPr="49B1FC76" w:rsidR="491A25E9">
        <w:rPr>
          <w:rFonts w:ascii="Arial" w:hAnsi="Arial" w:eastAsia="Arial" w:cs="Arial"/>
          <w:u w:val="none"/>
        </w:rPr>
        <w:t>Ymchwil</w:t>
      </w:r>
      <w:r w:rsidRPr="49B1FC76" w:rsidR="491A25E9">
        <w:rPr>
          <w:rFonts w:ascii="Arial" w:hAnsi="Arial" w:eastAsia="Arial" w:cs="Arial"/>
          <w:u w:val="none"/>
        </w:rPr>
        <w:t xml:space="preserve"> </w:t>
      </w:r>
      <w:r w:rsidRPr="49B1FC76" w:rsidR="491A25E9">
        <w:rPr>
          <w:rFonts w:ascii="Arial" w:hAnsi="Arial" w:eastAsia="Arial" w:cs="Arial"/>
          <w:u w:val="none"/>
        </w:rPr>
        <w:t>gymdeithasol</w:t>
      </w:r>
      <w:r w:rsidRPr="49B1FC76" w:rsidR="491A25E9">
        <w:rPr>
          <w:rFonts w:ascii="Arial" w:hAnsi="Arial" w:eastAsia="Arial" w:cs="Arial"/>
          <w:u w:val="none"/>
        </w:rPr>
        <w:t xml:space="preserve"> </w:t>
      </w:r>
      <w:r w:rsidRPr="49B1FC76" w:rsidR="61E1833E">
        <w:rPr>
          <w:rFonts w:ascii="Arial" w:hAnsi="Arial" w:eastAsia="Arial" w:cs="Arial"/>
          <w:u w:val="none"/>
        </w:rPr>
        <w:t>social</w:t>
      </w:r>
      <w:r w:rsidRPr="49B1FC76" w:rsidR="491A25E9">
        <w:rPr>
          <w:rFonts w:ascii="Arial" w:hAnsi="Arial" w:eastAsia="Arial" w:cs="Arial"/>
          <w:u w:val="none"/>
        </w:rPr>
        <w:t xml:space="preserve"> research. [online] Available at: https://www.gov.wales/sites/default/files/statistics-and-research/2019-07/150514-foundation-phase-final-en_0.pdf [Accessed 16 Jan. 2023].</w:t>
      </w:r>
    </w:p>
    <w:p w:rsidR="491A25E9" w:rsidP="49B1FC76" w:rsidRDefault="491A25E9" w14:paraId="2610B9C1" w14:textId="05BDB064">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Underwood, C., Thomas, E., Smith, A.-M., Williams, N., </w:t>
      </w:r>
      <w:r w:rsidRPr="49B1FC76" w:rsidR="491A25E9">
        <w:rPr>
          <w:rFonts w:ascii="Arial" w:hAnsi="Arial" w:eastAsia="Arial" w:cs="Arial"/>
          <w:u w:val="none"/>
        </w:rPr>
        <w:t>Kyffin</w:t>
      </w:r>
      <w:r w:rsidRPr="49B1FC76" w:rsidR="491A25E9">
        <w:rPr>
          <w:rFonts w:ascii="Arial" w:hAnsi="Arial" w:eastAsia="Arial" w:cs="Arial"/>
          <w:u w:val="none"/>
        </w:rPr>
        <w:t xml:space="preserve">, F. and Young, N. (2024). Childhood and Youth Studies and the Curriculum for Wales 2022: Synergies and Opportunities. </w:t>
      </w:r>
      <w:r w:rsidRPr="49B1FC76" w:rsidR="491A25E9">
        <w:rPr>
          <w:rFonts w:ascii="Arial" w:hAnsi="Arial" w:eastAsia="Arial" w:cs="Arial"/>
          <w:u w:val="none"/>
        </w:rPr>
        <w:t>Cylchgrawn</w:t>
      </w:r>
      <w:r w:rsidRPr="49B1FC76" w:rsidR="491A25E9">
        <w:rPr>
          <w:rFonts w:ascii="Arial" w:hAnsi="Arial" w:eastAsia="Arial" w:cs="Arial"/>
          <w:u w:val="none"/>
        </w:rPr>
        <w:t xml:space="preserve"> </w:t>
      </w:r>
      <w:r w:rsidRPr="49B1FC76" w:rsidR="491A25E9">
        <w:rPr>
          <w:rFonts w:ascii="Arial" w:hAnsi="Arial" w:eastAsia="Arial" w:cs="Arial"/>
          <w:u w:val="none"/>
        </w:rPr>
        <w:t>Addysg</w:t>
      </w:r>
      <w:r w:rsidRPr="49B1FC76" w:rsidR="491A25E9">
        <w:rPr>
          <w:rFonts w:ascii="Arial" w:hAnsi="Arial" w:eastAsia="Arial" w:cs="Arial"/>
          <w:u w:val="none"/>
        </w:rPr>
        <w:t xml:space="preserve"> Cymru / Wales Journal of Education, [online] 26(1). doi:https://doi.org/10.16922/wje.26.1.1.</w:t>
      </w:r>
    </w:p>
    <w:p w:rsidR="491A25E9" w:rsidP="49B1FC76" w:rsidRDefault="491A25E9" w14:paraId="3D980E99" w14:textId="7D5698BA">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UNICEF (1989). UN Convention on the Rights of the Child (UNCRC). [online] UNICEF. Available at: https://www.unicef.org.uk/what-we-do/un-convention-child-rights/.</w:t>
      </w:r>
    </w:p>
    <w:p w:rsidR="491A25E9" w:rsidP="49B1FC76" w:rsidRDefault="491A25E9" w14:paraId="55889E6A" w14:textId="6A84A30E">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Wainwright, N., Goodway, J., Whitehead, M., Williams, A. and Kirk, D. (2019). Playful pedagogy for deeper learning: exploring the implementation of the play-based foundation phase in Wales. Early Child Development and Care, 190(1), pp.43–53. </w:t>
      </w:r>
      <w:r w:rsidRPr="49B1FC76" w:rsidR="145579CD">
        <w:rPr>
          <w:rFonts w:ascii="Arial" w:hAnsi="Arial" w:eastAsia="Arial" w:cs="Arial"/>
          <w:u w:val="none"/>
        </w:rPr>
        <w:t>Doi: HTTPs</w:t>
      </w:r>
      <w:r w:rsidRPr="49B1FC76" w:rsidR="491A25E9">
        <w:rPr>
          <w:rFonts w:ascii="Arial" w:hAnsi="Arial" w:eastAsia="Arial" w:cs="Arial"/>
          <w:u w:val="none"/>
        </w:rPr>
        <w:t>://doi.org/10.1080/03004430.2019.1653551.</w:t>
      </w:r>
    </w:p>
    <w:p w:rsidR="491A25E9" w:rsidP="49B1FC76" w:rsidRDefault="491A25E9" w14:paraId="07034A5C" w14:textId="37BC7B78">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Welsh Government (2008). Key Stages 2 to 4 - Hwb. [online] hwb.gov.wales. Available at: https://hwb.gov.wales/curriculum-2008/key-stages-2-to-4/.</w:t>
      </w:r>
    </w:p>
    <w:p w:rsidR="491A25E9" w:rsidP="49B1FC76" w:rsidRDefault="491A25E9" w14:paraId="60008090" w14:textId="3BC1ADF3">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Welsh Government (2015). Foundation Phase Framework Curriculum for Wales. [online] Available at:  https://www.gov.wales/sites/default/files/publications/2018-02/foundation-phase-framework-revised-2015.pdf.</w:t>
      </w:r>
    </w:p>
    <w:p w:rsidR="491A25E9" w:rsidP="49B1FC76" w:rsidRDefault="491A25E9" w14:paraId="469304EE" w14:textId="6A71705D">
      <w:pPr>
        <w:pStyle w:val="Normal"/>
        <w:spacing w:before="240" w:beforeAutospacing="off" w:after="240" w:afterAutospacing="off"/>
        <w:rPr>
          <w:rFonts w:ascii="Arial" w:hAnsi="Arial" w:eastAsia="Arial" w:cs="Arial"/>
          <w:u w:val="none"/>
        </w:rPr>
      </w:pPr>
      <w:r w:rsidRPr="49B1FC76" w:rsidR="491A25E9">
        <w:rPr>
          <w:rFonts w:ascii="Arial" w:hAnsi="Arial" w:eastAsia="Arial" w:cs="Arial"/>
          <w:u w:val="none"/>
        </w:rPr>
        <w:t xml:space="preserve">Welsh, </w:t>
      </w:r>
      <w:r w:rsidRPr="49B1FC76" w:rsidR="491A25E9">
        <w:rPr>
          <w:rFonts w:ascii="Arial" w:hAnsi="Arial" w:eastAsia="Arial" w:cs="Arial"/>
          <w:u w:val="none"/>
        </w:rPr>
        <w:t>government</w:t>
      </w:r>
      <w:r w:rsidRPr="49B1FC76" w:rsidR="491A25E9">
        <w:rPr>
          <w:rFonts w:ascii="Arial" w:hAnsi="Arial" w:eastAsia="Arial" w:cs="Arial"/>
          <w:u w:val="none"/>
        </w:rPr>
        <w:t xml:space="preserve"> (2015). Foundation Phase Framework - Hwb. [online] </w:t>
      </w:r>
      <w:r w:rsidRPr="49B1FC76" w:rsidR="491A25E9">
        <w:rPr>
          <w:rFonts w:ascii="Arial" w:hAnsi="Arial" w:eastAsia="Arial" w:cs="Arial"/>
          <w:u w:val="none"/>
        </w:rPr>
        <w:t>hwb.gov.wales</w:t>
      </w:r>
      <w:r w:rsidRPr="49B1FC76" w:rsidR="491A25E9">
        <w:rPr>
          <w:rFonts w:ascii="Arial" w:hAnsi="Arial" w:eastAsia="Arial" w:cs="Arial"/>
          <w:u w:val="none"/>
        </w:rPr>
        <w:t>. Available at: https://hwb.gov.wales/curriculum-2008/foundation-phase/foundation-phase-framework/.</w:t>
      </w:r>
    </w:p>
    <w:p w:rsidR="49B1FC76" w:rsidP="49B1FC76" w:rsidRDefault="49B1FC76" w14:paraId="0C702AC6" w14:textId="1539D277">
      <w:pPr>
        <w:pStyle w:val="Normal"/>
        <w:spacing w:before="240" w:beforeAutospacing="off" w:after="240" w:afterAutospacing="off"/>
        <w:rPr>
          <w:rFonts w:ascii="Arial" w:hAnsi="Arial" w:eastAsia="Arial" w:cs="Arial"/>
          <w:u w:val="none"/>
        </w:rPr>
      </w:pPr>
    </w:p>
    <w:p w:rsidR="49B1FC76" w:rsidP="49B1FC76" w:rsidRDefault="49B1FC76" w14:paraId="45F43DAB" w14:textId="39D086A9">
      <w:pPr>
        <w:pStyle w:val="Normal"/>
        <w:spacing w:before="240" w:beforeAutospacing="off" w:after="240" w:afterAutospacing="off"/>
        <w:rPr>
          <w:rFonts w:ascii="Arial" w:hAnsi="Arial" w:eastAsia="Arial" w:cs="Arial"/>
          <w:u w:val="none"/>
        </w:rPr>
      </w:pPr>
    </w:p>
    <w:p w:rsidR="49B1FC76" w:rsidP="49B1FC76" w:rsidRDefault="49B1FC76" w14:paraId="29E2BE69" w14:textId="7D01FF41">
      <w:pPr>
        <w:pStyle w:val="Normal"/>
        <w:spacing w:before="240" w:beforeAutospacing="off" w:after="240" w:afterAutospacing="off"/>
        <w:rPr>
          <w:rFonts w:ascii="Arial" w:hAnsi="Arial" w:eastAsia="Arial" w:cs="Arial"/>
          <w:u w:val="none"/>
        </w:rPr>
      </w:pPr>
    </w:p>
    <w:p w:rsidR="49B1FC76" w:rsidP="49B1FC76" w:rsidRDefault="49B1FC76" w14:paraId="6BC68D23" w14:textId="4DC9D036">
      <w:pPr>
        <w:pStyle w:val="Normal"/>
        <w:spacing w:before="240" w:beforeAutospacing="off" w:after="240" w:afterAutospacing="off"/>
        <w:rPr>
          <w:rFonts w:ascii="Arial" w:hAnsi="Arial" w:eastAsia="Arial" w:cs="Arial"/>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LZjr+Y4mrFdwTG" int2:id="IbXnK2XF">
      <int2:state int2:type="spell" int2:value="Rejected"/>
    </int2:textHash>
    <int2:textHash int2:hashCode="oFQsxZSOZdzko+" int2:id="QwQIAwy5">
      <int2:state int2:type="spell" int2:value="Rejected"/>
    </int2:textHash>
    <int2:textHash int2:hashCode="9ailWMKqQD0UnB" int2:id="JzElixY9">
      <int2:state int2:type="spell" int2:value="Rejected"/>
    </int2:textHash>
    <int2:textHash int2:hashCode="1Fc3v23HOrqqiG" int2:id="PRmJ0dKl">
      <int2:state int2:type="spell" int2:value="Rejected"/>
    </int2:textHash>
    <int2:textHash int2:hashCode="IMt5xjJiq25iMu" int2:id="WkxGwVex">
      <int2:state int2:type="spell" int2:value="Rejected"/>
    </int2:textHash>
    <int2:textHash int2:hashCode="1ZmetvO/VDMRIs" int2:id="1pQmgfqZ">
      <int2:state int2:type="spell" int2:value="Rejected"/>
    </int2:textHash>
    <int2:textHash int2:hashCode="O7rXuFsE5qcinq" int2:id="o1sTBNey">
      <int2:state int2:type="spell" int2:value="Rejected"/>
    </int2:textHash>
    <int2:textHash int2:hashCode="8f3UbY0ilVj6iJ" int2:id="woiTpJ8s">
      <int2:state int2:type="spell" int2:value="Rejected"/>
    </int2:textHash>
    <int2:textHash int2:hashCode="Uf2RQHMYNVeOmk" int2:id="dKgpvmgv">
      <int2:state int2:type="spell" int2:value="Rejected"/>
    </int2:textHash>
    <int2:textHash int2:hashCode="JpdHkXoO3udSAU" int2:id="Y8O7ALzu">
      <int2:state int2:type="spell" int2:value="Rejected"/>
    </int2:textHash>
    <int2:textHash int2:hashCode="EsX8Hf3/9ygxG+" int2:id="bqjhgDw1">
      <int2:state int2:type="spell" int2:value="Rejected"/>
    </int2:textHash>
    <int2:textHash int2:hashCode="UoKjTpc4/rsMQZ" int2:id="bhdMZu5b">
      <int2:state int2:type="spell" int2:value="Rejected"/>
    </int2:textHash>
    <int2:textHash int2:hashCode="lo12zx4/wlU6Eg" int2:id="w7LdUzLN">
      <int2:state int2:type="spell" int2:value="Rejected"/>
    </int2:textHash>
    <int2:textHash int2:hashCode="PmfPeKegHSySwS" int2:id="fHiPfJgt">
      <int2:state int2:type="spell" int2:value="Rejected"/>
    </int2:textHash>
    <int2:textHash int2:hashCode="Y0UROiFW+KpmX2" int2:id="oAsVtMPd">
      <int2:state int2:type="AugLoop_Text_Critique" int2:value="Rejected"/>
    </int2:textHash>
    <int2:textHash int2:hashCode="VSXTrUdBp+703i" int2:id="9Ij9oRQE">
      <int2:state int2:type="AugLoop_Text_Critique" int2:value="Rejected"/>
    </int2:textHash>
    <int2:textHash int2:hashCode="d86fu0WWIP2kl1" int2:id="PcbkqNes">
      <int2:state int2:type="AugLoop_Text_Critique" int2:value="Rejected"/>
    </int2:textHash>
    <int2:textHash int2:hashCode="3IdKMHtQNy9/dN" int2:id="Fo8dsdbw">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58c7e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3E8C3A"/>
    <w:rsid w:val="00083880"/>
    <w:rsid w:val="007175FC"/>
    <w:rsid w:val="0077BAC8"/>
    <w:rsid w:val="00A508BF"/>
    <w:rsid w:val="00EA5C05"/>
    <w:rsid w:val="00FED162"/>
    <w:rsid w:val="012F66D1"/>
    <w:rsid w:val="01729B13"/>
    <w:rsid w:val="01895AC7"/>
    <w:rsid w:val="019127E1"/>
    <w:rsid w:val="01F939E4"/>
    <w:rsid w:val="021056B1"/>
    <w:rsid w:val="029A5B4E"/>
    <w:rsid w:val="030CAC22"/>
    <w:rsid w:val="03138C11"/>
    <w:rsid w:val="03D0A79E"/>
    <w:rsid w:val="04509D7F"/>
    <w:rsid w:val="046B103B"/>
    <w:rsid w:val="047AAAA8"/>
    <w:rsid w:val="04837CD8"/>
    <w:rsid w:val="04B37E9A"/>
    <w:rsid w:val="0607B6BD"/>
    <w:rsid w:val="06A24A07"/>
    <w:rsid w:val="07AED6B8"/>
    <w:rsid w:val="085C12CC"/>
    <w:rsid w:val="08F4F02E"/>
    <w:rsid w:val="0903B670"/>
    <w:rsid w:val="0968B2B6"/>
    <w:rsid w:val="099E4D8C"/>
    <w:rsid w:val="0A554180"/>
    <w:rsid w:val="0BA14D95"/>
    <w:rsid w:val="0BB3D85D"/>
    <w:rsid w:val="0BE0817D"/>
    <w:rsid w:val="0C17FEC1"/>
    <w:rsid w:val="0C4AC826"/>
    <w:rsid w:val="0C620880"/>
    <w:rsid w:val="0C964577"/>
    <w:rsid w:val="0CDB195B"/>
    <w:rsid w:val="0D314C75"/>
    <w:rsid w:val="0DB15A9A"/>
    <w:rsid w:val="0DB5467C"/>
    <w:rsid w:val="0DE1361C"/>
    <w:rsid w:val="0EC28D66"/>
    <w:rsid w:val="0EF18EFC"/>
    <w:rsid w:val="0F0E3912"/>
    <w:rsid w:val="0FA83E48"/>
    <w:rsid w:val="1050BF59"/>
    <w:rsid w:val="10B474CB"/>
    <w:rsid w:val="10C44F85"/>
    <w:rsid w:val="111C06C3"/>
    <w:rsid w:val="1126860B"/>
    <w:rsid w:val="11FA73BA"/>
    <w:rsid w:val="122A305B"/>
    <w:rsid w:val="12902434"/>
    <w:rsid w:val="13177F07"/>
    <w:rsid w:val="135EF610"/>
    <w:rsid w:val="139D49C3"/>
    <w:rsid w:val="13A89F8E"/>
    <w:rsid w:val="13BA8179"/>
    <w:rsid w:val="145579CD"/>
    <w:rsid w:val="1455C137"/>
    <w:rsid w:val="14D3A5D3"/>
    <w:rsid w:val="1530922A"/>
    <w:rsid w:val="15436DCC"/>
    <w:rsid w:val="158C04B8"/>
    <w:rsid w:val="159FFB56"/>
    <w:rsid w:val="16BAF197"/>
    <w:rsid w:val="16E38DEB"/>
    <w:rsid w:val="170A44B7"/>
    <w:rsid w:val="174733E8"/>
    <w:rsid w:val="174D05E7"/>
    <w:rsid w:val="175DCB1B"/>
    <w:rsid w:val="17DED3E1"/>
    <w:rsid w:val="18276FA2"/>
    <w:rsid w:val="188E69E4"/>
    <w:rsid w:val="1891C129"/>
    <w:rsid w:val="18E2286A"/>
    <w:rsid w:val="18EAC196"/>
    <w:rsid w:val="18F91562"/>
    <w:rsid w:val="1935B5F9"/>
    <w:rsid w:val="1A8EAA91"/>
    <w:rsid w:val="1AEB6A51"/>
    <w:rsid w:val="1B29AC2B"/>
    <w:rsid w:val="1B5FFA24"/>
    <w:rsid w:val="1B9129DF"/>
    <w:rsid w:val="1BCE4192"/>
    <w:rsid w:val="1C29BB7B"/>
    <w:rsid w:val="1D4B432F"/>
    <w:rsid w:val="1D5DC76A"/>
    <w:rsid w:val="206A085B"/>
    <w:rsid w:val="206E2A7E"/>
    <w:rsid w:val="20AF5A86"/>
    <w:rsid w:val="20CA045D"/>
    <w:rsid w:val="212BA9B6"/>
    <w:rsid w:val="21BDDCAB"/>
    <w:rsid w:val="21CB1F7B"/>
    <w:rsid w:val="2269B2B5"/>
    <w:rsid w:val="228CA5CC"/>
    <w:rsid w:val="22995111"/>
    <w:rsid w:val="22E5A833"/>
    <w:rsid w:val="234F827F"/>
    <w:rsid w:val="2355B009"/>
    <w:rsid w:val="237ACAC8"/>
    <w:rsid w:val="23D1B22E"/>
    <w:rsid w:val="2429EEDB"/>
    <w:rsid w:val="2451EA02"/>
    <w:rsid w:val="24695F96"/>
    <w:rsid w:val="24AFCE92"/>
    <w:rsid w:val="255ACFB0"/>
    <w:rsid w:val="25AE5975"/>
    <w:rsid w:val="25C1F6E8"/>
    <w:rsid w:val="25F8D866"/>
    <w:rsid w:val="2612C366"/>
    <w:rsid w:val="265F7C88"/>
    <w:rsid w:val="26CABAF7"/>
    <w:rsid w:val="26E234B7"/>
    <w:rsid w:val="271A968A"/>
    <w:rsid w:val="274C4A6A"/>
    <w:rsid w:val="27EC85CC"/>
    <w:rsid w:val="2848D868"/>
    <w:rsid w:val="288C82D5"/>
    <w:rsid w:val="28C04883"/>
    <w:rsid w:val="29113C30"/>
    <w:rsid w:val="29310909"/>
    <w:rsid w:val="293263A9"/>
    <w:rsid w:val="29491CCA"/>
    <w:rsid w:val="2A2A5EB5"/>
    <w:rsid w:val="2AA1C95C"/>
    <w:rsid w:val="2B4693F5"/>
    <w:rsid w:val="2B9F6B93"/>
    <w:rsid w:val="2C9D685B"/>
    <w:rsid w:val="2D04128B"/>
    <w:rsid w:val="2D2B0D40"/>
    <w:rsid w:val="2E52DCE6"/>
    <w:rsid w:val="2E5EC9BC"/>
    <w:rsid w:val="2E6556EB"/>
    <w:rsid w:val="2EE056B8"/>
    <w:rsid w:val="2EEDEE8C"/>
    <w:rsid w:val="2F963B20"/>
    <w:rsid w:val="3192E6DD"/>
    <w:rsid w:val="321E5A71"/>
    <w:rsid w:val="322EB761"/>
    <w:rsid w:val="33B8C919"/>
    <w:rsid w:val="34205E0A"/>
    <w:rsid w:val="34323889"/>
    <w:rsid w:val="3456063E"/>
    <w:rsid w:val="347ADCCD"/>
    <w:rsid w:val="34BD0E9D"/>
    <w:rsid w:val="35422AF7"/>
    <w:rsid w:val="35DEF4BD"/>
    <w:rsid w:val="364CCCCB"/>
    <w:rsid w:val="3687D50F"/>
    <w:rsid w:val="36B74535"/>
    <w:rsid w:val="36F348B2"/>
    <w:rsid w:val="372FC686"/>
    <w:rsid w:val="3748F5A1"/>
    <w:rsid w:val="3769ACD5"/>
    <w:rsid w:val="376DFB4C"/>
    <w:rsid w:val="37DDDAA1"/>
    <w:rsid w:val="37E144D4"/>
    <w:rsid w:val="383AD645"/>
    <w:rsid w:val="38419BF0"/>
    <w:rsid w:val="384D1920"/>
    <w:rsid w:val="3859B359"/>
    <w:rsid w:val="3863D10E"/>
    <w:rsid w:val="38B501E4"/>
    <w:rsid w:val="390DFAE1"/>
    <w:rsid w:val="3917F7AD"/>
    <w:rsid w:val="395C8A2B"/>
    <w:rsid w:val="39892848"/>
    <w:rsid w:val="3AB5EF4D"/>
    <w:rsid w:val="3AE9A37E"/>
    <w:rsid w:val="3B0487BA"/>
    <w:rsid w:val="3B09793A"/>
    <w:rsid w:val="3B8A2ECE"/>
    <w:rsid w:val="3BCC910E"/>
    <w:rsid w:val="3BEC080E"/>
    <w:rsid w:val="3C175C64"/>
    <w:rsid w:val="3C9F944A"/>
    <w:rsid w:val="3CFBB6C0"/>
    <w:rsid w:val="3DA52081"/>
    <w:rsid w:val="3DCC371C"/>
    <w:rsid w:val="3E00C8CC"/>
    <w:rsid w:val="3ED7C869"/>
    <w:rsid w:val="3EDC3F43"/>
    <w:rsid w:val="3F4FBD00"/>
    <w:rsid w:val="3F8C1B53"/>
    <w:rsid w:val="409E52E1"/>
    <w:rsid w:val="414DE648"/>
    <w:rsid w:val="41C5CDDF"/>
    <w:rsid w:val="422E966D"/>
    <w:rsid w:val="4327B349"/>
    <w:rsid w:val="4364C79A"/>
    <w:rsid w:val="43E1E70A"/>
    <w:rsid w:val="44CDA6CA"/>
    <w:rsid w:val="44F805CF"/>
    <w:rsid w:val="451DCA4C"/>
    <w:rsid w:val="4597A4AB"/>
    <w:rsid w:val="46A4BC8F"/>
    <w:rsid w:val="46B7A485"/>
    <w:rsid w:val="46EB049D"/>
    <w:rsid w:val="46F1EB98"/>
    <w:rsid w:val="474BEF26"/>
    <w:rsid w:val="475360DB"/>
    <w:rsid w:val="479C6DDA"/>
    <w:rsid w:val="47B96422"/>
    <w:rsid w:val="482B25E4"/>
    <w:rsid w:val="48C3A5B2"/>
    <w:rsid w:val="491A25E9"/>
    <w:rsid w:val="49212102"/>
    <w:rsid w:val="4943B508"/>
    <w:rsid w:val="497D02D2"/>
    <w:rsid w:val="49B1FC76"/>
    <w:rsid w:val="49DA1B8C"/>
    <w:rsid w:val="4A3502CC"/>
    <w:rsid w:val="4A9852E6"/>
    <w:rsid w:val="4ADFAE14"/>
    <w:rsid w:val="4B1BB91A"/>
    <w:rsid w:val="4B3B1BA4"/>
    <w:rsid w:val="4C2E6ACD"/>
    <w:rsid w:val="4CEEEB5D"/>
    <w:rsid w:val="4D30B85B"/>
    <w:rsid w:val="4D8BCD1D"/>
    <w:rsid w:val="4DB43412"/>
    <w:rsid w:val="4E12780C"/>
    <w:rsid w:val="4E8626B7"/>
    <w:rsid w:val="4EE5D735"/>
    <w:rsid w:val="4F354C26"/>
    <w:rsid w:val="4FC31295"/>
    <w:rsid w:val="4FD5B3DE"/>
    <w:rsid w:val="505AECDF"/>
    <w:rsid w:val="5158B334"/>
    <w:rsid w:val="51FE6632"/>
    <w:rsid w:val="52591C57"/>
    <w:rsid w:val="52DF54B1"/>
    <w:rsid w:val="5315955C"/>
    <w:rsid w:val="5323DC36"/>
    <w:rsid w:val="53748552"/>
    <w:rsid w:val="53C42F2F"/>
    <w:rsid w:val="54286640"/>
    <w:rsid w:val="5482D49F"/>
    <w:rsid w:val="548FBA18"/>
    <w:rsid w:val="54FE0743"/>
    <w:rsid w:val="5512DD5D"/>
    <w:rsid w:val="561D26FB"/>
    <w:rsid w:val="564D7E33"/>
    <w:rsid w:val="569D50D7"/>
    <w:rsid w:val="56AFCAF3"/>
    <w:rsid w:val="58578DA0"/>
    <w:rsid w:val="587DD881"/>
    <w:rsid w:val="594E18DD"/>
    <w:rsid w:val="5967B05C"/>
    <w:rsid w:val="5A0FC13E"/>
    <w:rsid w:val="5A4B833C"/>
    <w:rsid w:val="5A7DBB28"/>
    <w:rsid w:val="5CC5E78D"/>
    <w:rsid w:val="5CDA3F0C"/>
    <w:rsid w:val="5D3E8C3A"/>
    <w:rsid w:val="5E86E90F"/>
    <w:rsid w:val="5F2AA75B"/>
    <w:rsid w:val="5F52DBF8"/>
    <w:rsid w:val="5FAA145B"/>
    <w:rsid w:val="60642410"/>
    <w:rsid w:val="60CBFE5F"/>
    <w:rsid w:val="61460F13"/>
    <w:rsid w:val="6171F91A"/>
    <w:rsid w:val="6181ABBA"/>
    <w:rsid w:val="618BDB4F"/>
    <w:rsid w:val="61E1833E"/>
    <w:rsid w:val="62027F3D"/>
    <w:rsid w:val="625A9BFE"/>
    <w:rsid w:val="626957E9"/>
    <w:rsid w:val="628AE433"/>
    <w:rsid w:val="62AC7F2A"/>
    <w:rsid w:val="6312A09C"/>
    <w:rsid w:val="647F675F"/>
    <w:rsid w:val="6499552B"/>
    <w:rsid w:val="657D3CB7"/>
    <w:rsid w:val="65977C81"/>
    <w:rsid w:val="65BC0779"/>
    <w:rsid w:val="65BD083A"/>
    <w:rsid w:val="66001D8F"/>
    <w:rsid w:val="66213E4D"/>
    <w:rsid w:val="6666753A"/>
    <w:rsid w:val="669C35CB"/>
    <w:rsid w:val="66F544C9"/>
    <w:rsid w:val="66FFFFAA"/>
    <w:rsid w:val="67390723"/>
    <w:rsid w:val="680C2053"/>
    <w:rsid w:val="681CC4E7"/>
    <w:rsid w:val="689D383C"/>
    <w:rsid w:val="68B344CE"/>
    <w:rsid w:val="68E6C4F3"/>
    <w:rsid w:val="694A9226"/>
    <w:rsid w:val="69ACE667"/>
    <w:rsid w:val="69E25857"/>
    <w:rsid w:val="6A9EC450"/>
    <w:rsid w:val="6AB78F22"/>
    <w:rsid w:val="6B1FC355"/>
    <w:rsid w:val="6C04EECF"/>
    <w:rsid w:val="6C11BD26"/>
    <w:rsid w:val="6C3F6AC1"/>
    <w:rsid w:val="6CBCC1ED"/>
    <w:rsid w:val="6CEA68E1"/>
    <w:rsid w:val="6DBE981B"/>
    <w:rsid w:val="6DD7C02A"/>
    <w:rsid w:val="6E780E51"/>
    <w:rsid w:val="6FAC2A98"/>
    <w:rsid w:val="6FAD7EFA"/>
    <w:rsid w:val="702AD48B"/>
    <w:rsid w:val="70A055D9"/>
    <w:rsid w:val="711950AA"/>
    <w:rsid w:val="713E085D"/>
    <w:rsid w:val="715C5DFB"/>
    <w:rsid w:val="715D6156"/>
    <w:rsid w:val="716D8EDA"/>
    <w:rsid w:val="725DD491"/>
    <w:rsid w:val="7290369E"/>
    <w:rsid w:val="72E3C6BD"/>
    <w:rsid w:val="7339C92E"/>
    <w:rsid w:val="7379533D"/>
    <w:rsid w:val="740C62FC"/>
    <w:rsid w:val="744B6BEC"/>
    <w:rsid w:val="7461B543"/>
    <w:rsid w:val="7471B1C5"/>
    <w:rsid w:val="74A6F9F4"/>
    <w:rsid w:val="74AED8FE"/>
    <w:rsid w:val="74B8DB4C"/>
    <w:rsid w:val="74C47EEF"/>
    <w:rsid w:val="74DC95FB"/>
    <w:rsid w:val="76AAD3A3"/>
    <w:rsid w:val="76AE4AB1"/>
    <w:rsid w:val="76C75FD6"/>
    <w:rsid w:val="76C7A1BB"/>
    <w:rsid w:val="78EB327C"/>
    <w:rsid w:val="797E8717"/>
    <w:rsid w:val="7A6B4683"/>
    <w:rsid w:val="7A89E951"/>
    <w:rsid w:val="7AD7B2D6"/>
    <w:rsid w:val="7C0B595F"/>
    <w:rsid w:val="7C9CE8DB"/>
    <w:rsid w:val="7D15BFC1"/>
    <w:rsid w:val="7D5A700E"/>
    <w:rsid w:val="7D657F97"/>
    <w:rsid w:val="7D6C9A78"/>
    <w:rsid w:val="7D7662D2"/>
    <w:rsid w:val="7DD81BB0"/>
    <w:rsid w:val="7DD8946F"/>
    <w:rsid w:val="7DFEDD0D"/>
    <w:rsid w:val="7E53DA0E"/>
    <w:rsid w:val="7E66C385"/>
    <w:rsid w:val="7EDDD5CA"/>
    <w:rsid w:val="7EE7CC2C"/>
    <w:rsid w:val="7F4F20D0"/>
    <w:rsid w:val="7F7AA00D"/>
    <w:rsid w:val="7F8D8B9D"/>
    <w:rsid w:val="7FA07E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E8C3A"/>
  <w15:chartTrackingRefBased/>
  <w15:docId w15:val="{4BF08980-FD29-4212-AF8E-69DAC5DA47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8C3A5B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8C3A5B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8C3A5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8C3A5B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8C3A5B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8C3A5B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8C3A5B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8C3A5B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8C3A5B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8C3A5B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8C3A5B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8C3A5B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8C3A5B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8C3A5B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64D7E3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8245db76c3a468d" /><Relationship Type="http://schemas.openxmlformats.org/officeDocument/2006/relationships/numbering" Target="numbering.xml" Id="R00a71fb9beea4cf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2025-05-27T18:35:04.9763396Z</dcterms:created>
  <dcterms:modified xsi:type="dcterms:W3CDTF">2025-06-10T18:48:27.2696844Z</dcterms:modified>
  <dc:creator>Amy Williams (2307162)</dc:creator>
  <lastModifiedBy>Amy Williams (2307162)</lastModifiedBy>
</coreProperties>
</file>