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F4423" w:rsidP="008E22CA" w:rsidRDefault="001F4423" w14:paraId="1DEC2A92" w14:textId="77777777">
      <w:pPr>
        <w:spacing w:after="600" w:line="360" w:lineRule="auto"/>
        <w:jc w:val="center"/>
        <w:rPr>
          <w:rFonts w:ascii="Arial" w:hAnsi="Arial" w:eastAsia="Arial" w:cs="Arial"/>
          <w:b/>
          <w:bCs/>
          <w:sz w:val="32"/>
          <w:szCs w:val="32"/>
        </w:rPr>
      </w:pPr>
    </w:p>
    <w:p w:rsidR="001F4423" w:rsidP="008E22CA" w:rsidRDefault="001F4423" w14:paraId="4B81304F" w14:textId="77777777">
      <w:pPr>
        <w:spacing w:after="600" w:line="360" w:lineRule="auto"/>
        <w:jc w:val="center"/>
        <w:rPr>
          <w:rFonts w:ascii="Arial" w:hAnsi="Arial" w:eastAsia="Arial" w:cs="Arial"/>
          <w:b/>
          <w:bCs/>
          <w:sz w:val="32"/>
          <w:szCs w:val="32"/>
        </w:rPr>
      </w:pPr>
    </w:p>
    <w:p w:rsidR="001F4423" w:rsidP="008E22CA" w:rsidRDefault="001F4423" w14:paraId="3C7DDE8D" w14:textId="36272D47">
      <w:pPr>
        <w:spacing w:after="600" w:line="360" w:lineRule="auto"/>
        <w:jc w:val="center"/>
        <w:rPr>
          <w:rFonts w:ascii="Arial" w:hAnsi="Arial" w:eastAsia="Arial" w:cs="Arial"/>
          <w:b/>
          <w:bCs/>
          <w:sz w:val="32"/>
          <w:szCs w:val="32"/>
        </w:rPr>
      </w:pPr>
      <w:r>
        <w:rPr>
          <w:rFonts w:ascii="Arial" w:hAnsi="Arial" w:eastAsia="Arial" w:cs="Arial"/>
          <w:b/>
          <w:bCs/>
          <w:sz w:val="32"/>
          <w:szCs w:val="32"/>
        </w:rPr>
        <w:t>The Critical Evaluation of Electronic Health Records (HER) as a Digital Innovation in UK Health and Social Care</w:t>
      </w:r>
    </w:p>
    <w:p w:rsidR="001F4423" w:rsidP="2ED87506" w:rsidRDefault="001F4423" w14:paraId="391177A0" w14:textId="1A8A0069">
      <w:pPr>
        <w:spacing w:after="600" w:line="360" w:lineRule="auto"/>
        <w:jc w:val="center"/>
      </w:pPr>
      <w:r w:rsidRPr="2ED87506" w:rsidR="001F4423">
        <w:rPr>
          <w:rFonts w:ascii="Arial" w:hAnsi="Arial" w:eastAsia="Arial" w:cs="Arial"/>
          <w:sz w:val="24"/>
          <w:szCs w:val="24"/>
          <w:u w:val="single"/>
        </w:rPr>
        <w:t xml:space="preserve">Student </w:t>
      </w:r>
      <w:r w:rsidRPr="2ED87506" w:rsidR="001F4423">
        <w:rPr>
          <w:rFonts w:ascii="Arial" w:hAnsi="Arial" w:eastAsia="Arial" w:cs="Arial"/>
          <w:sz w:val="24"/>
          <w:szCs w:val="24"/>
        </w:rPr>
        <w:t>Name</w:t>
      </w:r>
      <w:r w:rsidRPr="2ED87506" w:rsidR="6F1EF905">
        <w:rPr>
          <w:rFonts w:ascii="Arial" w:hAnsi="Arial" w:eastAsia="Arial" w:cs="Arial"/>
          <w:sz w:val="24"/>
          <w:szCs w:val="24"/>
        </w:rPr>
        <w:t>: TATI BANGOU</w:t>
      </w:r>
      <w:r w:rsidRPr="2ED87506" w:rsidR="19CBF0F5">
        <w:rPr>
          <w:rFonts w:ascii="Arial" w:hAnsi="Arial" w:eastAsia="Arial" w:cs="Arial"/>
          <w:sz w:val="24"/>
          <w:szCs w:val="24"/>
        </w:rPr>
        <w:t>RA</w:t>
      </w:r>
    </w:p>
    <w:p w:rsidRPr="001F4423" w:rsidR="001F4423" w:rsidP="2ED87506" w:rsidRDefault="001F4423" w14:paraId="708F0F17" w14:textId="03D48CDD">
      <w:pPr>
        <w:spacing w:after="600" w:line="360" w:lineRule="auto"/>
        <w:jc w:val="center"/>
        <w:rPr>
          <w:rFonts w:ascii="Arial" w:hAnsi="Arial" w:eastAsia="Arial" w:cs="Arial"/>
          <w:sz w:val="24"/>
          <w:szCs w:val="24"/>
        </w:rPr>
      </w:pPr>
      <w:r w:rsidRPr="2ED87506" w:rsidR="001F4423">
        <w:rPr>
          <w:rFonts w:ascii="Arial" w:hAnsi="Arial" w:eastAsia="Arial" w:cs="Arial"/>
          <w:sz w:val="24"/>
          <w:szCs w:val="24"/>
        </w:rPr>
        <w:t>Student Number</w:t>
      </w:r>
      <w:r w:rsidRPr="2ED87506" w:rsidR="22BE0187">
        <w:rPr>
          <w:rFonts w:ascii="Arial" w:hAnsi="Arial" w:eastAsia="Arial" w:cs="Arial"/>
          <w:sz w:val="24"/>
          <w:szCs w:val="24"/>
        </w:rPr>
        <w:t>: 2120469</w:t>
      </w:r>
    </w:p>
    <w:p w:rsidR="001F4423" w:rsidP="2ED87506" w:rsidRDefault="001F4423" w14:paraId="51B241F7" w14:textId="6589536F">
      <w:pPr>
        <w:spacing w:after="200" w:line="360" w:lineRule="auto"/>
        <w:jc w:val="center"/>
      </w:pPr>
      <w:r w:rsidRPr="2ED87506" w:rsidR="001F4423">
        <w:rPr>
          <w:rFonts w:ascii="Arial" w:hAnsi="Arial" w:eastAsia="Arial" w:cs="Arial"/>
          <w:sz w:val="22"/>
          <w:szCs w:val="22"/>
        </w:rPr>
        <w:t xml:space="preserve">Assignment Title: </w:t>
      </w:r>
      <w:r w:rsidRPr="2ED87506" w:rsidR="001F4423">
        <w:rPr>
          <w:rFonts w:ascii="Arial" w:hAnsi="Arial" w:eastAsia="Arial" w:cs="Arial"/>
          <w:sz w:val="22"/>
          <w:szCs w:val="22"/>
        </w:rPr>
        <w:t>Component</w:t>
      </w:r>
      <w:r w:rsidRPr="2ED87506" w:rsidR="001F4423">
        <w:rPr>
          <w:rFonts w:ascii="Arial" w:hAnsi="Arial" w:eastAsia="Arial" w:cs="Arial"/>
          <w:sz w:val="22"/>
          <w:szCs w:val="22"/>
        </w:rPr>
        <w:t xml:space="preserve"> 1-Written Report</w:t>
      </w:r>
    </w:p>
    <w:p w:rsidR="549688AF" w:rsidP="2ED87506" w:rsidRDefault="549688AF" w14:paraId="26B85750" w14:textId="1CD7537E">
      <w:pPr>
        <w:spacing w:after="200" w:line="360" w:lineRule="auto"/>
        <w:jc w:val="center"/>
      </w:pPr>
      <w:r w:rsidRPr="2ED87506" w:rsidR="549688AF">
        <w:rPr>
          <w:rFonts w:ascii="Arial" w:hAnsi="Arial" w:eastAsia="Arial" w:cs="Arial"/>
          <w:sz w:val="22"/>
          <w:szCs w:val="22"/>
        </w:rPr>
        <w:t xml:space="preserve">Module: Digital Transformation in the Health </w:t>
      </w:r>
      <w:r w:rsidRPr="2ED87506" w:rsidR="18580622">
        <w:rPr>
          <w:rFonts w:ascii="Arial" w:hAnsi="Arial" w:eastAsia="Arial" w:cs="Arial"/>
          <w:sz w:val="22"/>
          <w:szCs w:val="22"/>
        </w:rPr>
        <w:t xml:space="preserve">and Care </w:t>
      </w:r>
      <w:r w:rsidRPr="2ED87506" w:rsidR="18580622">
        <w:rPr>
          <w:rFonts w:ascii="Arial" w:hAnsi="Arial" w:eastAsia="Arial" w:cs="Arial"/>
          <w:sz w:val="22"/>
          <w:szCs w:val="22"/>
        </w:rPr>
        <w:t>Professions</w:t>
      </w:r>
    </w:p>
    <w:p w:rsidR="1599293C" w:rsidP="2ED87506" w:rsidRDefault="1599293C" w14:paraId="06D63523" w14:textId="496D8826">
      <w:pPr>
        <w:spacing w:after="200" w:line="360" w:lineRule="auto"/>
        <w:jc w:val="center"/>
      </w:pPr>
      <w:r w:rsidRPr="2ED87506" w:rsidR="1599293C">
        <w:rPr>
          <w:rFonts w:ascii="Arial" w:hAnsi="Arial" w:eastAsia="Arial" w:cs="Arial"/>
          <w:sz w:val="22"/>
          <w:szCs w:val="22"/>
        </w:rPr>
        <w:t>Module Code: BMH6026</w:t>
      </w:r>
    </w:p>
    <w:p w:rsidR="1599293C" w:rsidP="2ED87506" w:rsidRDefault="1599293C" w14:paraId="6534EC10" w14:textId="39D0EB5E">
      <w:pPr>
        <w:spacing w:after="200" w:line="360" w:lineRule="auto"/>
        <w:jc w:val="center"/>
      </w:pPr>
      <w:r w:rsidRPr="2ED87506" w:rsidR="1599293C">
        <w:rPr>
          <w:rFonts w:ascii="Arial" w:hAnsi="Arial" w:eastAsia="Arial" w:cs="Arial"/>
          <w:sz w:val="22"/>
          <w:szCs w:val="22"/>
        </w:rPr>
        <w:t>Lecturer: Martin Svejda</w:t>
      </w:r>
    </w:p>
    <w:p w:rsidR="00427250" w:rsidRDefault="00427250" w14:paraId="6D38FD0B" w14:textId="77777777">
      <w:pPr>
        <w:rPr>
          <w:rFonts w:ascii="Arial" w:hAnsi="Arial" w:eastAsia="Arial" w:cs="Arial"/>
          <w:sz w:val="22"/>
          <w:szCs w:val="22"/>
        </w:rPr>
      </w:pPr>
      <w:r>
        <w:rPr>
          <w:rFonts w:ascii="Arial" w:hAnsi="Arial" w:eastAsia="Arial" w:cs="Arial"/>
          <w:sz w:val="22"/>
          <w:szCs w:val="22"/>
        </w:rPr>
        <w:br w:type="page"/>
      </w:r>
    </w:p>
    <w:p w:rsidR="001F4423" w:rsidP="008E22CA" w:rsidRDefault="001F4423" w14:paraId="0883DD61" w14:textId="77777777">
      <w:pPr>
        <w:spacing w:after="200" w:line="360" w:lineRule="auto"/>
        <w:jc w:val="center"/>
      </w:pPr>
    </w:p>
    <w:sdt>
      <w:sdtPr>
        <w:rPr>
          <w:b/>
          <w:bCs/>
        </w:rPr>
        <w:id w:val="1781990921"/>
        <w:docPartObj>
          <w:docPartGallery w:val="Table of Contents"/>
          <w:docPartUnique/>
        </w:docPartObj>
      </w:sdtPr>
      <w:sdtEndPr>
        <w:rPr>
          <w:rFonts w:ascii="Times New Roman" w:hAnsi="Times New Roman" w:eastAsia="Times New Roman" w:cs="Times New Roman"/>
          <w:b w:val="1"/>
          <w:bCs w:val="1"/>
          <w:noProof/>
          <w:color w:val="auto"/>
          <w:sz w:val="20"/>
          <w:szCs w:val="20"/>
        </w:rPr>
      </w:sdtEndPr>
      <w:sdtContent>
        <w:p w:rsidRPr="00427250" w:rsidR="00427250" w:rsidP="00427250" w:rsidRDefault="00427250" w14:paraId="7E761FC7" w14:textId="00784211">
          <w:pPr>
            <w:pStyle w:val="TOCHeading"/>
            <w:jc w:val="center"/>
            <w:rPr>
              <w:b/>
              <w:bCs/>
            </w:rPr>
          </w:pPr>
          <w:r w:rsidRPr="00427250">
            <w:rPr>
              <w:b/>
              <w:bCs/>
            </w:rPr>
            <w:t>Table of Contents</w:t>
          </w:r>
        </w:p>
        <w:p w:rsidRPr="00427250" w:rsidR="00427250" w:rsidP="00427250" w:rsidRDefault="00427250" w14:paraId="4056CC2A" w14:textId="7359BC92">
          <w:pPr>
            <w:pStyle w:val="TOC1"/>
            <w:tabs>
              <w:tab w:val="right" w:leader="dot" w:pos="9016"/>
            </w:tabs>
            <w:spacing w:line="360" w:lineRule="auto"/>
            <w:rPr>
              <w:rFonts w:ascii="Arial" w:hAnsi="Arial" w:cs="Arial"/>
              <w:noProof/>
              <w:sz w:val="22"/>
              <w:szCs w:val="22"/>
            </w:rPr>
          </w:pPr>
          <w:r>
            <w:fldChar w:fldCharType="begin"/>
          </w:r>
          <w:r>
            <w:instrText xml:space="preserve"> TOC \o "1-3" \h \z \u </w:instrText>
          </w:r>
          <w:r>
            <w:fldChar w:fldCharType="separate"/>
          </w:r>
          <w:hyperlink w:history="1" w:anchor="_Toc234469288">
            <w:r w:rsidRPr="00427250">
              <w:rPr>
                <w:rStyle w:val="Hyperlink"/>
                <w:rFonts w:ascii="Arial" w:hAnsi="Arial" w:eastAsia="Arial" w:cs="Arial"/>
                <w:noProof/>
                <w:sz w:val="22"/>
                <w:szCs w:val="22"/>
              </w:rPr>
              <w:t>1. Introduction</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_Toc234469288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3</w:t>
            </w:r>
            <w:r w:rsidRPr="00427250">
              <w:rPr>
                <w:rFonts w:ascii="Arial" w:hAnsi="Arial" w:cs="Arial"/>
                <w:noProof/>
                <w:webHidden/>
                <w:sz w:val="22"/>
                <w:szCs w:val="22"/>
              </w:rPr>
              <w:fldChar w:fldCharType="end"/>
            </w:r>
          </w:hyperlink>
        </w:p>
        <w:p w:rsidRPr="00427250" w:rsidR="00427250" w:rsidP="00427250" w:rsidRDefault="00427250" w14:paraId="5CE32B4B" w14:textId="3806E51A">
          <w:pPr>
            <w:pStyle w:val="TOC1"/>
            <w:tabs>
              <w:tab w:val="right" w:leader="dot" w:pos="9016"/>
            </w:tabs>
            <w:spacing w:line="360" w:lineRule="auto"/>
            <w:rPr>
              <w:rFonts w:ascii="Arial" w:hAnsi="Arial" w:cs="Arial"/>
              <w:noProof/>
              <w:sz w:val="22"/>
              <w:szCs w:val="22"/>
            </w:rPr>
          </w:pPr>
          <w:hyperlink w:history="1" w:anchor="_Toc234469289">
            <w:r w:rsidRPr="00427250">
              <w:rPr>
                <w:rStyle w:val="Hyperlink"/>
                <w:rFonts w:ascii="Arial" w:hAnsi="Arial" w:cs="Arial"/>
                <w:noProof/>
                <w:sz w:val="22"/>
                <w:szCs w:val="22"/>
              </w:rPr>
              <w:t>2. Service Delivery</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_Toc234469289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3</w:t>
            </w:r>
            <w:r w:rsidRPr="00427250">
              <w:rPr>
                <w:rFonts w:ascii="Arial" w:hAnsi="Arial" w:cs="Arial"/>
                <w:noProof/>
                <w:webHidden/>
                <w:sz w:val="22"/>
                <w:szCs w:val="22"/>
              </w:rPr>
              <w:fldChar w:fldCharType="end"/>
            </w:r>
          </w:hyperlink>
        </w:p>
        <w:p w:rsidRPr="00427250" w:rsidR="00427250" w:rsidP="00427250" w:rsidRDefault="00427250" w14:paraId="1200B364" w14:textId="5D2A04DF">
          <w:pPr>
            <w:pStyle w:val="TOC2"/>
            <w:tabs>
              <w:tab w:val="right" w:leader="dot" w:pos="9016"/>
            </w:tabs>
            <w:spacing w:line="360" w:lineRule="auto"/>
            <w:rPr>
              <w:rFonts w:ascii="Arial" w:hAnsi="Arial" w:cs="Arial"/>
              <w:noProof/>
              <w:sz w:val="22"/>
              <w:szCs w:val="22"/>
            </w:rPr>
          </w:pPr>
          <w:hyperlink w:history="1" w:anchor="_Toc234469290">
            <w:r w:rsidRPr="00427250">
              <w:rPr>
                <w:rStyle w:val="Hyperlink"/>
                <w:rFonts w:ascii="Arial" w:hAnsi="Arial" w:cs="Arial"/>
                <w:noProof/>
                <w:sz w:val="22"/>
                <w:szCs w:val="22"/>
              </w:rPr>
              <w:t>2.1. Impact on Service Delivery</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_Toc234469290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3</w:t>
            </w:r>
            <w:r w:rsidRPr="00427250">
              <w:rPr>
                <w:rFonts w:ascii="Arial" w:hAnsi="Arial" w:cs="Arial"/>
                <w:noProof/>
                <w:webHidden/>
                <w:sz w:val="22"/>
                <w:szCs w:val="22"/>
              </w:rPr>
              <w:fldChar w:fldCharType="end"/>
            </w:r>
          </w:hyperlink>
        </w:p>
        <w:p w:rsidRPr="00427250" w:rsidR="00427250" w:rsidP="00427250" w:rsidRDefault="00427250" w14:paraId="3FEEC052" w14:textId="7F9819C7">
          <w:pPr>
            <w:pStyle w:val="TOC2"/>
            <w:tabs>
              <w:tab w:val="right" w:leader="dot" w:pos="9016"/>
            </w:tabs>
            <w:spacing w:line="360" w:lineRule="auto"/>
            <w:rPr>
              <w:rFonts w:ascii="Arial" w:hAnsi="Arial" w:cs="Arial"/>
              <w:noProof/>
              <w:sz w:val="22"/>
              <w:szCs w:val="22"/>
            </w:rPr>
          </w:pPr>
          <w:hyperlink w:history="1" w:anchor="_Toc234469291">
            <w:r w:rsidRPr="00427250">
              <w:rPr>
                <w:rStyle w:val="Hyperlink"/>
                <w:rFonts w:ascii="Arial" w:hAnsi="Arial" w:cs="Arial"/>
                <w:noProof/>
                <w:sz w:val="22"/>
                <w:szCs w:val="22"/>
              </w:rPr>
              <w:t>2.2. Critical Evaluation with UK Evidence</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_Toc234469291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4</w:t>
            </w:r>
            <w:r w:rsidRPr="00427250">
              <w:rPr>
                <w:rFonts w:ascii="Arial" w:hAnsi="Arial" w:cs="Arial"/>
                <w:noProof/>
                <w:webHidden/>
                <w:sz w:val="22"/>
                <w:szCs w:val="22"/>
              </w:rPr>
              <w:fldChar w:fldCharType="end"/>
            </w:r>
          </w:hyperlink>
        </w:p>
        <w:p w:rsidRPr="00427250" w:rsidR="00427250" w:rsidP="00427250" w:rsidRDefault="00427250" w14:paraId="4554DE15" w14:textId="7522403A">
          <w:pPr>
            <w:pStyle w:val="TOC1"/>
            <w:tabs>
              <w:tab w:val="right" w:leader="dot" w:pos="9016"/>
            </w:tabs>
            <w:spacing w:line="360" w:lineRule="auto"/>
            <w:rPr>
              <w:rFonts w:ascii="Arial" w:hAnsi="Arial" w:cs="Arial"/>
              <w:noProof/>
              <w:sz w:val="22"/>
              <w:szCs w:val="22"/>
            </w:rPr>
          </w:pPr>
          <w:hyperlink w:history="1" w:anchor="_Toc234469292">
            <w:r w:rsidRPr="00427250">
              <w:rPr>
                <w:rStyle w:val="Hyperlink"/>
                <w:rFonts w:ascii="Arial" w:hAnsi="Arial" w:cs="Arial"/>
                <w:noProof/>
                <w:sz w:val="22"/>
                <w:szCs w:val="22"/>
              </w:rPr>
              <w:t>3. Patient / Service User</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_Toc234469292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5</w:t>
            </w:r>
            <w:r w:rsidRPr="00427250">
              <w:rPr>
                <w:rFonts w:ascii="Arial" w:hAnsi="Arial" w:cs="Arial"/>
                <w:noProof/>
                <w:webHidden/>
                <w:sz w:val="22"/>
                <w:szCs w:val="22"/>
              </w:rPr>
              <w:fldChar w:fldCharType="end"/>
            </w:r>
          </w:hyperlink>
        </w:p>
        <w:p w:rsidRPr="00427250" w:rsidR="00427250" w:rsidP="00427250" w:rsidRDefault="00427250" w14:paraId="63D8B2BA" w14:textId="2760AA6C">
          <w:pPr>
            <w:pStyle w:val="TOC2"/>
            <w:tabs>
              <w:tab w:val="right" w:leader="dot" w:pos="9016"/>
            </w:tabs>
            <w:spacing w:line="360" w:lineRule="auto"/>
            <w:rPr>
              <w:rFonts w:ascii="Arial" w:hAnsi="Arial" w:cs="Arial"/>
              <w:noProof/>
              <w:sz w:val="22"/>
              <w:szCs w:val="22"/>
            </w:rPr>
          </w:pPr>
          <w:hyperlink w:history="1" w:anchor="_Toc234469293">
            <w:r w:rsidRPr="00427250">
              <w:rPr>
                <w:rStyle w:val="Hyperlink"/>
                <w:rFonts w:ascii="Arial" w:hAnsi="Arial" w:cs="Arial"/>
                <w:noProof/>
                <w:sz w:val="22"/>
                <w:szCs w:val="22"/>
              </w:rPr>
              <w:t>3.2. Impact on Patient Experience</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_Toc234469293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5</w:t>
            </w:r>
            <w:r w:rsidRPr="00427250">
              <w:rPr>
                <w:rFonts w:ascii="Arial" w:hAnsi="Arial" w:cs="Arial"/>
                <w:noProof/>
                <w:webHidden/>
                <w:sz w:val="22"/>
                <w:szCs w:val="22"/>
              </w:rPr>
              <w:fldChar w:fldCharType="end"/>
            </w:r>
          </w:hyperlink>
        </w:p>
        <w:p w:rsidRPr="00427250" w:rsidR="00427250" w:rsidP="00427250" w:rsidRDefault="00427250" w14:paraId="0B4D8761" w14:textId="60A19D5C">
          <w:pPr>
            <w:pStyle w:val="TOC2"/>
            <w:tabs>
              <w:tab w:val="right" w:leader="dot" w:pos="9016"/>
            </w:tabs>
            <w:spacing w:line="360" w:lineRule="auto"/>
            <w:rPr>
              <w:rFonts w:ascii="Arial" w:hAnsi="Arial" w:cs="Arial"/>
              <w:noProof/>
              <w:sz w:val="22"/>
              <w:szCs w:val="22"/>
            </w:rPr>
          </w:pPr>
          <w:hyperlink w:history="1" w:anchor="_Toc234469294">
            <w:r w:rsidRPr="00427250">
              <w:rPr>
                <w:rStyle w:val="Hyperlink"/>
                <w:rFonts w:ascii="Arial" w:hAnsi="Arial" w:cs="Arial"/>
                <w:noProof/>
                <w:sz w:val="22"/>
                <w:szCs w:val="22"/>
              </w:rPr>
              <w:t>3.2. Critical Evaluation with UK Evidence</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_Toc234469294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5</w:t>
            </w:r>
            <w:r w:rsidRPr="00427250">
              <w:rPr>
                <w:rFonts w:ascii="Arial" w:hAnsi="Arial" w:cs="Arial"/>
                <w:noProof/>
                <w:webHidden/>
                <w:sz w:val="22"/>
                <w:szCs w:val="22"/>
              </w:rPr>
              <w:fldChar w:fldCharType="end"/>
            </w:r>
          </w:hyperlink>
        </w:p>
        <w:p w:rsidRPr="00427250" w:rsidR="00427250" w:rsidP="00427250" w:rsidRDefault="00427250" w14:paraId="384F46BE" w14:textId="3D331BF3">
          <w:pPr>
            <w:pStyle w:val="TOC1"/>
            <w:tabs>
              <w:tab w:val="right" w:leader="dot" w:pos="9016"/>
            </w:tabs>
            <w:spacing w:line="360" w:lineRule="auto"/>
            <w:rPr>
              <w:rFonts w:ascii="Arial" w:hAnsi="Arial" w:cs="Arial"/>
              <w:noProof/>
              <w:sz w:val="22"/>
              <w:szCs w:val="22"/>
            </w:rPr>
          </w:pPr>
          <w:hyperlink w:history="1" w:anchor="_Toc234469295">
            <w:r w:rsidRPr="00427250">
              <w:rPr>
                <w:rStyle w:val="Hyperlink"/>
                <w:rFonts w:ascii="Arial" w:hAnsi="Arial" w:cs="Arial"/>
                <w:noProof/>
                <w:sz w:val="22"/>
                <w:szCs w:val="22"/>
              </w:rPr>
              <w:t>4. Community</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_Toc234469295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6</w:t>
            </w:r>
            <w:r w:rsidRPr="00427250">
              <w:rPr>
                <w:rFonts w:ascii="Arial" w:hAnsi="Arial" w:cs="Arial"/>
                <w:noProof/>
                <w:webHidden/>
                <w:sz w:val="22"/>
                <w:szCs w:val="22"/>
              </w:rPr>
              <w:fldChar w:fldCharType="end"/>
            </w:r>
          </w:hyperlink>
        </w:p>
        <w:p w:rsidRPr="00427250" w:rsidR="00427250" w:rsidP="00427250" w:rsidRDefault="00427250" w14:paraId="5459AAD5" w14:textId="3743ECE9">
          <w:pPr>
            <w:pStyle w:val="TOC2"/>
            <w:tabs>
              <w:tab w:val="right" w:leader="dot" w:pos="9016"/>
            </w:tabs>
            <w:spacing w:line="360" w:lineRule="auto"/>
            <w:rPr>
              <w:rFonts w:ascii="Arial" w:hAnsi="Arial" w:cs="Arial"/>
              <w:noProof/>
              <w:sz w:val="22"/>
              <w:szCs w:val="22"/>
            </w:rPr>
          </w:pPr>
          <w:hyperlink w:history="1" w:anchor="_Toc234469296">
            <w:r w:rsidRPr="00427250">
              <w:rPr>
                <w:rStyle w:val="Hyperlink"/>
                <w:rFonts w:ascii="Arial" w:hAnsi="Arial" w:cs="Arial"/>
                <w:noProof/>
                <w:sz w:val="22"/>
                <w:szCs w:val="22"/>
              </w:rPr>
              <w:t>4.1 Community Impact</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_Toc234469296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6</w:t>
            </w:r>
            <w:r w:rsidRPr="00427250">
              <w:rPr>
                <w:rFonts w:ascii="Arial" w:hAnsi="Arial" w:cs="Arial"/>
                <w:noProof/>
                <w:webHidden/>
                <w:sz w:val="22"/>
                <w:szCs w:val="22"/>
              </w:rPr>
              <w:fldChar w:fldCharType="end"/>
            </w:r>
          </w:hyperlink>
        </w:p>
        <w:p w:rsidRPr="00427250" w:rsidR="00427250" w:rsidP="00427250" w:rsidRDefault="00427250" w14:paraId="0EFB95FB" w14:textId="2E7E399A">
          <w:pPr>
            <w:pStyle w:val="TOC2"/>
            <w:tabs>
              <w:tab w:val="right" w:leader="dot" w:pos="9016"/>
            </w:tabs>
            <w:spacing w:line="360" w:lineRule="auto"/>
            <w:rPr>
              <w:rFonts w:ascii="Arial" w:hAnsi="Arial" w:cs="Arial"/>
              <w:noProof/>
              <w:sz w:val="22"/>
              <w:szCs w:val="22"/>
            </w:rPr>
          </w:pPr>
          <w:hyperlink w:history="1" w:anchor="_Toc234469297">
            <w:r w:rsidRPr="00427250">
              <w:rPr>
                <w:rStyle w:val="Hyperlink"/>
                <w:rFonts w:ascii="Arial" w:hAnsi="Arial" w:cs="Arial"/>
                <w:noProof/>
                <w:sz w:val="22"/>
                <w:szCs w:val="22"/>
              </w:rPr>
              <w:t>4.2 Critical Evaluation with UK Evidence</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_Toc234469297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6</w:t>
            </w:r>
            <w:r w:rsidRPr="00427250">
              <w:rPr>
                <w:rFonts w:ascii="Arial" w:hAnsi="Arial" w:cs="Arial"/>
                <w:noProof/>
                <w:webHidden/>
                <w:sz w:val="22"/>
                <w:szCs w:val="22"/>
              </w:rPr>
              <w:fldChar w:fldCharType="end"/>
            </w:r>
          </w:hyperlink>
        </w:p>
        <w:p w:rsidRPr="00427250" w:rsidR="00427250" w:rsidP="00427250" w:rsidRDefault="00427250" w14:paraId="64B58789" w14:textId="02B2E06C">
          <w:pPr>
            <w:pStyle w:val="TOC1"/>
            <w:tabs>
              <w:tab w:val="right" w:leader="dot" w:pos="9016"/>
            </w:tabs>
            <w:spacing w:line="360" w:lineRule="auto"/>
            <w:rPr>
              <w:rFonts w:ascii="Arial" w:hAnsi="Arial" w:cs="Arial"/>
              <w:noProof/>
              <w:sz w:val="22"/>
              <w:szCs w:val="22"/>
            </w:rPr>
          </w:pPr>
          <w:hyperlink w:history="1" w:anchor="_Toc234469298">
            <w:r w:rsidRPr="00427250">
              <w:rPr>
                <w:rStyle w:val="Hyperlink"/>
                <w:rFonts w:ascii="Arial" w:hAnsi="Arial" w:eastAsia="Arial" w:cs="Arial"/>
                <w:noProof/>
                <w:sz w:val="22"/>
                <w:szCs w:val="22"/>
              </w:rPr>
              <w:t>5. Conclusion and Recommendations</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_Toc234469298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7</w:t>
            </w:r>
            <w:r w:rsidRPr="00427250">
              <w:rPr>
                <w:rFonts w:ascii="Arial" w:hAnsi="Arial" w:cs="Arial"/>
                <w:noProof/>
                <w:webHidden/>
                <w:sz w:val="22"/>
                <w:szCs w:val="22"/>
              </w:rPr>
              <w:fldChar w:fldCharType="end"/>
            </w:r>
          </w:hyperlink>
        </w:p>
        <w:p w:rsidRPr="00427250" w:rsidR="00427250" w:rsidP="00427250" w:rsidRDefault="00427250" w14:paraId="231D8C4E" w14:textId="0C37CF78">
          <w:pPr>
            <w:pStyle w:val="TOC2"/>
            <w:tabs>
              <w:tab w:val="right" w:leader="dot" w:pos="9016"/>
            </w:tabs>
            <w:spacing w:line="360" w:lineRule="auto"/>
            <w:rPr>
              <w:rFonts w:ascii="Arial" w:hAnsi="Arial" w:cs="Arial"/>
              <w:noProof/>
              <w:sz w:val="22"/>
              <w:szCs w:val="22"/>
            </w:rPr>
          </w:pPr>
          <w:hyperlink w:history="1" w:anchor="_Toc234469299">
            <w:r w:rsidRPr="00427250">
              <w:rPr>
                <w:rStyle w:val="Hyperlink"/>
                <w:rFonts w:ascii="Arial" w:hAnsi="Arial" w:cs="Arial"/>
                <w:noProof/>
                <w:sz w:val="22"/>
                <w:szCs w:val="22"/>
              </w:rPr>
              <w:t>5.1. Recommendations</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_Toc234469299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7</w:t>
            </w:r>
            <w:r w:rsidRPr="00427250">
              <w:rPr>
                <w:rFonts w:ascii="Arial" w:hAnsi="Arial" w:cs="Arial"/>
                <w:noProof/>
                <w:webHidden/>
                <w:sz w:val="22"/>
                <w:szCs w:val="22"/>
              </w:rPr>
              <w:fldChar w:fldCharType="end"/>
            </w:r>
          </w:hyperlink>
        </w:p>
        <w:p w:rsidR="00427250" w:rsidP="00427250" w:rsidRDefault="00427250" w14:paraId="3F9C57A4" w14:textId="3DD6D51A">
          <w:pPr>
            <w:pStyle w:val="TOC1"/>
            <w:tabs>
              <w:tab w:val="right" w:leader="dot" w:pos="9016"/>
            </w:tabs>
            <w:spacing w:line="360" w:lineRule="auto"/>
            <w:rPr>
              <w:noProof/>
            </w:rPr>
          </w:pPr>
          <w:hyperlink w:history="1" w:anchor="_Toc234469300">
            <w:r w:rsidRPr="00427250">
              <w:rPr>
                <w:rStyle w:val="Hyperlink"/>
                <w:rFonts w:ascii="Arial" w:hAnsi="Arial" w:cs="Arial"/>
                <w:noProof/>
                <w:sz w:val="22"/>
                <w:szCs w:val="22"/>
              </w:rPr>
              <w:t>References</w:t>
            </w:r>
            <w:r w:rsidRPr="00427250">
              <w:rPr>
                <w:rFonts w:ascii="Arial" w:hAnsi="Arial" w:cs="Arial"/>
                <w:noProof/>
                <w:webHidden/>
                <w:sz w:val="22"/>
                <w:szCs w:val="22"/>
              </w:rPr>
              <w:tab/>
            </w:r>
            <w:r w:rsidRPr="00427250">
              <w:rPr>
                <w:rFonts w:ascii="Arial" w:hAnsi="Arial" w:cs="Arial"/>
                <w:noProof/>
                <w:webHidden/>
                <w:sz w:val="22"/>
                <w:szCs w:val="22"/>
              </w:rPr>
              <w:fldChar w:fldCharType="begin"/>
            </w:r>
            <w:r w:rsidRPr="00427250">
              <w:rPr>
                <w:rFonts w:ascii="Arial" w:hAnsi="Arial" w:cs="Arial"/>
                <w:noProof/>
                <w:webHidden/>
                <w:sz w:val="22"/>
                <w:szCs w:val="22"/>
              </w:rPr>
              <w:instrText xml:space="preserve"> PAGEREF _Toc234469300 \h </w:instrText>
            </w:r>
            <w:r w:rsidRPr="00427250">
              <w:rPr>
                <w:rFonts w:ascii="Arial" w:hAnsi="Arial" w:cs="Arial"/>
                <w:noProof/>
                <w:webHidden/>
                <w:sz w:val="22"/>
                <w:szCs w:val="22"/>
              </w:rPr>
            </w:r>
            <w:r w:rsidRPr="00427250">
              <w:rPr>
                <w:rFonts w:ascii="Arial" w:hAnsi="Arial" w:cs="Arial"/>
                <w:noProof/>
                <w:webHidden/>
                <w:sz w:val="22"/>
                <w:szCs w:val="22"/>
              </w:rPr>
              <w:fldChar w:fldCharType="separate"/>
            </w:r>
            <w:r w:rsidRPr="00427250">
              <w:rPr>
                <w:rFonts w:ascii="Arial" w:hAnsi="Arial" w:cs="Arial"/>
                <w:noProof/>
                <w:webHidden/>
                <w:sz w:val="22"/>
                <w:szCs w:val="22"/>
              </w:rPr>
              <w:t>9</w:t>
            </w:r>
            <w:r w:rsidRPr="00427250">
              <w:rPr>
                <w:rFonts w:ascii="Arial" w:hAnsi="Arial" w:cs="Arial"/>
                <w:noProof/>
                <w:webHidden/>
                <w:sz w:val="22"/>
                <w:szCs w:val="22"/>
              </w:rPr>
              <w:fldChar w:fldCharType="end"/>
            </w:r>
          </w:hyperlink>
        </w:p>
        <w:p w:rsidR="00427250" w:rsidRDefault="00427250" w14:paraId="14ADFFD8" w14:textId="75BA205B">
          <w:r>
            <w:rPr>
              <w:b/>
              <w:bCs/>
              <w:noProof/>
            </w:rPr>
            <w:fldChar w:fldCharType="end"/>
          </w:r>
        </w:p>
      </w:sdtContent>
    </w:sdt>
    <w:p w:rsidR="00427250" w:rsidRDefault="00427250" w14:paraId="2FCD11BB" w14:textId="3384C1FB">
      <w:r>
        <w:br w:type="page"/>
      </w:r>
    </w:p>
    <w:p w:rsidR="00427250" w:rsidRDefault="00427250" w14:paraId="071276BB" w14:textId="77777777">
      <w:pPr>
        <w:rPr>
          <w:rFonts w:ascii="Arial" w:hAnsi="Arial" w:eastAsia="Arial"/>
          <w:b/>
          <w:color w:val="000000" w:themeColor="text1"/>
          <w:sz w:val="32"/>
          <w:szCs w:val="32"/>
        </w:rPr>
      </w:pPr>
    </w:p>
    <w:p w:rsidRPr="00C3725E" w:rsidR="00657148" w:rsidP="008E22CA" w:rsidRDefault="00CD6589" w14:paraId="1D83DDEC" w14:textId="6B36C915">
      <w:pPr>
        <w:pStyle w:val="Heading1"/>
        <w:spacing w:line="360" w:lineRule="auto"/>
      </w:pPr>
      <w:bookmarkStart w:name="_Toc234469288" w:id="0"/>
      <w:r w:rsidRPr="00C3725E">
        <w:rPr>
          <w:rFonts w:eastAsia="Arial"/>
        </w:rPr>
        <w:t xml:space="preserve">1. </w:t>
      </w:r>
      <w:r w:rsidRPr="00C3725E">
        <w:rPr>
          <w:rFonts w:eastAsia="Arial"/>
        </w:rPr>
        <w:t>Introduction</w:t>
      </w:r>
      <w:bookmarkEnd w:id="0"/>
    </w:p>
    <w:p w:rsidR="00134E7D" w:rsidP="008E22CA" w:rsidRDefault="001F4423" w14:paraId="56B86794" w14:textId="64A5319B">
      <w:pPr>
        <w:spacing w:after="200" w:line="360" w:lineRule="auto"/>
        <w:jc w:val="both"/>
        <w:rPr>
          <w:rFonts w:ascii="Arial" w:hAnsi="Arial" w:cs="Arial"/>
          <w:sz w:val="22"/>
          <w:szCs w:val="22"/>
        </w:rPr>
      </w:pPr>
      <w:r w:rsidRPr="00134E7D">
        <w:rPr>
          <w:rFonts w:ascii="Arial" w:hAnsi="Arial" w:cs="Arial"/>
          <w:sz w:val="22"/>
          <w:szCs w:val="22"/>
        </w:rPr>
        <w:t xml:space="preserve">Digital transformation is reshaping health and social care delivery across the UK, </w:t>
      </w:r>
      <w:r w:rsidRPr="00134E7D" w:rsidR="003A217D">
        <w:rPr>
          <w:rFonts w:ascii="Arial" w:hAnsi="Arial" w:cs="Arial"/>
          <w:sz w:val="22"/>
          <w:szCs w:val="22"/>
        </w:rPr>
        <w:t xml:space="preserve">and one of the most significant developments introduced within the last decade is the Electronic Health Record (EHR). </w:t>
      </w:r>
      <w:r w:rsidRPr="00134E7D">
        <w:rPr>
          <w:rFonts w:ascii="Arial" w:hAnsi="Arial" w:cs="Arial"/>
          <w:sz w:val="22"/>
          <w:szCs w:val="22"/>
        </w:rPr>
        <w:t xml:space="preserve">EHR system </w:t>
      </w:r>
      <w:r w:rsidRPr="00134E7D" w:rsidR="003A217D">
        <w:rPr>
          <w:rFonts w:ascii="Arial" w:hAnsi="Arial" w:cs="Arial"/>
          <w:sz w:val="22"/>
          <w:szCs w:val="22"/>
        </w:rPr>
        <w:t>replaces</w:t>
      </w:r>
      <w:r w:rsidRPr="00134E7D">
        <w:rPr>
          <w:rFonts w:ascii="Arial" w:hAnsi="Arial" w:cs="Arial"/>
          <w:sz w:val="22"/>
          <w:szCs w:val="22"/>
        </w:rPr>
        <w:t xml:space="preserve"> the paper-based records and provides real-time access to patient information, such as their medical history, prescriptions, allergies, and test results, which is stored on cloud servers instead of physical storage areas (NHS England, 2024). It is also part of the government's Plan for Digital Health and Social Care (</w:t>
      </w:r>
      <w:r w:rsidR="00F213DD">
        <w:rPr>
          <w:rFonts w:ascii="Arial" w:hAnsi="Arial" w:cs="Arial"/>
          <w:sz w:val="22"/>
          <w:szCs w:val="22"/>
        </w:rPr>
        <w:t>DHSC</w:t>
      </w:r>
      <w:r w:rsidRPr="00134E7D">
        <w:rPr>
          <w:rFonts w:ascii="Arial" w:hAnsi="Arial" w:cs="Arial"/>
          <w:sz w:val="22"/>
          <w:szCs w:val="22"/>
        </w:rPr>
        <w:t xml:space="preserve">, 2022), which aims for </w:t>
      </w:r>
      <w:r w:rsidRPr="00134E7D" w:rsidR="00134E7D">
        <w:rPr>
          <w:rFonts w:ascii="Arial" w:hAnsi="Arial" w:cs="Arial"/>
          <w:sz w:val="22"/>
          <w:szCs w:val="22"/>
        </w:rPr>
        <w:t>90%</w:t>
      </w:r>
      <w:r w:rsidRPr="00134E7D">
        <w:rPr>
          <w:rFonts w:ascii="Arial" w:hAnsi="Arial" w:cs="Arial"/>
          <w:sz w:val="22"/>
          <w:szCs w:val="22"/>
        </w:rPr>
        <w:t xml:space="preserve"> of trusts </w:t>
      </w:r>
      <w:r w:rsidRPr="00134E7D" w:rsidR="00134E7D">
        <w:rPr>
          <w:rFonts w:ascii="Arial" w:hAnsi="Arial" w:cs="Arial"/>
          <w:sz w:val="22"/>
          <w:szCs w:val="22"/>
        </w:rPr>
        <w:t xml:space="preserve">having an </w:t>
      </w:r>
      <w:r w:rsidRPr="00134E7D">
        <w:rPr>
          <w:rFonts w:ascii="Arial" w:hAnsi="Arial" w:cs="Arial"/>
          <w:sz w:val="22"/>
          <w:szCs w:val="22"/>
        </w:rPr>
        <w:t xml:space="preserve">EPR by December 2023 and </w:t>
      </w:r>
      <w:r w:rsidRPr="00134E7D" w:rsidR="00134E7D">
        <w:rPr>
          <w:rFonts w:ascii="Arial" w:hAnsi="Arial" w:cs="Arial"/>
          <w:sz w:val="22"/>
          <w:szCs w:val="22"/>
        </w:rPr>
        <w:t>95%</w:t>
      </w:r>
      <w:r w:rsidRPr="00134E7D">
        <w:rPr>
          <w:rFonts w:ascii="Arial" w:hAnsi="Arial" w:cs="Arial"/>
          <w:sz w:val="22"/>
          <w:szCs w:val="22"/>
        </w:rPr>
        <w:t xml:space="preserve"> by March 2025, with the initial date achieved five weeks early (Charles, 2023). This report critically assesses the implementation of EHR over the past decade in the UK health and social care sector, looking at three inter-connected domains which are recognised as being key to the impact of </w:t>
      </w:r>
      <w:r w:rsidRPr="00134E7D" w:rsidR="00134E7D">
        <w:rPr>
          <w:rFonts w:ascii="Arial" w:hAnsi="Arial" w:cs="Arial"/>
          <w:sz w:val="22"/>
          <w:szCs w:val="22"/>
        </w:rPr>
        <w:t>E</w:t>
      </w:r>
      <w:r w:rsidR="002C3687">
        <w:rPr>
          <w:rFonts w:ascii="Arial" w:hAnsi="Arial" w:cs="Arial"/>
          <w:sz w:val="22"/>
          <w:szCs w:val="22"/>
        </w:rPr>
        <w:t>H</w:t>
      </w:r>
      <w:r w:rsidRPr="00134E7D" w:rsidR="00134E7D">
        <w:rPr>
          <w:rFonts w:ascii="Arial" w:hAnsi="Arial" w:cs="Arial"/>
          <w:sz w:val="22"/>
          <w:szCs w:val="22"/>
        </w:rPr>
        <w:t>R i.e.</w:t>
      </w:r>
      <w:r w:rsidRPr="00134E7D">
        <w:rPr>
          <w:rFonts w:ascii="Arial" w:hAnsi="Arial" w:cs="Arial"/>
          <w:sz w:val="22"/>
          <w:szCs w:val="22"/>
        </w:rPr>
        <w:t xml:space="preserve"> service delivery, the patient/service user, and community. Throughout, positive outcomes and limitations are identified, with references to relevant policy frameworks such as the What Good Looks Like framework (NHSX, 2021) to offer a balanced and evidence-based evaluation of the innovation's contribution to current practice.</w:t>
      </w:r>
    </w:p>
    <w:p w:rsidR="00134E7D" w:rsidP="008E22CA" w:rsidRDefault="00134E7D" w14:paraId="0BD83089" w14:textId="77777777">
      <w:pPr>
        <w:pStyle w:val="Heading1"/>
        <w:spacing w:line="360" w:lineRule="auto"/>
      </w:pPr>
      <w:bookmarkStart w:name="_Toc234469289" w:id="1"/>
      <w:r w:rsidRPr="00134E7D">
        <w:t>2. Service Delivery</w:t>
      </w:r>
      <w:bookmarkEnd w:id="1"/>
      <w:r w:rsidRPr="00134E7D">
        <w:t xml:space="preserve"> </w:t>
      </w:r>
    </w:p>
    <w:p w:rsidR="00134E7D" w:rsidP="008E22CA" w:rsidRDefault="00134E7D" w14:paraId="329E3D63" w14:textId="77777777">
      <w:pPr>
        <w:pStyle w:val="Heading2"/>
        <w:spacing w:line="360" w:lineRule="auto"/>
      </w:pPr>
      <w:bookmarkStart w:name="_Toc234469290" w:id="2"/>
      <w:r w:rsidRPr="00134E7D">
        <w:t>2.1. Impact on Service Delivery</w:t>
      </w:r>
      <w:bookmarkEnd w:id="2"/>
      <w:r w:rsidRPr="00134E7D">
        <w:t xml:space="preserve"> </w:t>
      </w:r>
    </w:p>
    <w:p w:rsidR="00134E7D" w:rsidP="008E22CA" w:rsidRDefault="00134E7D" w14:paraId="417B8AC9" w14:textId="4920DAE2">
      <w:pPr>
        <w:spacing w:line="360" w:lineRule="auto"/>
        <w:jc w:val="both"/>
        <w:rPr>
          <w:rFonts w:ascii="Arial" w:hAnsi="Arial" w:cs="Arial"/>
          <w:sz w:val="22"/>
          <w:szCs w:val="22"/>
        </w:rPr>
      </w:pPr>
      <w:r w:rsidRPr="00134E7D">
        <w:rPr>
          <w:rFonts w:ascii="Arial" w:hAnsi="Arial" w:cs="Arial"/>
          <w:sz w:val="22"/>
          <w:szCs w:val="22"/>
        </w:rPr>
        <w:t>EHRs</w:t>
      </w:r>
      <w:r>
        <w:rPr>
          <w:rFonts w:ascii="Arial" w:hAnsi="Arial" w:cs="Arial"/>
          <w:sz w:val="22"/>
          <w:szCs w:val="22"/>
        </w:rPr>
        <w:t xml:space="preserve"> has significantly transformed day-to-day </w:t>
      </w:r>
      <w:r w:rsidRPr="00134E7D">
        <w:rPr>
          <w:rFonts w:ascii="Arial" w:hAnsi="Arial" w:cs="Arial"/>
          <w:sz w:val="22"/>
          <w:szCs w:val="22"/>
        </w:rPr>
        <w:t xml:space="preserve">services </w:t>
      </w:r>
      <w:r>
        <w:rPr>
          <w:rFonts w:ascii="Arial" w:hAnsi="Arial" w:cs="Arial"/>
          <w:sz w:val="22"/>
          <w:szCs w:val="22"/>
        </w:rPr>
        <w:t xml:space="preserve">across the </w:t>
      </w:r>
      <w:r w:rsidRPr="00134E7D">
        <w:rPr>
          <w:rFonts w:ascii="Arial" w:hAnsi="Arial" w:cs="Arial"/>
          <w:sz w:val="22"/>
          <w:szCs w:val="22"/>
        </w:rPr>
        <w:t xml:space="preserve">NHS by replacing </w:t>
      </w:r>
      <w:r>
        <w:rPr>
          <w:rFonts w:ascii="Arial" w:hAnsi="Arial" w:cs="Arial"/>
          <w:sz w:val="22"/>
          <w:szCs w:val="22"/>
        </w:rPr>
        <w:t>fragmented</w:t>
      </w:r>
      <w:r w:rsidRPr="00134E7D">
        <w:rPr>
          <w:rFonts w:ascii="Arial" w:hAnsi="Arial" w:cs="Arial"/>
          <w:sz w:val="22"/>
          <w:szCs w:val="22"/>
        </w:rPr>
        <w:t xml:space="preserve"> paper-based records with </w:t>
      </w:r>
      <w:r>
        <w:rPr>
          <w:rFonts w:ascii="Arial" w:hAnsi="Arial" w:cs="Arial"/>
          <w:sz w:val="22"/>
          <w:szCs w:val="22"/>
        </w:rPr>
        <w:t>integrated digital records</w:t>
      </w:r>
      <w:r w:rsidRPr="00134E7D">
        <w:rPr>
          <w:rFonts w:ascii="Arial" w:hAnsi="Arial" w:cs="Arial"/>
          <w:sz w:val="22"/>
          <w:szCs w:val="22"/>
        </w:rPr>
        <w:t>. This transition has enhanced the clinical workflow, allowing health care practitioners to access real-time patient information from both primary and secondary and community care. The diagnostic reduction and avoidance of duplicate testing and diagnostic documentation as a result will lead to quicker and more informed decisions being made by clinicians, with less delay in paper record retrieval (NHS England, 2024). This implementation of EHRs has also improved collaborative work among various health care disciplines, enabling physicians, nurses, pharmacists and other health care professionals to share the same current patient information and work together. These enhancements enable continuity of care, especially for those with complex or chronic conditions who are often cared for by multiple health care providers (</w:t>
      </w:r>
      <w:r w:rsidR="00F213DD">
        <w:rPr>
          <w:rFonts w:ascii="Arial" w:hAnsi="Arial" w:cs="Arial"/>
          <w:sz w:val="22"/>
          <w:szCs w:val="22"/>
        </w:rPr>
        <w:t>DHSC</w:t>
      </w:r>
      <w:r w:rsidRPr="00134E7D">
        <w:rPr>
          <w:rFonts w:ascii="Arial" w:hAnsi="Arial" w:cs="Arial"/>
          <w:sz w:val="22"/>
          <w:szCs w:val="22"/>
        </w:rPr>
        <w:t>, 2022).</w:t>
      </w:r>
    </w:p>
    <w:p w:rsidR="00134E7D" w:rsidP="008E22CA" w:rsidRDefault="00134E7D" w14:paraId="128BA55E" w14:textId="10BDA7C8">
      <w:pPr>
        <w:spacing w:line="360" w:lineRule="auto"/>
        <w:jc w:val="both"/>
        <w:rPr>
          <w:rFonts w:ascii="Arial" w:hAnsi="Arial" w:cs="Arial"/>
          <w:sz w:val="22"/>
          <w:szCs w:val="22"/>
        </w:rPr>
      </w:pPr>
      <w:r w:rsidRPr="00134E7D">
        <w:rPr>
          <w:rFonts w:ascii="Arial" w:hAnsi="Arial" w:cs="Arial"/>
          <w:sz w:val="22"/>
          <w:szCs w:val="22"/>
        </w:rPr>
        <w:t>Operationally, the use of EHR has improved efficiency by providing computeri</w:t>
      </w:r>
      <w:r>
        <w:rPr>
          <w:rFonts w:ascii="Arial" w:hAnsi="Arial" w:cs="Arial"/>
          <w:sz w:val="22"/>
          <w:szCs w:val="22"/>
        </w:rPr>
        <w:t>s</w:t>
      </w:r>
      <w:r w:rsidRPr="00134E7D">
        <w:rPr>
          <w:rFonts w:ascii="Arial" w:hAnsi="Arial" w:cs="Arial"/>
          <w:sz w:val="22"/>
          <w:szCs w:val="22"/>
        </w:rPr>
        <w:t>ation of tasks, including clinical documentation and prescription, and making appointments. Digital prescribing systems minimi</w:t>
      </w:r>
      <w:r>
        <w:rPr>
          <w:rFonts w:ascii="Arial" w:hAnsi="Arial" w:cs="Arial"/>
          <w:sz w:val="22"/>
          <w:szCs w:val="22"/>
        </w:rPr>
        <w:t>s</w:t>
      </w:r>
      <w:r w:rsidRPr="00134E7D">
        <w:rPr>
          <w:rFonts w:ascii="Arial" w:hAnsi="Arial" w:cs="Arial"/>
          <w:sz w:val="22"/>
          <w:szCs w:val="22"/>
        </w:rPr>
        <w:t xml:space="preserve">e transcription mistakes and integrated clinical decision-support tools can help alert providers to problems such as allergies, interactions with other medicines, or abnormal lab results, all of which help to improve clinical safety (Abu Esba et al., 2024). The enhancements are part of NHS England's broader digital transformation agenda, </w:t>
      </w:r>
      <w:r w:rsidRPr="00134E7D">
        <w:rPr>
          <w:rFonts w:ascii="Arial" w:hAnsi="Arial" w:cs="Arial"/>
          <w:sz w:val="22"/>
          <w:szCs w:val="22"/>
        </w:rPr>
        <w:t>designed to boost productivity and facilitate more patient-</w:t>
      </w:r>
      <w:r w:rsidRPr="00134E7D" w:rsidR="00A25435">
        <w:rPr>
          <w:rFonts w:ascii="Arial" w:hAnsi="Arial" w:cs="Arial"/>
          <w:sz w:val="22"/>
          <w:szCs w:val="22"/>
        </w:rPr>
        <w:t>centered</w:t>
      </w:r>
      <w:r w:rsidRPr="00134E7D">
        <w:rPr>
          <w:rFonts w:ascii="Arial" w:hAnsi="Arial" w:cs="Arial"/>
          <w:sz w:val="22"/>
          <w:szCs w:val="22"/>
        </w:rPr>
        <w:t>, coordinated services (NHS England, 2024).</w:t>
      </w:r>
    </w:p>
    <w:p w:rsidR="00134E7D" w:rsidP="008E22CA" w:rsidRDefault="00134E7D" w14:paraId="35055170" w14:textId="45D86C24">
      <w:pPr>
        <w:spacing w:line="360" w:lineRule="auto"/>
        <w:jc w:val="both"/>
        <w:rPr>
          <w:rFonts w:ascii="Arial" w:hAnsi="Arial" w:cs="Arial"/>
          <w:sz w:val="22"/>
          <w:szCs w:val="22"/>
        </w:rPr>
      </w:pPr>
      <w:r>
        <w:rPr>
          <w:rFonts w:ascii="Arial" w:hAnsi="Arial" w:cs="Arial"/>
          <w:sz w:val="22"/>
          <w:szCs w:val="22"/>
        </w:rPr>
        <w:t xml:space="preserve">Despite </w:t>
      </w:r>
      <w:r w:rsidRPr="00134E7D">
        <w:rPr>
          <w:rFonts w:ascii="Arial" w:hAnsi="Arial" w:cs="Arial"/>
          <w:sz w:val="22"/>
          <w:szCs w:val="22"/>
        </w:rPr>
        <w:t xml:space="preserve">these benefits, the influence of EHR implementation has yet not been uniformly positive. The implementation of digital systems can also disrupt existing clinical workflows, which may necessitate changes to how healthcare professionals document and interact with </w:t>
      </w:r>
      <w:r w:rsidRPr="00134E7D">
        <w:rPr>
          <w:rFonts w:ascii="Arial" w:hAnsi="Arial" w:cs="Arial"/>
          <w:sz w:val="22"/>
          <w:szCs w:val="22"/>
        </w:rPr>
        <w:t>software. Digital</w:t>
      </w:r>
      <w:r w:rsidRPr="00134E7D">
        <w:rPr>
          <w:rFonts w:ascii="Arial" w:hAnsi="Arial" w:cs="Arial"/>
          <w:sz w:val="22"/>
          <w:szCs w:val="22"/>
        </w:rPr>
        <w:t xml:space="preserve"> systems are also likely to impact on the existing clinical workflows, and healthcare professionals will need to adjust how they document and interact with the software. At the early implementation stage, there is often a dip in productivity due to more time needed to train and familiarise staff with the system (</w:t>
      </w:r>
      <w:r w:rsidRPr="00F213DD" w:rsidR="00F213DD">
        <w:rPr>
          <w:rFonts w:ascii="Arial" w:hAnsi="Arial" w:cs="Arial"/>
          <w:sz w:val="22"/>
          <w:szCs w:val="22"/>
        </w:rPr>
        <w:t>Adeniyi</w:t>
      </w:r>
      <w:r w:rsidRPr="00134E7D" w:rsidR="00F213DD">
        <w:rPr>
          <w:rFonts w:ascii="Arial" w:hAnsi="Arial" w:cs="Arial"/>
          <w:sz w:val="22"/>
          <w:szCs w:val="22"/>
        </w:rPr>
        <w:t xml:space="preserve"> </w:t>
      </w:r>
      <w:r w:rsidR="00F213DD">
        <w:rPr>
          <w:rFonts w:ascii="Arial" w:hAnsi="Arial" w:cs="Arial"/>
          <w:sz w:val="22"/>
          <w:szCs w:val="22"/>
        </w:rPr>
        <w:t xml:space="preserve">et al., </w:t>
      </w:r>
      <w:r w:rsidRPr="00134E7D">
        <w:rPr>
          <w:rFonts w:ascii="Arial" w:hAnsi="Arial" w:cs="Arial"/>
          <w:sz w:val="22"/>
          <w:szCs w:val="22"/>
        </w:rPr>
        <w:t xml:space="preserve">2024). </w:t>
      </w:r>
      <w:r w:rsidR="002C3687">
        <w:rPr>
          <w:rFonts w:ascii="Arial" w:hAnsi="Arial" w:cs="Arial"/>
          <w:sz w:val="22"/>
          <w:szCs w:val="22"/>
        </w:rPr>
        <w:t xml:space="preserve">Many clinicians have likewise reported increased administrative workload because of extensive electronic documentation requirements, with some recommending that screen-based tasks reduce the amount of direct patient interaction. </w:t>
      </w:r>
      <w:r w:rsidRPr="00134E7D">
        <w:rPr>
          <w:rFonts w:ascii="Arial" w:hAnsi="Arial" w:cs="Arial"/>
          <w:sz w:val="22"/>
          <w:szCs w:val="22"/>
        </w:rPr>
        <w:t>While EHRs enhance information access, they can also lead to clinician fatigue and workflow disruptions when they are not designed effectively or adequately supported (Li et al., 2025).</w:t>
      </w:r>
    </w:p>
    <w:p w:rsidR="002C3687" w:rsidP="008E22CA" w:rsidRDefault="002C3687" w14:paraId="70EC46D6" w14:textId="77777777">
      <w:pPr>
        <w:pStyle w:val="Heading2"/>
        <w:spacing w:line="360" w:lineRule="auto"/>
      </w:pPr>
    </w:p>
    <w:p w:rsidR="002C3687" w:rsidP="008E22CA" w:rsidRDefault="002C3687" w14:paraId="4D75C162" w14:textId="1C5A1BBF">
      <w:pPr>
        <w:pStyle w:val="Heading2"/>
        <w:spacing w:line="360" w:lineRule="auto"/>
      </w:pPr>
      <w:bookmarkStart w:name="_Toc234469291" w:id="3"/>
      <w:r w:rsidRPr="002C3687">
        <w:t xml:space="preserve">2.2. </w:t>
      </w:r>
      <w:r>
        <w:t>Cr</w:t>
      </w:r>
      <w:r w:rsidRPr="002C3687">
        <w:t xml:space="preserve">itical </w:t>
      </w:r>
      <w:r>
        <w:t>E</w:t>
      </w:r>
      <w:r w:rsidRPr="002C3687">
        <w:t xml:space="preserve">valuation </w:t>
      </w:r>
      <w:r>
        <w:t>with</w:t>
      </w:r>
      <w:r w:rsidRPr="002C3687">
        <w:t xml:space="preserve"> UK </w:t>
      </w:r>
      <w:r>
        <w:t>E</w:t>
      </w:r>
      <w:r w:rsidRPr="002C3687">
        <w:t>vidence</w:t>
      </w:r>
      <w:bookmarkEnd w:id="3"/>
    </w:p>
    <w:p w:rsidR="002C3687" w:rsidP="008E22CA" w:rsidRDefault="002C3687" w14:paraId="04D9F63F" w14:textId="77777777">
      <w:pPr>
        <w:spacing w:line="360" w:lineRule="auto"/>
        <w:jc w:val="both"/>
        <w:rPr>
          <w:rFonts w:ascii="Arial" w:hAnsi="Arial" w:cs="Arial"/>
          <w:sz w:val="22"/>
          <w:szCs w:val="22"/>
        </w:rPr>
      </w:pPr>
    </w:p>
    <w:p w:rsidR="002C3687" w:rsidP="008E22CA" w:rsidRDefault="002C3687" w14:paraId="6B7B6F1E" w14:textId="31E747E7">
      <w:pPr>
        <w:spacing w:line="360" w:lineRule="auto"/>
        <w:jc w:val="both"/>
        <w:rPr>
          <w:rFonts w:ascii="Arial" w:hAnsi="Arial" w:cs="Arial"/>
          <w:sz w:val="22"/>
          <w:szCs w:val="22"/>
        </w:rPr>
      </w:pPr>
      <w:r>
        <w:rPr>
          <w:rFonts w:ascii="Arial" w:hAnsi="Arial" w:cs="Arial"/>
          <w:sz w:val="22"/>
          <w:szCs w:val="22"/>
        </w:rPr>
        <w:t xml:space="preserve">The EHRs’ successful implementation depends not only on technology but likewise on organisational readiness, financial investment, and successful change management. One of the most significant short-term challenges has been the substantial cost associated with purchasing software, upgrading digital infrastructure and providing workforce training. </w:t>
      </w:r>
      <w:r w:rsidRPr="002C3687">
        <w:rPr>
          <w:rFonts w:ascii="Arial" w:hAnsi="Arial" w:cs="Arial"/>
          <w:sz w:val="22"/>
          <w:szCs w:val="22"/>
        </w:rPr>
        <w:t>While some NHS trusts have invested millions of pounds in rolling out full EHR systems, others have not built up the same level of maturity within their organisations, due to financial constraints (</w:t>
      </w:r>
      <w:r w:rsidRPr="00F213DD" w:rsidR="00F213DD">
        <w:rPr>
          <w:rFonts w:ascii="Arial" w:hAnsi="Arial" w:cs="Arial"/>
          <w:sz w:val="22"/>
          <w:szCs w:val="22"/>
        </w:rPr>
        <w:t>Adeniyi</w:t>
      </w:r>
      <w:r w:rsidR="00F213DD">
        <w:rPr>
          <w:rFonts w:ascii="Arial" w:hAnsi="Arial" w:cs="Arial"/>
          <w:sz w:val="22"/>
          <w:szCs w:val="22"/>
        </w:rPr>
        <w:t xml:space="preserve"> et al.</w:t>
      </w:r>
      <w:r w:rsidRPr="002C3687">
        <w:rPr>
          <w:rFonts w:ascii="Arial" w:hAnsi="Arial" w:cs="Arial"/>
          <w:sz w:val="22"/>
          <w:szCs w:val="22"/>
        </w:rPr>
        <w:t>, 2024). Furthermore, there are continuing interoperability issues. While EHRs are designed for easy information sharing, many NHS organisations are still using a variety of software systems that are incompatible and fail to communicate, leading to disorgani</w:t>
      </w:r>
      <w:r>
        <w:rPr>
          <w:rFonts w:ascii="Arial" w:hAnsi="Arial" w:cs="Arial"/>
          <w:sz w:val="22"/>
          <w:szCs w:val="22"/>
        </w:rPr>
        <w:t>s</w:t>
      </w:r>
      <w:r w:rsidRPr="002C3687">
        <w:rPr>
          <w:rFonts w:ascii="Arial" w:hAnsi="Arial" w:cs="Arial"/>
          <w:sz w:val="22"/>
          <w:szCs w:val="22"/>
        </w:rPr>
        <w:t xml:space="preserve">ed records and duplicated clinical efforts (Li et al., 2025). This </w:t>
      </w:r>
      <w:r>
        <w:rPr>
          <w:rFonts w:ascii="Arial" w:hAnsi="Arial" w:cs="Arial"/>
          <w:sz w:val="22"/>
          <w:szCs w:val="22"/>
        </w:rPr>
        <w:t xml:space="preserve">demonstrates that </w:t>
      </w:r>
      <w:r w:rsidRPr="002C3687">
        <w:rPr>
          <w:rFonts w:ascii="Arial" w:hAnsi="Arial" w:cs="Arial"/>
          <w:sz w:val="22"/>
          <w:szCs w:val="22"/>
        </w:rPr>
        <w:t>digital transformation does not happen on its own, but needs to be coordinated across the nation.</w:t>
      </w:r>
    </w:p>
    <w:p w:rsidRPr="001F4423" w:rsidR="00A25435" w:rsidP="008E22CA" w:rsidRDefault="00A25435" w14:paraId="1261789C" w14:textId="4AD2E0CB">
      <w:pPr>
        <w:spacing w:line="360" w:lineRule="auto"/>
        <w:jc w:val="both"/>
        <w:rPr>
          <w:rFonts w:ascii="Arial" w:hAnsi="Arial" w:cs="Arial"/>
          <w:sz w:val="22"/>
          <w:szCs w:val="22"/>
        </w:rPr>
      </w:pPr>
      <w:r w:rsidRPr="00A25435">
        <w:rPr>
          <w:rFonts w:ascii="Arial" w:hAnsi="Arial" w:cs="Arial"/>
          <w:sz w:val="22"/>
          <w:szCs w:val="22"/>
        </w:rPr>
        <w:t>Cambridge University Hospitals NHS Foundation Trust has gone through the transformation of a digital system, namely Epic EHR, in the context of a large organi</w:t>
      </w:r>
      <w:r>
        <w:rPr>
          <w:rFonts w:ascii="Arial" w:hAnsi="Arial" w:cs="Arial"/>
          <w:sz w:val="22"/>
          <w:szCs w:val="22"/>
        </w:rPr>
        <w:t>s</w:t>
      </w:r>
      <w:r w:rsidRPr="00A25435">
        <w:rPr>
          <w:rFonts w:ascii="Arial" w:hAnsi="Arial" w:cs="Arial"/>
          <w:sz w:val="22"/>
          <w:szCs w:val="22"/>
        </w:rPr>
        <w:t xml:space="preserve">ation, highlighting the challenges and opportunities. Patients could access more information, clinicians could manage their medication better and clinical coordination could be enhanced, enabling safer and more integrated care for patients. </w:t>
      </w:r>
      <w:r>
        <w:rPr>
          <w:rFonts w:ascii="Arial" w:hAnsi="Arial" w:cs="Arial"/>
          <w:sz w:val="22"/>
          <w:szCs w:val="22"/>
        </w:rPr>
        <w:t xml:space="preserve">However, the implementation process required considerable financial </w:t>
      </w:r>
      <w:r w:rsidRPr="00A25435">
        <w:rPr>
          <w:rFonts w:ascii="Arial" w:hAnsi="Arial" w:cs="Arial"/>
          <w:sz w:val="22"/>
          <w:szCs w:val="22"/>
        </w:rPr>
        <w:t xml:space="preserve">investment, </w:t>
      </w:r>
      <w:r>
        <w:rPr>
          <w:rFonts w:ascii="Arial" w:hAnsi="Arial" w:cs="Arial"/>
          <w:sz w:val="22"/>
          <w:szCs w:val="22"/>
        </w:rPr>
        <w:t xml:space="preserve">extensive </w:t>
      </w:r>
      <w:r w:rsidRPr="00A25435">
        <w:rPr>
          <w:rFonts w:ascii="Arial" w:hAnsi="Arial" w:cs="Arial"/>
          <w:sz w:val="22"/>
          <w:szCs w:val="22"/>
        </w:rPr>
        <w:t>staff training and temporary lost efficiency as staff adapted to working new ways in a digital world (</w:t>
      </w:r>
      <w:r w:rsidRPr="00F213DD" w:rsidR="00F213DD">
        <w:rPr>
          <w:rFonts w:ascii="Arial" w:hAnsi="Arial" w:cs="Arial"/>
          <w:sz w:val="22"/>
          <w:szCs w:val="22"/>
        </w:rPr>
        <w:t>Adeniyi</w:t>
      </w:r>
      <w:r w:rsidRPr="00A25435" w:rsidR="00F213DD">
        <w:rPr>
          <w:rFonts w:ascii="Arial" w:hAnsi="Arial" w:cs="Arial"/>
          <w:sz w:val="22"/>
          <w:szCs w:val="22"/>
        </w:rPr>
        <w:t xml:space="preserve"> </w:t>
      </w:r>
      <w:r w:rsidR="00F213DD">
        <w:rPr>
          <w:rFonts w:ascii="Arial" w:hAnsi="Arial" w:cs="Arial"/>
          <w:sz w:val="22"/>
          <w:szCs w:val="22"/>
        </w:rPr>
        <w:t xml:space="preserve">et al., </w:t>
      </w:r>
      <w:r w:rsidRPr="00A25435">
        <w:rPr>
          <w:rFonts w:ascii="Arial" w:hAnsi="Arial" w:cs="Arial"/>
          <w:sz w:val="22"/>
          <w:szCs w:val="22"/>
        </w:rPr>
        <w:t>2024).</w:t>
      </w:r>
    </w:p>
    <w:p w:rsidR="006E396C" w:rsidP="008E22CA" w:rsidRDefault="006E396C" w14:paraId="3E2577EC" w14:textId="77777777">
      <w:pPr>
        <w:spacing w:line="360" w:lineRule="auto"/>
        <w:jc w:val="both"/>
        <w:rPr>
          <w:rFonts w:ascii="Arial" w:hAnsi="Arial" w:cs="Arial"/>
          <w:sz w:val="22"/>
          <w:szCs w:val="22"/>
        </w:rPr>
      </w:pPr>
    </w:p>
    <w:p w:rsidR="006E396C" w:rsidP="008E22CA" w:rsidRDefault="006E396C" w14:paraId="5CD3DF04" w14:textId="77777777">
      <w:pPr>
        <w:pStyle w:val="Heading1"/>
        <w:spacing w:line="360" w:lineRule="auto"/>
      </w:pPr>
      <w:bookmarkStart w:name="_Toc234469292" w:id="4"/>
      <w:r w:rsidRPr="006E396C">
        <w:t>3. Patient / Service User</w:t>
      </w:r>
      <w:bookmarkEnd w:id="4"/>
      <w:r w:rsidRPr="006E396C">
        <w:t xml:space="preserve"> </w:t>
      </w:r>
    </w:p>
    <w:p w:rsidR="006E396C" w:rsidP="008E22CA" w:rsidRDefault="006E396C" w14:paraId="008F824C" w14:textId="052BD7A1">
      <w:pPr>
        <w:pStyle w:val="Heading2"/>
        <w:spacing w:line="360" w:lineRule="auto"/>
      </w:pPr>
      <w:bookmarkStart w:name="_Toc234469293" w:id="5"/>
      <w:r w:rsidRPr="006E396C">
        <w:t>3.2</w:t>
      </w:r>
      <w:r>
        <w:t xml:space="preserve">. Impact on </w:t>
      </w:r>
      <w:r w:rsidRPr="006E396C">
        <w:t xml:space="preserve">Patient </w:t>
      </w:r>
      <w:r>
        <w:t>Experience</w:t>
      </w:r>
      <w:bookmarkEnd w:id="5"/>
    </w:p>
    <w:p w:rsidR="006E396C" w:rsidP="008E22CA" w:rsidRDefault="006E396C" w14:paraId="607B0A0E" w14:textId="3D1F9DF1">
      <w:pPr>
        <w:spacing w:line="360" w:lineRule="auto"/>
        <w:jc w:val="both"/>
        <w:rPr>
          <w:rFonts w:ascii="Arial" w:hAnsi="Arial" w:cs="Arial"/>
          <w:sz w:val="22"/>
          <w:szCs w:val="22"/>
        </w:rPr>
      </w:pPr>
      <w:r w:rsidRPr="006E396C">
        <w:rPr>
          <w:rFonts w:ascii="Arial" w:hAnsi="Arial" w:cs="Arial"/>
          <w:sz w:val="22"/>
          <w:szCs w:val="22"/>
        </w:rPr>
        <w:t xml:space="preserve"> EHRs have revolutionised patient experience in the UK healthcare system, enhancing access to health information and promoting greater patient engagement. Patients can view their records, order repeat prescriptions and book appointments, as well as view test results, all without having to visit a health care setting through digital means, like NHS apps or patient portals (NHS England, 2024). These services have enhanced the convenience of healthcare by minimi</w:t>
      </w:r>
      <w:r>
        <w:rPr>
          <w:rFonts w:ascii="Arial" w:hAnsi="Arial" w:cs="Arial"/>
          <w:sz w:val="22"/>
          <w:szCs w:val="22"/>
        </w:rPr>
        <w:t>s</w:t>
      </w:r>
      <w:r w:rsidRPr="006E396C">
        <w:rPr>
          <w:rFonts w:ascii="Arial" w:hAnsi="Arial" w:cs="Arial"/>
          <w:sz w:val="22"/>
          <w:szCs w:val="22"/>
        </w:rPr>
        <w:t>ing wait times and administrative processes and facilitating improved communication and engagement between patients and healthcare providers. Having access to health records at all times helps individuals with long-term conditions to keep track of their health, understand treatment plans and actively engage in shared decision-making, fostering a more person-</w:t>
      </w:r>
      <w:r w:rsidRPr="006E396C">
        <w:rPr>
          <w:rFonts w:ascii="Arial" w:hAnsi="Arial" w:cs="Arial"/>
          <w:sz w:val="22"/>
          <w:szCs w:val="22"/>
        </w:rPr>
        <w:t>centered</w:t>
      </w:r>
      <w:r w:rsidRPr="006E396C">
        <w:rPr>
          <w:rFonts w:ascii="Arial" w:hAnsi="Arial" w:cs="Arial"/>
          <w:sz w:val="22"/>
          <w:szCs w:val="22"/>
        </w:rPr>
        <w:t xml:space="preserve"> approach to care (</w:t>
      </w:r>
      <w:r w:rsidRPr="002F3F57" w:rsidR="00427250">
        <w:rPr>
          <w:rFonts w:ascii="Arial" w:hAnsi="Arial" w:cs="Arial"/>
          <w:sz w:val="22"/>
          <w:szCs w:val="22"/>
        </w:rPr>
        <w:t>Van Kessel</w:t>
      </w:r>
      <w:r w:rsidR="00427250">
        <w:rPr>
          <w:rFonts w:ascii="Arial" w:hAnsi="Arial" w:cs="Arial"/>
          <w:sz w:val="22"/>
          <w:szCs w:val="22"/>
        </w:rPr>
        <w:t xml:space="preserve"> et al., 2023</w:t>
      </w:r>
      <w:r w:rsidRPr="006E396C">
        <w:rPr>
          <w:rFonts w:ascii="Arial" w:hAnsi="Arial" w:cs="Arial"/>
          <w:sz w:val="22"/>
          <w:szCs w:val="22"/>
        </w:rPr>
        <w:t>).</w:t>
      </w:r>
    </w:p>
    <w:p w:rsidRPr="00C3725E" w:rsidR="006E396C" w:rsidP="008E22CA" w:rsidRDefault="006E396C" w14:paraId="07AA04AF" w14:textId="7CD9645D">
      <w:pPr>
        <w:spacing w:line="360" w:lineRule="auto"/>
        <w:jc w:val="both"/>
        <w:rPr>
          <w:rFonts w:ascii="Arial" w:hAnsi="Arial" w:cs="Arial"/>
          <w:sz w:val="22"/>
          <w:szCs w:val="22"/>
        </w:rPr>
      </w:pPr>
      <w:r>
        <w:rPr>
          <w:rFonts w:ascii="Arial" w:hAnsi="Arial" w:cs="Arial"/>
          <w:sz w:val="22"/>
          <w:szCs w:val="22"/>
        </w:rPr>
        <w:t xml:space="preserve">Greater </w:t>
      </w:r>
      <w:r w:rsidRPr="006E396C">
        <w:rPr>
          <w:rFonts w:ascii="Arial" w:hAnsi="Arial" w:cs="Arial"/>
          <w:sz w:val="22"/>
          <w:szCs w:val="22"/>
        </w:rPr>
        <w:t xml:space="preserve">transparency </w:t>
      </w:r>
      <w:r>
        <w:rPr>
          <w:rFonts w:ascii="Arial" w:hAnsi="Arial" w:cs="Arial"/>
          <w:sz w:val="22"/>
          <w:szCs w:val="22"/>
        </w:rPr>
        <w:t>has likewise strengthened</w:t>
      </w:r>
      <w:r w:rsidRPr="006E396C">
        <w:rPr>
          <w:rFonts w:ascii="Arial" w:hAnsi="Arial" w:cs="Arial"/>
          <w:sz w:val="22"/>
          <w:szCs w:val="22"/>
        </w:rPr>
        <w:t xml:space="preserve"> engagement</w:t>
      </w:r>
      <w:r>
        <w:rPr>
          <w:rFonts w:ascii="Arial" w:hAnsi="Arial" w:cs="Arial"/>
          <w:sz w:val="22"/>
          <w:szCs w:val="22"/>
        </w:rPr>
        <w:t xml:space="preserve"> of patient</w:t>
      </w:r>
      <w:r w:rsidR="00F327AB">
        <w:rPr>
          <w:rFonts w:ascii="Arial" w:hAnsi="Arial" w:cs="Arial"/>
          <w:sz w:val="22"/>
          <w:szCs w:val="22"/>
        </w:rPr>
        <w:t xml:space="preserve"> by allowing </w:t>
      </w:r>
      <w:r w:rsidRPr="006E396C">
        <w:rPr>
          <w:rFonts w:ascii="Arial" w:hAnsi="Arial" w:cs="Arial"/>
          <w:sz w:val="22"/>
          <w:szCs w:val="22"/>
        </w:rPr>
        <w:t xml:space="preserve">people to better understand their health issues and </w:t>
      </w:r>
      <w:r w:rsidR="00F327AB">
        <w:rPr>
          <w:rFonts w:ascii="Arial" w:hAnsi="Arial" w:cs="Arial"/>
          <w:sz w:val="22"/>
          <w:szCs w:val="22"/>
        </w:rPr>
        <w:t xml:space="preserve">identify inaccuracies within </w:t>
      </w:r>
      <w:r w:rsidRPr="006E396C">
        <w:rPr>
          <w:rFonts w:ascii="Arial" w:hAnsi="Arial" w:cs="Arial"/>
          <w:sz w:val="22"/>
          <w:szCs w:val="22"/>
        </w:rPr>
        <w:t>their medical</w:t>
      </w:r>
      <w:r w:rsidR="00F327AB">
        <w:rPr>
          <w:rFonts w:ascii="Arial" w:hAnsi="Arial" w:cs="Arial"/>
          <w:sz w:val="22"/>
          <w:szCs w:val="22"/>
        </w:rPr>
        <w:t xml:space="preserve"> records</w:t>
      </w:r>
      <w:r w:rsidRPr="006E396C">
        <w:rPr>
          <w:rFonts w:ascii="Arial" w:hAnsi="Arial" w:cs="Arial"/>
          <w:sz w:val="22"/>
          <w:szCs w:val="22"/>
        </w:rPr>
        <w:t xml:space="preserve">. Enhanced access has been associated with increased confidence in self-management, adherence to medication and increased continuity of care, especially those people who are treated across a number of health services (NHS England, 2024). But this is not equal for all. When using new terminology, when the provisional diagnosis and abnormal test results do not have an immediate clinical explanation, the patient may feel anxious or confused about these results (Turner et al., 2022). </w:t>
      </w:r>
    </w:p>
    <w:p w:rsidR="000E0DE4" w:rsidP="008E22CA" w:rsidRDefault="000E0DE4" w14:paraId="05F83DA6" w14:textId="77777777">
      <w:pPr>
        <w:spacing w:line="360" w:lineRule="auto"/>
        <w:jc w:val="both"/>
        <w:rPr>
          <w:rFonts w:ascii="Arial" w:hAnsi="Arial" w:cs="Arial"/>
          <w:sz w:val="22"/>
          <w:szCs w:val="22"/>
        </w:rPr>
      </w:pPr>
    </w:p>
    <w:p w:rsidR="000E0DE4" w:rsidP="008E22CA" w:rsidRDefault="000E0DE4" w14:paraId="276746E8" w14:textId="7E7DFC26">
      <w:pPr>
        <w:pStyle w:val="Heading2"/>
        <w:spacing w:line="360" w:lineRule="auto"/>
      </w:pPr>
      <w:bookmarkStart w:name="_Toc234469294" w:id="6"/>
      <w:r>
        <w:t>3.2. C</w:t>
      </w:r>
      <w:r w:rsidRPr="000E0DE4">
        <w:t xml:space="preserve">ritical </w:t>
      </w:r>
      <w:r>
        <w:t>E</w:t>
      </w:r>
      <w:r w:rsidRPr="000E0DE4">
        <w:t>valuat</w:t>
      </w:r>
      <w:r>
        <w:t>ion</w:t>
      </w:r>
      <w:r w:rsidRPr="000E0DE4">
        <w:t xml:space="preserve"> with UK </w:t>
      </w:r>
      <w:r>
        <w:t>E</w:t>
      </w:r>
      <w:r w:rsidRPr="000E0DE4">
        <w:t>vidence</w:t>
      </w:r>
      <w:bookmarkEnd w:id="6"/>
    </w:p>
    <w:p w:rsidR="00C3725E" w:rsidP="008E22CA" w:rsidRDefault="000E0DE4" w14:paraId="7645E9E3" w14:textId="45AC7EFE">
      <w:pPr>
        <w:spacing w:line="360" w:lineRule="auto"/>
        <w:jc w:val="both"/>
        <w:rPr>
          <w:rFonts w:ascii="Arial" w:hAnsi="Arial" w:cs="Arial"/>
          <w:sz w:val="22"/>
          <w:szCs w:val="22"/>
        </w:rPr>
      </w:pPr>
      <w:r w:rsidRPr="000E0DE4">
        <w:rPr>
          <w:rFonts w:ascii="Arial" w:hAnsi="Arial" w:cs="Arial"/>
          <w:sz w:val="22"/>
          <w:szCs w:val="22"/>
        </w:rPr>
        <w:t xml:space="preserve"> In spite of the better patient access, implementation of EHRs has generated issues related to privacy, digital literacy and equal access. Electronic records are often filled with the most sensitive and important data, and having strong cybersecurity and adhering to UK GDPR standards is essential to keep public trust. While NHS organisations have enhanced data governance, the risks associated with cyberattacks and unauthorised access remain to be a factor in patient trust in digital health care systems (</w:t>
      </w:r>
      <w:r w:rsidRPr="002F3F57" w:rsidR="002F3F57">
        <w:rPr>
          <w:rFonts w:ascii="Arial" w:hAnsi="Arial" w:cs="Arial"/>
          <w:sz w:val="22"/>
          <w:szCs w:val="22"/>
        </w:rPr>
        <w:t>Sharma</w:t>
      </w:r>
      <w:r w:rsidR="002F3F57">
        <w:rPr>
          <w:rFonts w:ascii="Arial" w:hAnsi="Arial" w:cs="Arial"/>
          <w:sz w:val="22"/>
          <w:szCs w:val="22"/>
        </w:rPr>
        <w:t xml:space="preserve"> et al., 2022</w:t>
      </w:r>
      <w:r w:rsidRPr="000E0DE4">
        <w:rPr>
          <w:rFonts w:ascii="Arial" w:hAnsi="Arial" w:cs="Arial"/>
          <w:sz w:val="22"/>
          <w:szCs w:val="22"/>
        </w:rPr>
        <w:t>).</w:t>
      </w:r>
    </w:p>
    <w:p w:rsidRPr="00C3725E" w:rsidR="000E0DE4" w:rsidP="008E22CA" w:rsidRDefault="000E0DE4" w14:paraId="51C59675" w14:textId="5F5E06E7">
      <w:pPr>
        <w:spacing w:line="360" w:lineRule="auto"/>
        <w:jc w:val="both"/>
        <w:rPr>
          <w:rFonts w:ascii="Arial" w:hAnsi="Arial" w:cs="Arial"/>
          <w:sz w:val="22"/>
          <w:szCs w:val="22"/>
        </w:rPr>
      </w:pPr>
      <w:r>
        <w:rPr>
          <w:rFonts w:ascii="Arial" w:hAnsi="Arial" w:cs="Arial"/>
          <w:sz w:val="22"/>
          <w:szCs w:val="22"/>
        </w:rPr>
        <w:t>D</w:t>
      </w:r>
      <w:r w:rsidRPr="000E0DE4">
        <w:rPr>
          <w:rFonts w:ascii="Arial" w:hAnsi="Arial" w:cs="Arial"/>
          <w:sz w:val="22"/>
          <w:szCs w:val="22"/>
        </w:rPr>
        <w:t xml:space="preserve">igital exclusion </w:t>
      </w:r>
      <w:r>
        <w:rPr>
          <w:rFonts w:ascii="Arial" w:hAnsi="Arial" w:cs="Arial"/>
          <w:sz w:val="22"/>
          <w:szCs w:val="22"/>
        </w:rPr>
        <w:t>remains a major challenge</w:t>
      </w:r>
      <w:r w:rsidRPr="000E0DE4">
        <w:rPr>
          <w:rFonts w:ascii="Arial" w:hAnsi="Arial" w:cs="Arial"/>
          <w:sz w:val="22"/>
          <w:szCs w:val="22"/>
        </w:rPr>
        <w:t>. Use of online healthcare services is less likely to benefit older adults, those from deprived communities, people with disabilities and those with limited digital skills (</w:t>
      </w:r>
      <w:r w:rsidRPr="002F3F57" w:rsidR="002F3F57">
        <w:rPr>
          <w:rFonts w:ascii="Arial" w:hAnsi="Arial" w:cs="Arial"/>
          <w:sz w:val="22"/>
          <w:szCs w:val="22"/>
        </w:rPr>
        <w:t>Forde</w:t>
      </w:r>
      <w:r w:rsidRPr="002F3F57" w:rsidR="002F3F57">
        <w:rPr>
          <w:rFonts w:ascii="Cambria Math" w:hAnsi="Cambria Math" w:cs="Cambria Math"/>
          <w:sz w:val="22"/>
          <w:szCs w:val="22"/>
        </w:rPr>
        <w:t>‐</w:t>
      </w:r>
      <w:r w:rsidRPr="002F3F57" w:rsidR="002F3F57">
        <w:rPr>
          <w:rFonts w:ascii="Arial" w:hAnsi="Arial" w:cs="Arial"/>
          <w:sz w:val="22"/>
          <w:szCs w:val="22"/>
        </w:rPr>
        <w:t>Johnston</w:t>
      </w:r>
      <w:r w:rsidR="002F3F57">
        <w:rPr>
          <w:rFonts w:ascii="Arial" w:hAnsi="Arial" w:cs="Arial"/>
          <w:sz w:val="22"/>
          <w:szCs w:val="22"/>
        </w:rPr>
        <w:t xml:space="preserve"> et al., 2023</w:t>
      </w:r>
      <w:r w:rsidRPr="000E0DE4">
        <w:rPr>
          <w:rFonts w:ascii="Arial" w:hAnsi="Arial" w:cs="Arial"/>
          <w:sz w:val="22"/>
          <w:szCs w:val="22"/>
        </w:rPr>
        <w:t xml:space="preserve">). Without appropriate alternatives, emerging health inequalities could be exacerbated as healthcare services become in increasing part digital-first. There is also variability in patient experiences across the UK, observed from the evidence. For some, the convenience of getting medical information is preferable, but for others, they need assistance with understanding medical records and using digital systems (Turner et al., 2022). </w:t>
      </w:r>
      <w:r w:rsidRPr="000E0DE4">
        <w:rPr>
          <w:rFonts w:ascii="Arial" w:hAnsi="Arial" w:cs="Arial"/>
          <w:sz w:val="22"/>
          <w:szCs w:val="22"/>
        </w:rPr>
        <w:t>So,</w:t>
      </w:r>
      <w:r w:rsidRPr="000E0DE4">
        <w:rPr>
          <w:rFonts w:ascii="Arial" w:hAnsi="Arial" w:cs="Arial"/>
          <w:sz w:val="22"/>
          <w:szCs w:val="22"/>
        </w:rPr>
        <w:t xml:space="preserve"> technology alone is not enough to ensure better patient experiences. </w:t>
      </w:r>
      <w:r w:rsidRPr="000E0DE4">
        <w:rPr>
          <w:rFonts w:ascii="Arial" w:hAnsi="Arial" w:cs="Arial"/>
          <w:sz w:val="22"/>
          <w:szCs w:val="22"/>
        </w:rPr>
        <w:t xml:space="preserve">It is dependent on the successful integration of digital transformation, patient education, easy access to support and inclusive design. </w:t>
      </w:r>
    </w:p>
    <w:p w:rsidR="000E0DE4" w:rsidP="008E22CA" w:rsidRDefault="008E22CA" w14:paraId="7D09BE3C" w14:textId="3E7731EE">
      <w:pPr>
        <w:pStyle w:val="Heading1"/>
        <w:spacing w:line="360" w:lineRule="auto"/>
      </w:pPr>
      <w:bookmarkStart w:name="_Toc234469295" w:id="7"/>
      <w:r>
        <w:t>4</w:t>
      </w:r>
      <w:r w:rsidRPr="000E0DE4" w:rsidR="000E0DE4">
        <w:t>. Community</w:t>
      </w:r>
      <w:bookmarkEnd w:id="7"/>
      <w:r w:rsidRPr="000E0DE4" w:rsidR="000E0DE4">
        <w:t xml:space="preserve"> </w:t>
      </w:r>
    </w:p>
    <w:p w:rsidR="000E0DE4" w:rsidP="008E22CA" w:rsidRDefault="008E22CA" w14:paraId="5684BBEB" w14:textId="481E73A3">
      <w:pPr>
        <w:pStyle w:val="Heading2"/>
        <w:spacing w:line="360" w:lineRule="auto"/>
      </w:pPr>
      <w:bookmarkStart w:name="_Toc234469296" w:id="8"/>
      <w:r>
        <w:t>4</w:t>
      </w:r>
      <w:r w:rsidRPr="000E0DE4" w:rsidR="000E0DE4">
        <w:t>.1 Community Impact</w:t>
      </w:r>
      <w:bookmarkEnd w:id="8"/>
      <w:r w:rsidRPr="000E0DE4" w:rsidR="000E0DE4">
        <w:t xml:space="preserve"> </w:t>
      </w:r>
    </w:p>
    <w:p w:rsidR="000E0DE4" w:rsidP="008E22CA" w:rsidRDefault="000E0DE4" w14:paraId="5345DF38" w14:textId="38DDF231">
      <w:pPr>
        <w:spacing w:line="360" w:lineRule="auto"/>
        <w:jc w:val="both"/>
        <w:rPr>
          <w:rFonts w:ascii="Arial" w:hAnsi="Arial" w:cs="Arial"/>
          <w:sz w:val="22"/>
          <w:szCs w:val="22"/>
        </w:rPr>
      </w:pPr>
      <w:r w:rsidRPr="000E0DE4">
        <w:rPr>
          <w:rFonts w:ascii="Arial" w:hAnsi="Arial" w:cs="Arial"/>
          <w:sz w:val="22"/>
          <w:szCs w:val="22"/>
        </w:rPr>
        <w:t xml:space="preserve">The </w:t>
      </w:r>
      <w:r>
        <w:rPr>
          <w:rFonts w:ascii="Arial" w:hAnsi="Arial" w:cs="Arial"/>
          <w:sz w:val="22"/>
          <w:szCs w:val="22"/>
        </w:rPr>
        <w:t xml:space="preserve">implementation of </w:t>
      </w:r>
      <w:r w:rsidRPr="000E0DE4">
        <w:rPr>
          <w:rFonts w:ascii="Arial" w:hAnsi="Arial" w:cs="Arial"/>
          <w:sz w:val="22"/>
          <w:szCs w:val="22"/>
        </w:rPr>
        <w:t xml:space="preserve">EHRs has gone beyond patient records for individual patients, impacting the health service delivery in communities throughout the UK. EHRs have facilitated better care coordination among geographically dispersed populations by allowing for secure sharing of information between hospitals, GP practices, community health services and social care services. This has been very helpful to individuals who live in rural or underserved areas, where digital records aid in remote consultations and prevent an unneeded trip to specialist </w:t>
      </w:r>
      <w:r w:rsidRPr="000E0DE4">
        <w:rPr>
          <w:rFonts w:ascii="Arial" w:hAnsi="Arial" w:cs="Arial"/>
          <w:sz w:val="22"/>
          <w:szCs w:val="22"/>
        </w:rPr>
        <w:t>centers</w:t>
      </w:r>
      <w:r w:rsidRPr="000E0DE4">
        <w:rPr>
          <w:rFonts w:ascii="Arial" w:hAnsi="Arial" w:cs="Arial"/>
          <w:sz w:val="22"/>
          <w:szCs w:val="22"/>
        </w:rPr>
        <w:t xml:space="preserve"> (</w:t>
      </w:r>
      <w:r w:rsidR="00F213DD">
        <w:rPr>
          <w:rFonts w:ascii="Arial" w:hAnsi="Arial" w:cs="Arial"/>
          <w:sz w:val="22"/>
          <w:szCs w:val="22"/>
        </w:rPr>
        <w:t>DHSC</w:t>
      </w:r>
      <w:r w:rsidRPr="000E0DE4">
        <w:rPr>
          <w:rFonts w:ascii="Arial" w:hAnsi="Arial" w:cs="Arial"/>
          <w:sz w:val="22"/>
          <w:szCs w:val="22"/>
        </w:rPr>
        <w:t>, 2022). Improved access to patient information also means that health care professionals can deliver timely interventions and continuity of care, making services more accessible to communities that have limited health care access.</w:t>
      </w:r>
    </w:p>
    <w:p w:rsidR="000E0DE4" w:rsidP="008E22CA" w:rsidRDefault="000E0DE4" w14:paraId="657055AA" w14:textId="77777777">
      <w:pPr>
        <w:spacing w:line="360" w:lineRule="auto"/>
        <w:jc w:val="both"/>
        <w:rPr>
          <w:rFonts w:ascii="Arial" w:hAnsi="Arial" w:cs="Arial"/>
          <w:sz w:val="22"/>
          <w:szCs w:val="22"/>
        </w:rPr>
      </w:pPr>
    </w:p>
    <w:p w:rsidR="000E0DE4" w:rsidP="008E22CA" w:rsidRDefault="000E0DE4" w14:paraId="2BA57198" w14:textId="43ACCBB8">
      <w:pPr>
        <w:spacing w:line="360" w:lineRule="auto"/>
        <w:jc w:val="both"/>
        <w:rPr>
          <w:rFonts w:ascii="Arial" w:hAnsi="Arial" w:cs="Arial"/>
          <w:sz w:val="22"/>
          <w:szCs w:val="22"/>
        </w:rPr>
      </w:pPr>
      <w:r w:rsidRPr="000E0DE4">
        <w:rPr>
          <w:rFonts w:ascii="Arial" w:hAnsi="Arial" w:cs="Arial"/>
          <w:sz w:val="22"/>
          <w:szCs w:val="22"/>
        </w:rPr>
        <w:t>EHRs also play a role in public health by facilitating access to anonymised information at the population level to monitor diseases and plan services and allocate resources. NHS organisations may have the ability to leverage aggregated health information to assist them in identifying patterns and trends in chronic conditions, track vaccination rates, and take actions to address new public health threats and challenges (NHS England, 2024). In recent public health crises, digital health records have facilitated quicker identification of vulnerable groups and facilitated coordinated response by Integrated Care Systems. In addition, families and informal carers can benefit from an EHR as it allows them to communicate with healthcare providers and access care plans and medication information more easily. This may improve service coordination for those who have more complex needs and lessen duplication of services</w:t>
      </w:r>
      <w:r w:rsidR="00427250">
        <w:rPr>
          <w:rFonts w:ascii="Arial" w:hAnsi="Arial" w:cs="Arial"/>
          <w:sz w:val="22"/>
          <w:szCs w:val="22"/>
        </w:rPr>
        <w:t xml:space="preserve"> (</w:t>
      </w:r>
      <w:r w:rsidRPr="00427250" w:rsidR="00427250">
        <w:rPr>
          <w:rFonts w:ascii="Arial" w:hAnsi="Arial" w:cs="Arial"/>
          <w:sz w:val="22"/>
          <w:szCs w:val="22"/>
        </w:rPr>
        <w:t>Badr</w:t>
      </w:r>
      <w:r w:rsidR="00427250">
        <w:rPr>
          <w:rFonts w:ascii="Arial" w:hAnsi="Arial" w:cs="Arial"/>
          <w:sz w:val="22"/>
          <w:szCs w:val="22"/>
        </w:rPr>
        <w:t xml:space="preserve"> et al., 2024). </w:t>
      </w:r>
    </w:p>
    <w:p w:rsidRPr="00C3725E" w:rsidR="000E0DE4" w:rsidP="008E22CA" w:rsidRDefault="000E0DE4" w14:paraId="5B7391BF" w14:textId="0BF0A243">
      <w:pPr>
        <w:spacing w:line="360" w:lineRule="auto"/>
        <w:jc w:val="both"/>
        <w:rPr>
          <w:rFonts w:ascii="Arial" w:hAnsi="Arial" w:cs="Arial"/>
          <w:sz w:val="22"/>
          <w:szCs w:val="22"/>
        </w:rPr>
      </w:pPr>
      <w:r>
        <w:rPr>
          <w:rFonts w:ascii="Arial" w:hAnsi="Arial" w:cs="Arial"/>
          <w:sz w:val="22"/>
          <w:szCs w:val="22"/>
        </w:rPr>
        <w:t xml:space="preserve">However, the </w:t>
      </w:r>
      <w:r w:rsidRPr="000E0DE4">
        <w:rPr>
          <w:rFonts w:ascii="Arial" w:hAnsi="Arial" w:cs="Arial"/>
          <w:sz w:val="22"/>
          <w:szCs w:val="22"/>
        </w:rPr>
        <w:t>advantages of EHRs are not seen to the same extent in all communities. Limited broadband access and socially disadvantaged communities may be at risk of being unable to access digital health services, limiting the effectiveness of technology-led models of care (</w:t>
      </w:r>
      <w:r w:rsidRPr="002F3F57" w:rsidR="002F3F57">
        <w:rPr>
          <w:rFonts w:ascii="Arial" w:hAnsi="Arial" w:cs="Arial"/>
          <w:sz w:val="22"/>
          <w:szCs w:val="22"/>
        </w:rPr>
        <w:t>Forde</w:t>
      </w:r>
      <w:r w:rsidRPr="002F3F57" w:rsidR="002F3F57">
        <w:rPr>
          <w:rFonts w:ascii="Cambria Math" w:hAnsi="Cambria Math" w:cs="Cambria Math"/>
          <w:sz w:val="22"/>
          <w:szCs w:val="22"/>
        </w:rPr>
        <w:t>‐</w:t>
      </w:r>
      <w:r w:rsidRPr="002F3F57" w:rsidR="002F3F57">
        <w:rPr>
          <w:rFonts w:ascii="Arial" w:hAnsi="Arial" w:cs="Arial"/>
          <w:sz w:val="22"/>
          <w:szCs w:val="22"/>
        </w:rPr>
        <w:t>Johnston</w:t>
      </w:r>
      <w:r w:rsidR="002F3F57">
        <w:rPr>
          <w:rFonts w:ascii="Arial" w:hAnsi="Arial" w:cs="Arial"/>
          <w:sz w:val="22"/>
          <w:szCs w:val="22"/>
        </w:rPr>
        <w:t xml:space="preserve"> et al., 2023</w:t>
      </w:r>
      <w:r w:rsidRPr="000E0DE4">
        <w:rPr>
          <w:rFonts w:ascii="Arial" w:hAnsi="Arial" w:cs="Arial"/>
          <w:sz w:val="22"/>
          <w:szCs w:val="22"/>
        </w:rPr>
        <w:t>). Families might also find themselves taking on extra responsibilities for older family members or those who are less technologically savvy to help them use online services, which can add to their caregiving duties. Thus, while EHRs can help to make healthcare more accessible, they must tackle the broader social and digital inequalities if they are to achieve this objective.</w:t>
      </w:r>
    </w:p>
    <w:p w:rsidR="00302F27" w:rsidP="008E22CA" w:rsidRDefault="008E22CA" w14:paraId="59C2CCD5" w14:textId="68A538BD">
      <w:pPr>
        <w:pStyle w:val="Heading2"/>
        <w:spacing w:line="360" w:lineRule="auto"/>
      </w:pPr>
      <w:bookmarkStart w:name="_Toc234469297" w:id="9"/>
      <w:r>
        <w:t>4</w:t>
      </w:r>
      <w:r w:rsidRPr="00302F27" w:rsidR="00302F27">
        <w:t xml:space="preserve">.2 Critical Evaluation </w:t>
      </w:r>
      <w:r w:rsidR="00302F27">
        <w:t xml:space="preserve">with </w:t>
      </w:r>
      <w:r w:rsidRPr="00302F27" w:rsidR="00302F27">
        <w:t>UK</w:t>
      </w:r>
      <w:r w:rsidR="00302F27">
        <w:t xml:space="preserve"> E</w:t>
      </w:r>
      <w:r w:rsidRPr="00302F27" w:rsidR="00302F27">
        <w:t>vidence</w:t>
      </w:r>
      <w:bookmarkEnd w:id="9"/>
      <w:r w:rsidRPr="00302F27" w:rsidR="00302F27">
        <w:t xml:space="preserve"> </w:t>
      </w:r>
    </w:p>
    <w:p w:rsidR="00302F27" w:rsidP="008E22CA" w:rsidRDefault="00302F27" w14:paraId="7A1EE5D1" w14:textId="1AAB5DB0">
      <w:pPr>
        <w:spacing w:line="360" w:lineRule="auto"/>
        <w:jc w:val="both"/>
        <w:rPr>
          <w:rFonts w:ascii="Arial" w:hAnsi="Arial" w:cs="Arial"/>
          <w:sz w:val="22"/>
          <w:szCs w:val="22"/>
        </w:rPr>
      </w:pPr>
      <w:r w:rsidRPr="00302F27">
        <w:rPr>
          <w:rFonts w:ascii="Arial" w:hAnsi="Arial" w:cs="Arial"/>
          <w:sz w:val="22"/>
          <w:szCs w:val="22"/>
        </w:rPr>
        <w:t xml:space="preserve">One of the biggest hurdles to achieving a community-level impact of EHRs is digital inclusion. While digital transformation is designed to provide better access to healthcare, there are still </w:t>
      </w:r>
      <w:r w:rsidRPr="00302F27">
        <w:rPr>
          <w:rFonts w:ascii="Arial" w:hAnsi="Arial" w:cs="Arial"/>
          <w:sz w:val="22"/>
          <w:szCs w:val="22"/>
        </w:rPr>
        <w:t>vulnerable groups that are facing digital literacy, internet access and confidence with online health service challenges (</w:t>
      </w:r>
      <w:r w:rsidRPr="002F3F57" w:rsidR="002F3F57">
        <w:rPr>
          <w:rFonts w:ascii="Arial" w:hAnsi="Arial" w:cs="Arial"/>
          <w:sz w:val="22"/>
          <w:szCs w:val="22"/>
        </w:rPr>
        <w:t>Forde</w:t>
      </w:r>
      <w:r w:rsidRPr="002F3F57" w:rsidR="002F3F57">
        <w:rPr>
          <w:rFonts w:ascii="Cambria Math" w:hAnsi="Cambria Math" w:cs="Cambria Math"/>
          <w:sz w:val="22"/>
          <w:szCs w:val="22"/>
        </w:rPr>
        <w:t>‐</w:t>
      </w:r>
      <w:r w:rsidRPr="002F3F57" w:rsidR="002F3F57">
        <w:rPr>
          <w:rFonts w:ascii="Arial" w:hAnsi="Arial" w:cs="Arial"/>
          <w:sz w:val="22"/>
          <w:szCs w:val="22"/>
        </w:rPr>
        <w:t>Johnston</w:t>
      </w:r>
      <w:r w:rsidR="002F3F57">
        <w:rPr>
          <w:rFonts w:ascii="Arial" w:hAnsi="Arial" w:cs="Arial"/>
          <w:sz w:val="22"/>
          <w:szCs w:val="22"/>
        </w:rPr>
        <w:t xml:space="preserve"> et al., 2023</w:t>
      </w:r>
      <w:r w:rsidRPr="00302F27">
        <w:rPr>
          <w:rFonts w:ascii="Arial" w:hAnsi="Arial" w:cs="Arial"/>
          <w:sz w:val="22"/>
          <w:szCs w:val="22"/>
        </w:rPr>
        <w:t>). If not addressed, digital innovation may actually exacerbate rather than narrow health disparities. NHS organisations have been increasingly encouraged to embrace co-production approaches, collaborating with patients, carers and community groups to create more accessible digital services, to address this. The confidence in using NHS digital platforms has been enhanced by a range of community initiatives, such as digital inclusion programmes and App Ambassador schemes, and services are now more diverse in meeting the needs of diverse populations (</w:t>
      </w:r>
      <w:r w:rsidRPr="002F3F57" w:rsidR="002F3F57">
        <w:rPr>
          <w:rFonts w:ascii="Arial" w:hAnsi="Arial" w:cs="Arial"/>
          <w:sz w:val="22"/>
          <w:szCs w:val="22"/>
        </w:rPr>
        <w:t>Forde</w:t>
      </w:r>
      <w:r w:rsidRPr="002F3F57" w:rsidR="002F3F57">
        <w:rPr>
          <w:rFonts w:ascii="Cambria Math" w:hAnsi="Cambria Math" w:cs="Cambria Math"/>
          <w:sz w:val="22"/>
          <w:szCs w:val="22"/>
        </w:rPr>
        <w:t>‐</w:t>
      </w:r>
      <w:r w:rsidRPr="002F3F57" w:rsidR="002F3F57">
        <w:rPr>
          <w:rFonts w:ascii="Arial" w:hAnsi="Arial" w:cs="Arial"/>
          <w:sz w:val="22"/>
          <w:szCs w:val="22"/>
        </w:rPr>
        <w:t>Johnston</w:t>
      </w:r>
      <w:r w:rsidR="002F3F57">
        <w:rPr>
          <w:rFonts w:ascii="Arial" w:hAnsi="Arial" w:cs="Arial"/>
          <w:sz w:val="22"/>
          <w:szCs w:val="22"/>
        </w:rPr>
        <w:t xml:space="preserve"> et al., 2023</w:t>
      </w:r>
      <w:r w:rsidRPr="00302F27">
        <w:rPr>
          <w:rFonts w:ascii="Arial" w:hAnsi="Arial" w:cs="Arial"/>
          <w:sz w:val="22"/>
          <w:szCs w:val="22"/>
        </w:rPr>
        <w:t>).</w:t>
      </w:r>
    </w:p>
    <w:p w:rsidRPr="00C3725E" w:rsidR="00302F27" w:rsidP="008E22CA" w:rsidRDefault="00302F27" w14:paraId="2974D99A" w14:textId="4A9C716D">
      <w:pPr>
        <w:spacing w:line="360" w:lineRule="auto"/>
        <w:jc w:val="both"/>
        <w:rPr>
          <w:rFonts w:ascii="Arial" w:hAnsi="Arial" w:cs="Arial"/>
          <w:sz w:val="22"/>
          <w:szCs w:val="22"/>
        </w:rPr>
      </w:pPr>
      <w:r>
        <w:rPr>
          <w:rFonts w:ascii="Arial" w:hAnsi="Arial" w:cs="Arial"/>
          <w:sz w:val="22"/>
          <w:szCs w:val="22"/>
        </w:rPr>
        <w:t xml:space="preserve">Despite these positive developments, </w:t>
      </w:r>
      <w:r w:rsidRPr="00302F27">
        <w:rPr>
          <w:rFonts w:ascii="Arial" w:hAnsi="Arial" w:cs="Arial"/>
          <w:sz w:val="22"/>
          <w:szCs w:val="22"/>
        </w:rPr>
        <w:t>co-production is inconsistent throughout the UK and the availability of digital assistance is not uniform between regions. Furthermore, provision of non-digital health access such as telephone and in-person services are still crucial for those who struggle with digital access. However,</w:t>
      </w:r>
      <w:r w:rsidRPr="00427250" w:rsidR="00427250">
        <w:rPr>
          <w:rFonts w:ascii="Arial" w:hAnsi="Arial" w:cs="Arial"/>
          <w:sz w:val="22"/>
          <w:szCs w:val="22"/>
        </w:rPr>
        <w:t xml:space="preserve"> </w:t>
      </w:r>
      <w:r w:rsidRPr="00427250" w:rsidR="00427250">
        <w:rPr>
          <w:rFonts w:ascii="Arial" w:hAnsi="Arial" w:cs="Arial"/>
          <w:sz w:val="22"/>
          <w:szCs w:val="22"/>
        </w:rPr>
        <w:t>Badr</w:t>
      </w:r>
      <w:r w:rsidR="00427250">
        <w:rPr>
          <w:rFonts w:ascii="Arial" w:hAnsi="Arial" w:cs="Arial"/>
          <w:sz w:val="22"/>
          <w:szCs w:val="22"/>
        </w:rPr>
        <w:t xml:space="preserve"> et al. (2024) states that</w:t>
      </w:r>
      <w:r w:rsidRPr="00302F27">
        <w:rPr>
          <w:rFonts w:ascii="Arial" w:hAnsi="Arial" w:cs="Arial"/>
          <w:sz w:val="22"/>
          <w:szCs w:val="22"/>
        </w:rPr>
        <w:t xml:space="preserve"> digital inclusion efforts, collaborative service design and ongoing investment in digital infrastructure are essential to meeting equitable community outcomes. Thus, the success of EHRs in the long run will not only be based on technological innovations, but on the ability to achieve equal access for all communities to the benefits of digital transformation.</w:t>
      </w:r>
    </w:p>
    <w:p w:rsidRPr="008E22CA" w:rsidR="00657148" w:rsidP="008E22CA" w:rsidRDefault="008E22CA" w14:paraId="637A4B96" w14:textId="67B29301">
      <w:pPr>
        <w:pStyle w:val="Heading1"/>
        <w:spacing w:line="360" w:lineRule="auto"/>
        <w:rPr>
          <w:rFonts w:eastAsia="Arial"/>
        </w:rPr>
      </w:pPr>
      <w:bookmarkStart w:name="_Toc234469298" w:id="10"/>
      <w:r w:rsidRPr="008E22CA">
        <w:rPr>
          <w:rFonts w:eastAsia="Arial"/>
        </w:rPr>
        <w:t xml:space="preserve">5. </w:t>
      </w:r>
      <w:r w:rsidRPr="008E22CA">
        <w:rPr>
          <w:rFonts w:eastAsia="Arial"/>
        </w:rPr>
        <w:t>Conclusion and Recommendations</w:t>
      </w:r>
      <w:bookmarkEnd w:id="10"/>
    </w:p>
    <w:p w:rsidR="008E22CA" w:rsidP="008E22CA" w:rsidRDefault="008E22CA" w14:paraId="3D2B311E" w14:textId="17F55A54">
      <w:pPr>
        <w:spacing w:line="360" w:lineRule="auto"/>
        <w:jc w:val="both"/>
        <w:rPr>
          <w:rFonts w:ascii="Arial" w:hAnsi="Arial" w:cs="Arial"/>
          <w:sz w:val="22"/>
          <w:szCs w:val="22"/>
        </w:rPr>
      </w:pPr>
      <w:r w:rsidRPr="008E22CA">
        <w:rPr>
          <w:rFonts w:ascii="Arial" w:hAnsi="Arial" w:cs="Arial"/>
          <w:sz w:val="22"/>
          <w:szCs w:val="22"/>
        </w:rPr>
        <w:t xml:space="preserve">EHRs have become one of the most significant digital innovations in the health and social care system in the UK over the last decade, impacting how services are provided, experiences of patients and community health outcomes. This assessment revealed that EHRs have led to better clinical workflows, interdisciplinary communication, continuity of care and provide greater access to health information for patients, and support population health planning. These benefits are however not equally distributed, and problems such as lack of interoperability, implementation costs, cybersecurity risks and digital exclusion and digital literacy gaps need to be addressed. </w:t>
      </w:r>
      <w:r>
        <w:rPr>
          <w:rFonts w:ascii="Arial" w:hAnsi="Arial" w:cs="Arial"/>
          <w:sz w:val="22"/>
          <w:szCs w:val="22"/>
        </w:rPr>
        <w:t>T</w:t>
      </w:r>
      <w:r w:rsidRPr="008E22CA">
        <w:rPr>
          <w:rFonts w:ascii="Arial" w:hAnsi="Arial" w:cs="Arial"/>
          <w:sz w:val="22"/>
          <w:szCs w:val="22"/>
        </w:rPr>
        <w:t xml:space="preserve">he impact of EHRs is not only dependent on technology but also on organisations being ready, staff attitudes, and access to EHRs being equal. As EHRs continue to evolve, regular assessments are crucial to ensure they meet the evolving needs of healthcare and new digital threats. </w:t>
      </w:r>
    </w:p>
    <w:p w:rsidR="008E22CA" w:rsidP="008E22CA" w:rsidRDefault="008E22CA" w14:paraId="2D4104DE" w14:textId="6054ED01">
      <w:pPr>
        <w:pStyle w:val="Heading2"/>
        <w:spacing w:line="360" w:lineRule="auto"/>
      </w:pPr>
      <w:bookmarkStart w:name="_Toc234469299" w:id="11"/>
      <w:r>
        <w:t>5.1. Recommendations</w:t>
      </w:r>
      <w:bookmarkEnd w:id="11"/>
    </w:p>
    <w:p w:rsidR="008E22CA" w:rsidP="008E22CA" w:rsidRDefault="008E22CA" w14:paraId="49CB550E" w14:textId="77777777">
      <w:pPr>
        <w:pStyle w:val="ListParagraph"/>
        <w:numPr>
          <w:ilvl w:val="0"/>
          <w:numId w:val="3"/>
        </w:numPr>
        <w:spacing w:line="360" w:lineRule="auto"/>
        <w:jc w:val="both"/>
        <w:rPr>
          <w:rFonts w:ascii="Arial" w:hAnsi="Arial" w:cs="Arial"/>
          <w:sz w:val="22"/>
          <w:szCs w:val="22"/>
        </w:rPr>
      </w:pPr>
      <w:r w:rsidRPr="008E22CA">
        <w:rPr>
          <w:rFonts w:ascii="Arial" w:hAnsi="Arial" w:cs="Arial"/>
          <w:sz w:val="22"/>
          <w:szCs w:val="22"/>
        </w:rPr>
        <w:t xml:space="preserve">Healthcare organisations in the NHS need to focus on interoperability with the use of nationally standardised data sharing frameworks to enhance information sharing across health settings. </w:t>
      </w:r>
    </w:p>
    <w:p w:rsidRPr="008E22CA" w:rsidR="008E22CA" w:rsidP="008E22CA" w:rsidRDefault="008E22CA" w14:paraId="6588AAC7" w14:textId="06AD84C6">
      <w:pPr>
        <w:pStyle w:val="ListParagraph"/>
        <w:numPr>
          <w:ilvl w:val="0"/>
          <w:numId w:val="3"/>
        </w:numPr>
        <w:spacing w:line="360" w:lineRule="auto"/>
        <w:jc w:val="both"/>
        <w:rPr>
          <w:rFonts w:ascii="Arial" w:hAnsi="Arial" w:cs="Arial"/>
          <w:sz w:val="22"/>
          <w:szCs w:val="22"/>
        </w:rPr>
      </w:pPr>
      <w:r w:rsidRPr="008E22CA">
        <w:rPr>
          <w:rFonts w:ascii="Arial" w:hAnsi="Arial" w:cs="Arial"/>
          <w:sz w:val="22"/>
          <w:szCs w:val="22"/>
        </w:rPr>
        <w:t>Ongoing Digital Skills training for health care workers should be offered to maximi</w:t>
      </w:r>
      <w:r w:rsidRPr="008E22CA">
        <w:rPr>
          <w:rFonts w:ascii="Arial" w:hAnsi="Arial" w:cs="Arial"/>
          <w:sz w:val="22"/>
          <w:szCs w:val="22"/>
        </w:rPr>
        <w:t>s</w:t>
      </w:r>
      <w:r w:rsidRPr="008E22CA">
        <w:rPr>
          <w:rFonts w:ascii="Arial" w:hAnsi="Arial" w:cs="Arial"/>
          <w:sz w:val="22"/>
          <w:szCs w:val="22"/>
        </w:rPr>
        <w:t xml:space="preserve">e the usability of the system and reduce disruptions in workflow when implementing the system. </w:t>
      </w:r>
      <w:r w:rsidRPr="008E22CA">
        <w:rPr>
          <w:rFonts w:ascii="Arial" w:hAnsi="Arial" w:cs="Arial"/>
          <w:sz w:val="22"/>
          <w:szCs w:val="22"/>
        </w:rPr>
        <w:t>D</w:t>
      </w:r>
      <w:r w:rsidRPr="008E22CA">
        <w:rPr>
          <w:rFonts w:ascii="Arial" w:hAnsi="Arial" w:cs="Arial"/>
          <w:sz w:val="22"/>
          <w:szCs w:val="22"/>
        </w:rPr>
        <w:t xml:space="preserve">igital inclusion should be much more robust and enhanced, with increased </w:t>
      </w:r>
      <w:r w:rsidRPr="008E22CA">
        <w:rPr>
          <w:rFonts w:ascii="Arial" w:hAnsi="Arial" w:cs="Arial"/>
          <w:sz w:val="22"/>
          <w:szCs w:val="22"/>
        </w:rPr>
        <w:t xml:space="preserve">investment in community-based support, in digital literacy programmes, and in non-digital pathways for the care of vulnerable groups. </w:t>
      </w:r>
    </w:p>
    <w:p w:rsidRPr="008E22CA" w:rsidR="008E22CA" w:rsidP="008E22CA" w:rsidRDefault="008E22CA" w14:paraId="7C7EAF22" w14:textId="41F76F32">
      <w:pPr>
        <w:pStyle w:val="ListParagraph"/>
        <w:numPr>
          <w:ilvl w:val="0"/>
          <w:numId w:val="3"/>
        </w:numPr>
        <w:spacing w:line="360" w:lineRule="auto"/>
        <w:jc w:val="both"/>
        <w:rPr>
          <w:rFonts w:ascii="Arial" w:hAnsi="Arial" w:cs="Arial"/>
          <w:sz w:val="22"/>
          <w:szCs w:val="22"/>
        </w:rPr>
      </w:pPr>
      <w:r w:rsidRPr="008E22CA">
        <w:rPr>
          <w:rFonts w:ascii="Arial" w:hAnsi="Arial" w:cs="Arial"/>
          <w:sz w:val="22"/>
          <w:szCs w:val="22"/>
        </w:rPr>
        <w:t xml:space="preserve">This need </w:t>
      </w:r>
      <w:r w:rsidRPr="008E22CA">
        <w:rPr>
          <w:rFonts w:ascii="Arial" w:hAnsi="Arial" w:cs="Arial"/>
          <w:sz w:val="22"/>
          <w:szCs w:val="22"/>
        </w:rPr>
        <w:t>significant financial investment and commitment to the organisational change, barriers can be lowered through staged implementation and ongoing funding and partnerships between NHS organisations, technology suppliers and local communities. These will help EHRs to provide more equal, efficient and patient-</w:t>
      </w:r>
      <w:r w:rsidRPr="008E22CA" w:rsidR="00427250">
        <w:rPr>
          <w:rFonts w:ascii="Arial" w:hAnsi="Arial" w:cs="Arial"/>
          <w:sz w:val="22"/>
          <w:szCs w:val="22"/>
        </w:rPr>
        <w:t>centered</w:t>
      </w:r>
      <w:r w:rsidRPr="008E22CA">
        <w:rPr>
          <w:rFonts w:ascii="Arial" w:hAnsi="Arial" w:cs="Arial"/>
          <w:sz w:val="22"/>
          <w:szCs w:val="22"/>
        </w:rPr>
        <w:t xml:space="preserve"> care in the UK.</w:t>
      </w:r>
    </w:p>
    <w:p w:rsidR="008E22CA" w:rsidRDefault="008E22CA" w14:paraId="5399F488" w14:textId="2C227A8B">
      <w:pPr>
        <w:rPr>
          <w:rFonts w:ascii="Arial" w:hAnsi="Arial"/>
          <w:b/>
          <w:color w:val="000000" w:themeColor="text1"/>
          <w:sz w:val="32"/>
          <w:szCs w:val="32"/>
        </w:rPr>
      </w:pPr>
      <w:r>
        <w:br w:type="page"/>
      </w:r>
    </w:p>
    <w:p w:rsidRPr="00427250" w:rsidR="00427250" w:rsidP="00427250" w:rsidRDefault="008E22CA" w14:paraId="59D9BF48" w14:textId="5CCE238D">
      <w:pPr>
        <w:pStyle w:val="Heading1"/>
        <w:spacing w:line="360" w:lineRule="auto"/>
      </w:pPr>
      <w:bookmarkStart w:name="_Toc234469300" w:id="12"/>
      <w:r w:rsidRPr="008E22CA">
        <w:t>References</w:t>
      </w:r>
      <w:bookmarkEnd w:id="12"/>
    </w:p>
    <w:p w:rsidRPr="00CD6589" w:rsidR="00427250" w:rsidP="00427250" w:rsidRDefault="00427250" w14:paraId="118C07D3" w14:textId="77777777">
      <w:pPr>
        <w:spacing w:after="160" w:line="360" w:lineRule="auto"/>
        <w:ind w:left="720" w:hanging="720"/>
        <w:jc w:val="both"/>
        <w:rPr>
          <w:rFonts w:ascii="Arial" w:hAnsi="Arial" w:cs="Arial"/>
          <w:sz w:val="22"/>
          <w:szCs w:val="22"/>
        </w:rPr>
      </w:pPr>
      <w:r w:rsidRPr="00F213DD">
        <w:rPr>
          <w:rFonts w:ascii="Arial" w:hAnsi="Arial" w:cs="Arial"/>
          <w:sz w:val="22"/>
          <w:szCs w:val="22"/>
        </w:rPr>
        <w:t>Abu Esba, L.C., Al Moaiseib, S., BinSabbar, N.S., Al Mardawi, G.H.S., Alkatheri, M. and Al Dekhail, S.</w:t>
      </w:r>
      <w:r>
        <w:rPr>
          <w:rFonts w:ascii="Arial" w:hAnsi="Arial" w:cs="Arial"/>
          <w:sz w:val="22"/>
          <w:szCs w:val="22"/>
        </w:rPr>
        <w:t xml:space="preserve"> (</w:t>
      </w:r>
      <w:r w:rsidRPr="00F213DD">
        <w:rPr>
          <w:rFonts w:ascii="Arial" w:hAnsi="Arial" w:cs="Arial"/>
          <w:sz w:val="22"/>
          <w:szCs w:val="22"/>
        </w:rPr>
        <w:t>2024</w:t>
      </w:r>
      <w:r>
        <w:rPr>
          <w:rFonts w:ascii="Arial" w:hAnsi="Arial" w:cs="Arial"/>
          <w:sz w:val="22"/>
          <w:szCs w:val="22"/>
        </w:rPr>
        <w:t>) ‘</w:t>
      </w:r>
      <w:r w:rsidRPr="00F213DD">
        <w:rPr>
          <w:rFonts w:ascii="Arial" w:hAnsi="Arial" w:cs="Arial"/>
          <w:sz w:val="22"/>
          <w:szCs w:val="22"/>
        </w:rPr>
        <w:t>Preventing overrides of severe drug allergy alerts initiative: an implemented system upgrade.</w:t>
      </w:r>
      <w:r>
        <w:rPr>
          <w:rFonts w:ascii="Arial" w:hAnsi="Arial" w:cs="Arial"/>
          <w:sz w:val="22"/>
          <w:szCs w:val="22"/>
        </w:rPr>
        <w:t>’</w:t>
      </w:r>
      <w:r w:rsidRPr="00F213DD">
        <w:rPr>
          <w:rFonts w:ascii="Arial" w:hAnsi="Arial" w:cs="Arial"/>
          <w:sz w:val="22"/>
          <w:szCs w:val="22"/>
        </w:rPr>
        <w:t> </w:t>
      </w:r>
      <w:r w:rsidRPr="00F213DD">
        <w:rPr>
          <w:rFonts w:ascii="Arial" w:hAnsi="Arial" w:cs="Arial"/>
          <w:i/>
          <w:iCs/>
          <w:sz w:val="22"/>
          <w:szCs w:val="22"/>
        </w:rPr>
        <w:t>Journal of Medical Systems</w:t>
      </w:r>
      <w:r w:rsidRPr="00F213DD">
        <w:rPr>
          <w:rFonts w:ascii="Arial" w:hAnsi="Arial" w:cs="Arial"/>
          <w:sz w:val="22"/>
          <w:szCs w:val="22"/>
        </w:rPr>
        <w:t>, </w:t>
      </w:r>
      <w:r w:rsidRPr="00F213DD">
        <w:rPr>
          <w:rFonts w:ascii="Arial" w:hAnsi="Arial" w:cs="Arial"/>
          <w:i/>
          <w:iCs/>
          <w:sz w:val="22"/>
          <w:szCs w:val="22"/>
        </w:rPr>
        <w:t>48</w:t>
      </w:r>
      <w:r w:rsidRPr="00F213DD">
        <w:rPr>
          <w:rFonts w:ascii="Arial" w:hAnsi="Arial" w:cs="Arial"/>
          <w:sz w:val="22"/>
          <w:szCs w:val="22"/>
        </w:rPr>
        <w:t>(1), p.95.</w:t>
      </w:r>
      <w:r>
        <w:rPr>
          <w:rFonts w:ascii="Arial" w:hAnsi="Arial" w:cs="Arial"/>
          <w:sz w:val="22"/>
          <w:szCs w:val="22"/>
        </w:rPr>
        <w:t xml:space="preserve"> Available at: </w:t>
      </w:r>
      <w:r w:rsidRPr="00F213DD">
        <w:rPr>
          <w:rFonts w:ascii="Arial" w:hAnsi="Arial" w:cs="Arial"/>
          <w:sz w:val="22"/>
          <w:szCs w:val="22"/>
        </w:rPr>
        <w:t>https://doi.org/10.1007/s10916-024-02116-5</w:t>
      </w:r>
    </w:p>
    <w:p w:rsidRPr="00CD6589" w:rsidR="00427250" w:rsidP="00427250" w:rsidRDefault="00427250" w14:paraId="4414D4E3" w14:textId="77777777">
      <w:pPr>
        <w:spacing w:after="160" w:line="360" w:lineRule="auto"/>
        <w:ind w:left="720" w:hanging="720"/>
        <w:jc w:val="both"/>
      </w:pPr>
      <w:r w:rsidRPr="00F213DD">
        <w:rPr>
          <w:rFonts w:ascii="Arial" w:hAnsi="Arial" w:cs="Arial"/>
          <w:sz w:val="22"/>
          <w:szCs w:val="22"/>
        </w:rPr>
        <w:t>Adeniyi, A.O., Arowoogun, J.O., Chidi, R., Okolo, C.A. and Babawarun, O.</w:t>
      </w:r>
      <w:r>
        <w:rPr>
          <w:rFonts w:ascii="Arial" w:hAnsi="Arial" w:cs="Arial"/>
          <w:sz w:val="22"/>
          <w:szCs w:val="22"/>
        </w:rPr>
        <w:t xml:space="preserve"> (</w:t>
      </w:r>
      <w:r w:rsidRPr="00F213DD">
        <w:rPr>
          <w:rFonts w:ascii="Arial" w:hAnsi="Arial" w:cs="Arial"/>
          <w:sz w:val="22"/>
          <w:szCs w:val="22"/>
        </w:rPr>
        <w:t>2024</w:t>
      </w:r>
      <w:r>
        <w:rPr>
          <w:rFonts w:ascii="Arial" w:hAnsi="Arial" w:cs="Arial"/>
          <w:sz w:val="22"/>
          <w:szCs w:val="22"/>
        </w:rPr>
        <w:t>)</w:t>
      </w:r>
      <w:r w:rsidRPr="00F213DD">
        <w:rPr>
          <w:rFonts w:ascii="Arial" w:hAnsi="Arial" w:cs="Arial"/>
          <w:sz w:val="22"/>
          <w:szCs w:val="22"/>
        </w:rPr>
        <w:t xml:space="preserve"> </w:t>
      </w:r>
      <w:r>
        <w:rPr>
          <w:rFonts w:ascii="Arial" w:hAnsi="Arial" w:cs="Arial"/>
          <w:sz w:val="22"/>
          <w:szCs w:val="22"/>
        </w:rPr>
        <w:t>‘</w:t>
      </w:r>
      <w:r w:rsidRPr="00F213DD">
        <w:rPr>
          <w:rFonts w:ascii="Arial" w:hAnsi="Arial" w:cs="Arial"/>
          <w:sz w:val="22"/>
          <w:szCs w:val="22"/>
        </w:rPr>
        <w:t>The impact of electronic health records on patient care and outcomes: A comprehensive review</w:t>
      </w:r>
      <w:r>
        <w:rPr>
          <w:rFonts w:ascii="Arial" w:hAnsi="Arial" w:cs="Arial"/>
          <w:sz w:val="22"/>
          <w:szCs w:val="22"/>
        </w:rPr>
        <w:t>’.</w:t>
      </w:r>
      <w:r w:rsidRPr="00F213DD">
        <w:rPr>
          <w:rFonts w:ascii="Arial" w:hAnsi="Arial" w:cs="Arial"/>
          <w:sz w:val="22"/>
          <w:szCs w:val="22"/>
        </w:rPr>
        <w:t> </w:t>
      </w:r>
      <w:r w:rsidRPr="00F213DD">
        <w:rPr>
          <w:rFonts w:ascii="Arial" w:hAnsi="Arial" w:cs="Arial"/>
          <w:i/>
          <w:iCs/>
          <w:sz w:val="22"/>
          <w:szCs w:val="22"/>
        </w:rPr>
        <w:t>World Journal of Advanced Research and Reviews</w:t>
      </w:r>
      <w:r w:rsidRPr="00F213DD">
        <w:rPr>
          <w:rFonts w:ascii="Arial" w:hAnsi="Arial" w:cs="Arial"/>
          <w:sz w:val="22"/>
          <w:szCs w:val="22"/>
        </w:rPr>
        <w:t>, </w:t>
      </w:r>
      <w:r w:rsidRPr="00F213DD">
        <w:rPr>
          <w:rFonts w:ascii="Arial" w:hAnsi="Arial" w:cs="Arial"/>
          <w:i/>
          <w:iCs/>
          <w:sz w:val="22"/>
          <w:szCs w:val="22"/>
        </w:rPr>
        <w:t>21</w:t>
      </w:r>
      <w:r w:rsidRPr="00F213DD">
        <w:rPr>
          <w:rFonts w:ascii="Arial" w:hAnsi="Arial" w:cs="Arial"/>
          <w:sz w:val="22"/>
          <w:szCs w:val="22"/>
        </w:rPr>
        <w:t>(2), pp.1446-1455.</w:t>
      </w:r>
      <w:r>
        <w:rPr>
          <w:rFonts w:ascii="Arial" w:hAnsi="Arial" w:cs="Arial"/>
          <w:sz w:val="22"/>
          <w:szCs w:val="22"/>
        </w:rPr>
        <w:t xml:space="preserve"> Available at: </w:t>
      </w:r>
      <w:r w:rsidRPr="00F213DD">
        <w:rPr>
          <w:rFonts w:ascii="Arial" w:hAnsi="Arial" w:cs="Arial"/>
          <w:sz w:val="22"/>
          <w:szCs w:val="22"/>
        </w:rPr>
        <w:t>DOI: https://doi.org/10.30574/wjarr.2024.21.2.0592</w:t>
      </w:r>
    </w:p>
    <w:p w:rsidRPr="008E22CA" w:rsidR="00427250" w:rsidP="00427250" w:rsidRDefault="00427250" w14:paraId="6E37DAE2" w14:textId="77777777">
      <w:pPr>
        <w:spacing w:line="360" w:lineRule="auto"/>
        <w:ind w:left="720" w:hanging="720"/>
        <w:rPr>
          <w:rFonts w:ascii="Arial" w:hAnsi="Arial" w:cs="Arial"/>
          <w:sz w:val="22"/>
          <w:szCs w:val="22"/>
        </w:rPr>
      </w:pPr>
      <w:r w:rsidRPr="00427250">
        <w:rPr>
          <w:rFonts w:ascii="Arial" w:hAnsi="Arial" w:cs="Arial"/>
          <w:sz w:val="22"/>
          <w:szCs w:val="22"/>
        </w:rPr>
        <w:t>Badr, J., Motulsky, A. and Denis, J.L.</w:t>
      </w:r>
      <w:r>
        <w:rPr>
          <w:rFonts w:ascii="Arial" w:hAnsi="Arial" w:cs="Arial"/>
          <w:sz w:val="22"/>
          <w:szCs w:val="22"/>
        </w:rPr>
        <w:t xml:space="preserve"> (</w:t>
      </w:r>
      <w:r w:rsidRPr="00427250">
        <w:rPr>
          <w:rFonts w:ascii="Arial" w:hAnsi="Arial" w:cs="Arial"/>
          <w:sz w:val="22"/>
          <w:szCs w:val="22"/>
        </w:rPr>
        <w:t>2024</w:t>
      </w:r>
      <w:r>
        <w:rPr>
          <w:rFonts w:ascii="Arial" w:hAnsi="Arial" w:cs="Arial"/>
          <w:sz w:val="22"/>
          <w:szCs w:val="22"/>
        </w:rPr>
        <w:t>)</w:t>
      </w:r>
      <w:r w:rsidRPr="00427250">
        <w:rPr>
          <w:rFonts w:ascii="Arial" w:hAnsi="Arial" w:cs="Arial"/>
          <w:sz w:val="22"/>
          <w:szCs w:val="22"/>
        </w:rPr>
        <w:t xml:space="preserve"> </w:t>
      </w:r>
      <w:r>
        <w:rPr>
          <w:rFonts w:ascii="Arial" w:hAnsi="Arial" w:cs="Arial"/>
          <w:sz w:val="22"/>
          <w:szCs w:val="22"/>
        </w:rPr>
        <w:t>‘</w:t>
      </w:r>
      <w:r w:rsidRPr="00427250">
        <w:rPr>
          <w:rFonts w:ascii="Arial" w:hAnsi="Arial" w:cs="Arial"/>
          <w:sz w:val="22"/>
          <w:szCs w:val="22"/>
        </w:rPr>
        <w:t>Digital health technologies and inequalities: a scoping review of potential impacts and policy recommendations.</w:t>
      </w:r>
      <w:r>
        <w:rPr>
          <w:rFonts w:ascii="Arial" w:hAnsi="Arial" w:cs="Arial"/>
          <w:sz w:val="22"/>
          <w:szCs w:val="22"/>
        </w:rPr>
        <w:t>’</w:t>
      </w:r>
      <w:r w:rsidRPr="00427250">
        <w:rPr>
          <w:rFonts w:ascii="Arial" w:hAnsi="Arial" w:cs="Arial"/>
          <w:sz w:val="22"/>
          <w:szCs w:val="22"/>
        </w:rPr>
        <w:t> </w:t>
      </w:r>
      <w:r w:rsidRPr="00427250">
        <w:rPr>
          <w:rFonts w:ascii="Arial" w:hAnsi="Arial" w:cs="Arial"/>
          <w:i/>
          <w:iCs/>
          <w:sz w:val="22"/>
          <w:szCs w:val="22"/>
        </w:rPr>
        <w:t>Health Policy</w:t>
      </w:r>
      <w:r w:rsidRPr="00427250">
        <w:rPr>
          <w:rFonts w:ascii="Arial" w:hAnsi="Arial" w:cs="Arial"/>
          <w:sz w:val="22"/>
          <w:szCs w:val="22"/>
        </w:rPr>
        <w:t>, </w:t>
      </w:r>
      <w:r w:rsidRPr="00427250">
        <w:rPr>
          <w:rFonts w:ascii="Arial" w:hAnsi="Arial" w:cs="Arial"/>
          <w:i/>
          <w:iCs/>
          <w:sz w:val="22"/>
          <w:szCs w:val="22"/>
        </w:rPr>
        <w:t>146</w:t>
      </w:r>
      <w:r w:rsidRPr="00427250">
        <w:rPr>
          <w:rFonts w:ascii="Arial" w:hAnsi="Arial" w:cs="Arial"/>
          <w:sz w:val="22"/>
          <w:szCs w:val="22"/>
        </w:rPr>
        <w:t>, p.105122.</w:t>
      </w:r>
      <w:r>
        <w:rPr>
          <w:rFonts w:ascii="Arial" w:hAnsi="Arial" w:cs="Arial"/>
          <w:sz w:val="22"/>
          <w:szCs w:val="22"/>
        </w:rPr>
        <w:t xml:space="preserve"> Available at: </w:t>
      </w:r>
      <w:hyperlink w:tgtFrame="_blank" w:tooltip="Persistent link using digital object identifier" w:history="1" r:id="rId8">
        <w:r w:rsidRPr="00427250">
          <w:rPr>
            <w:rStyle w:val="Hyperlink"/>
            <w:rFonts w:ascii="Arial" w:hAnsi="Arial" w:cs="Arial"/>
            <w:sz w:val="22"/>
            <w:szCs w:val="22"/>
          </w:rPr>
          <w:t>https://doi.org/10.1016/j.healthpol.2024.105122</w:t>
        </w:r>
      </w:hyperlink>
    </w:p>
    <w:p w:rsidRPr="00CD6589" w:rsidR="00427250" w:rsidP="00427250" w:rsidRDefault="00427250" w14:paraId="6FD508CF" w14:textId="77777777">
      <w:pPr>
        <w:spacing w:after="160" w:line="360" w:lineRule="auto"/>
        <w:ind w:left="720" w:hanging="720"/>
        <w:jc w:val="both"/>
        <w:rPr>
          <w:rFonts w:ascii="Arial" w:hAnsi="Arial" w:cs="Arial"/>
          <w:sz w:val="22"/>
          <w:szCs w:val="22"/>
        </w:rPr>
      </w:pPr>
      <w:r w:rsidRPr="00F213DD">
        <w:rPr>
          <w:rFonts w:ascii="Arial" w:hAnsi="Arial" w:cs="Arial"/>
          <w:sz w:val="22"/>
          <w:szCs w:val="22"/>
        </w:rPr>
        <w:t xml:space="preserve">Department of Health and Social Care [DHSC] (2022) </w:t>
      </w:r>
      <w:r w:rsidRPr="00F213DD">
        <w:rPr>
          <w:rFonts w:ascii="Arial" w:hAnsi="Arial" w:cs="Arial"/>
          <w:i/>
          <w:iCs/>
          <w:sz w:val="22"/>
          <w:szCs w:val="22"/>
        </w:rPr>
        <w:t>Data saves lives: reshaping health and social care with data</w:t>
      </w:r>
      <w:r w:rsidRPr="00F213DD">
        <w:rPr>
          <w:rFonts w:ascii="Arial" w:hAnsi="Arial" w:cs="Arial"/>
          <w:sz w:val="22"/>
          <w:szCs w:val="22"/>
        </w:rPr>
        <w:t xml:space="preserve">. Available at: </w:t>
      </w:r>
      <w:hyperlink w:tgtFrame="_new" w:history="1" r:id="rId9">
        <w:r w:rsidRPr="00F213DD">
          <w:rPr>
            <w:rStyle w:val="Hyperlink"/>
            <w:rFonts w:ascii="Arial" w:hAnsi="Arial" w:cs="Arial"/>
            <w:sz w:val="22"/>
            <w:szCs w:val="22"/>
          </w:rPr>
          <w:t>https://www.gov.uk/government/publications/data-saves-lives-reshaping-health-and-social-care-with-data/data-saves-lives-reshaping-health-and-social-care-with-data</w:t>
        </w:r>
      </w:hyperlink>
      <w:r w:rsidRPr="00F213DD">
        <w:rPr>
          <w:rFonts w:ascii="Arial" w:hAnsi="Arial" w:cs="Arial"/>
          <w:sz w:val="22"/>
          <w:szCs w:val="22"/>
        </w:rPr>
        <w:t xml:space="preserve"> (Accessed: 9 July 2026).</w:t>
      </w:r>
    </w:p>
    <w:p w:rsidR="00427250" w:rsidP="00427250" w:rsidRDefault="00427250" w14:paraId="5ABFDF04" w14:textId="50B7378C">
      <w:pPr>
        <w:spacing w:after="160" w:line="360" w:lineRule="auto"/>
        <w:ind w:left="720" w:hanging="720"/>
        <w:jc w:val="both"/>
        <w:rPr>
          <w:rFonts w:ascii="Arial" w:hAnsi="Arial" w:cs="Arial"/>
          <w:sz w:val="22"/>
          <w:szCs w:val="22"/>
        </w:rPr>
      </w:pPr>
      <w:r w:rsidRPr="002F3F57">
        <w:rPr>
          <w:rFonts w:ascii="Arial" w:hAnsi="Arial" w:cs="Arial"/>
          <w:sz w:val="22"/>
          <w:szCs w:val="22"/>
        </w:rPr>
        <w:t>Forde</w:t>
      </w:r>
      <w:r w:rsidRPr="002F3F57">
        <w:rPr>
          <w:rFonts w:ascii="Cambria Math" w:hAnsi="Cambria Math" w:cs="Cambria Math"/>
          <w:sz w:val="22"/>
          <w:szCs w:val="22"/>
        </w:rPr>
        <w:t>‐</w:t>
      </w:r>
      <w:r w:rsidRPr="002F3F57">
        <w:rPr>
          <w:rFonts w:ascii="Arial" w:hAnsi="Arial" w:cs="Arial"/>
          <w:sz w:val="22"/>
          <w:szCs w:val="22"/>
        </w:rPr>
        <w:t>Johnston, C., Butcher, D. and Aveyard, H.</w:t>
      </w:r>
      <w:r>
        <w:rPr>
          <w:rFonts w:ascii="Arial" w:hAnsi="Arial" w:cs="Arial"/>
          <w:sz w:val="22"/>
          <w:szCs w:val="22"/>
        </w:rPr>
        <w:t xml:space="preserve"> (</w:t>
      </w:r>
      <w:r w:rsidRPr="002F3F57">
        <w:rPr>
          <w:rFonts w:ascii="Arial" w:hAnsi="Arial" w:cs="Arial"/>
          <w:sz w:val="22"/>
          <w:szCs w:val="22"/>
        </w:rPr>
        <w:t>2023</w:t>
      </w:r>
      <w:r>
        <w:rPr>
          <w:rFonts w:ascii="Arial" w:hAnsi="Arial" w:cs="Arial"/>
          <w:sz w:val="22"/>
          <w:szCs w:val="22"/>
        </w:rPr>
        <w:t>)</w:t>
      </w:r>
      <w:r w:rsidRPr="002F3F57">
        <w:rPr>
          <w:rFonts w:ascii="Arial" w:hAnsi="Arial" w:cs="Arial"/>
          <w:sz w:val="22"/>
          <w:szCs w:val="22"/>
        </w:rPr>
        <w:t xml:space="preserve"> </w:t>
      </w:r>
      <w:r>
        <w:rPr>
          <w:rFonts w:ascii="Arial" w:hAnsi="Arial" w:cs="Arial"/>
          <w:sz w:val="22"/>
          <w:szCs w:val="22"/>
        </w:rPr>
        <w:t>‘</w:t>
      </w:r>
      <w:r w:rsidRPr="002F3F57">
        <w:rPr>
          <w:rFonts w:ascii="Arial" w:hAnsi="Arial" w:cs="Arial"/>
          <w:sz w:val="22"/>
          <w:szCs w:val="22"/>
        </w:rPr>
        <w:t>An integrative review exploring the impact of Electronic Health Records (EHR) on the quality of nurse–patient interactions and communication.</w:t>
      </w:r>
      <w:r>
        <w:rPr>
          <w:rFonts w:ascii="Arial" w:hAnsi="Arial" w:cs="Arial"/>
          <w:sz w:val="22"/>
          <w:szCs w:val="22"/>
        </w:rPr>
        <w:t>’</w:t>
      </w:r>
      <w:r w:rsidRPr="002F3F57">
        <w:rPr>
          <w:rFonts w:ascii="Arial" w:hAnsi="Arial" w:cs="Arial"/>
          <w:sz w:val="22"/>
          <w:szCs w:val="22"/>
        </w:rPr>
        <w:t> </w:t>
      </w:r>
      <w:r w:rsidRPr="002F3F57">
        <w:rPr>
          <w:rFonts w:ascii="Arial" w:hAnsi="Arial" w:cs="Arial"/>
          <w:i/>
          <w:iCs/>
          <w:sz w:val="22"/>
          <w:szCs w:val="22"/>
        </w:rPr>
        <w:t>Journal of advanced nursing</w:t>
      </w:r>
      <w:r w:rsidRPr="002F3F57">
        <w:rPr>
          <w:rFonts w:ascii="Arial" w:hAnsi="Arial" w:cs="Arial"/>
          <w:sz w:val="22"/>
          <w:szCs w:val="22"/>
        </w:rPr>
        <w:t>, </w:t>
      </w:r>
      <w:r w:rsidRPr="002F3F57">
        <w:rPr>
          <w:rFonts w:ascii="Arial" w:hAnsi="Arial" w:cs="Arial"/>
          <w:i/>
          <w:iCs/>
          <w:sz w:val="22"/>
          <w:szCs w:val="22"/>
        </w:rPr>
        <w:t>79</w:t>
      </w:r>
      <w:r w:rsidRPr="002F3F57">
        <w:rPr>
          <w:rFonts w:ascii="Arial" w:hAnsi="Arial" w:cs="Arial"/>
          <w:sz w:val="22"/>
          <w:szCs w:val="22"/>
        </w:rPr>
        <w:t>(1), pp.48-67.</w:t>
      </w:r>
      <w:r w:rsidR="00210FEB">
        <w:rPr>
          <w:rFonts w:ascii="Arial" w:hAnsi="Arial" w:cs="Arial"/>
          <w:sz w:val="22"/>
          <w:szCs w:val="22"/>
        </w:rPr>
        <w:t xml:space="preserve"> Available at: </w:t>
      </w:r>
      <w:r w:rsidRPr="00210FEB" w:rsidR="00210FEB">
        <w:rPr>
          <w:rFonts w:ascii="Arial" w:hAnsi="Arial" w:cs="Arial"/>
          <w:sz w:val="22"/>
          <w:szCs w:val="22"/>
        </w:rPr>
        <w:t>DOI: 10.1111/jan.15484</w:t>
      </w:r>
    </w:p>
    <w:p w:rsidRPr="00CD6589" w:rsidR="00427250" w:rsidP="00427250" w:rsidRDefault="00427250" w14:paraId="0DDB7300" w14:textId="77777777">
      <w:pPr>
        <w:spacing w:after="160" w:line="360" w:lineRule="auto"/>
        <w:ind w:left="720" w:hanging="720"/>
        <w:jc w:val="both"/>
        <w:rPr>
          <w:rFonts w:ascii="Arial" w:hAnsi="Arial" w:cs="Arial"/>
          <w:sz w:val="22"/>
          <w:szCs w:val="22"/>
        </w:rPr>
      </w:pPr>
      <w:r w:rsidRPr="002F3F57">
        <w:rPr>
          <w:rFonts w:ascii="Arial" w:hAnsi="Arial" w:cs="Arial"/>
          <w:sz w:val="22"/>
          <w:szCs w:val="22"/>
        </w:rPr>
        <w:t>Li, E., Lounsbury, O., Hasnain, M., Ashrafian, H., Darzi, A., Neves, A.L. and Clarke, J.</w:t>
      </w:r>
      <w:r>
        <w:rPr>
          <w:rFonts w:ascii="Arial" w:hAnsi="Arial" w:cs="Arial"/>
          <w:sz w:val="22"/>
          <w:szCs w:val="22"/>
        </w:rPr>
        <w:t xml:space="preserve"> (</w:t>
      </w:r>
      <w:r w:rsidRPr="002F3F57">
        <w:rPr>
          <w:rFonts w:ascii="Arial" w:hAnsi="Arial" w:cs="Arial"/>
          <w:sz w:val="22"/>
          <w:szCs w:val="22"/>
        </w:rPr>
        <w:t>2025</w:t>
      </w:r>
      <w:r>
        <w:rPr>
          <w:rFonts w:ascii="Arial" w:hAnsi="Arial" w:cs="Arial"/>
          <w:sz w:val="22"/>
          <w:szCs w:val="22"/>
        </w:rPr>
        <w:t>)</w:t>
      </w:r>
      <w:r w:rsidRPr="002F3F57">
        <w:rPr>
          <w:rFonts w:ascii="Arial" w:hAnsi="Arial" w:cs="Arial"/>
          <w:sz w:val="22"/>
          <w:szCs w:val="22"/>
        </w:rPr>
        <w:t xml:space="preserve"> </w:t>
      </w:r>
      <w:r>
        <w:rPr>
          <w:rFonts w:ascii="Arial" w:hAnsi="Arial" w:cs="Arial"/>
          <w:sz w:val="22"/>
          <w:szCs w:val="22"/>
        </w:rPr>
        <w:t>‘</w:t>
      </w:r>
      <w:r w:rsidRPr="002F3F57">
        <w:rPr>
          <w:rFonts w:ascii="Arial" w:hAnsi="Arial" w:cs="Arial"/>
          <w:sz w:val="22"/>
          <w:szCs w:val="22"/>
        </w:rPr>
        <w:t>Physician experiences of electronic health record interoperability and its practical impact on care delivery in the English NHS: a cross-sectional survey study.</w:t>
      </w:r>
      <w:r>
        <w:rPr>
          <w:rFonts w:ascii="Arial" w:hAnsi="Arial" w:cs="Arial"/>
          <w:sz w:val="22"/>
          <w:szCs w:val="22"/>
        </w:rPr>
        <w:t>’</w:t>
      </w:r>
      <w:r w:rsidRPr="002F3F57">
        <w:rPr>
          <w:rFonts w:ascii="Arial" w:hAnsi="Arial" w:cs="Arial"/>
          <w:sz w:val="22"/>
          <w:szCs w:val="22"/>
        </w:rPr>
        <w:t> </w:t>
      </w:r>
      <w:r w:rsidRPr="002F3F57">
        <w:rPr>
          <w:rFonts w:ascii="Arial" w:hAnsi="Arial" w:cs="Arial"/>
          <w:i/>
          <w:iCs/>
          <w:sz w:val="22"/>
          <w:szCs w:val="22"/>
        </w:rPr>
        <w:t>BMJ open</w:t>
      </w:r>
      <w:r w:rsidRPr="002F3F57">
        <w:rPr>
          <w:rFonts w:ascii="Arial" w:hAnsi="Arial" w:cs="Arial"/>
          <w:sz w:val="22"/>
          <w:szCs w:val="22"/>
        </w:rPr>
        <w:t>, </w:t>
      </w:r>
      <w:r w:rsidRPr="002F3F57">
        <w:rPr>
          <w:rFonts w:ascii="Arial" w:hAnsi="Arial" w:cs="Arial"/>
          <w:i/>
          <w:iCs/>
          <w:sz w:val="22"/>
          <w:szCs w:val="22"/>
        </w:rPr>
        <w:t>15</w:t>
      </w:r>
      <w:r w:rsidRPr="002F3F57">
        <w:rPr>
          <w:rFonts w:ascii="Arial" w:hAnsi="Arial" w:cs="Arial"/>
          <w:sz w:val="22"/>
          <w:szCs w:val="22"/>
        </w:rPr>
        <w:t>(6), p.e096669.</w:t>
      </w:r>
      <w:r>
        <w:rPr>
          <w:rFonts w:ascii="Arial" w:hAnsi="Arial" w:cs="Arial"/>
          <w:sz w:val="22"/>
          <w:szCs w:val="22"/>
        </w:rPr>
        <w:t xml:space="preserve"> Available at: </w:t>
      </w:r>
      <w:hyperlink w:tgtFrame="_new" w:history="1" r:id="rId10">
        <w:r w:rsidRPr="00CD6589">
          <w:rPr>
            <w:rStyle w:val="Hyperlink"/>
            <w:rFonts w:ascii="Arial" w:hAnsi="Arial" w:cs="Arial"/>
            <w:sz w:val="22"/>
            <w:szCs w:val="22"/>
          </w:rPr>
          <w:t>https://doi.org/10.1136/bmjopen-2024-096669</w:t>
        </w:r>
      </w:hyperlink>
    </w:p>
    <w:p w:rsidR="00427250" w:rsidP="00427250" w:rsidRDefault="00427250" w14:paraId="36D7729C" w14:textId="77777777">
      <w:pPr>
        <w:spacing w:after="160" w:line="360" w:lineRule="auto"/>
        <w:ind w:left="720" w:hanging="720"/>
        <w:jc w:val="both"/>
        <w:rPr>
          <w:rFonts w:ascii="Arial" w:hAnsi="Arial" w:cs="Arial"/>
          <w:sz w:val="22"/>
          <w:szCs w:val="22"/>
        </w:rPr>
      </w:pPr>
      <w:r w:rsidRPr="002F3F57">
        <w:rPr>
          <w:rFonts w:ascii="Arial" w:hAnsi="Arial" w:cs="Arial"/>
          <w:sz w:val="22"/>
          <w:szCs w:val="22"/>
        </w:rPr>
        <w:t xml:space="preserve">National Health Service England [NHS England] (2024) </w:t>
      </w:r>
      <w:r w:rsidRPr="002F3F57">
        <w:rPr>
          <w:rFonts w:ascii="Arial" w:hAnsi="Arial" w:cs="Arial"/>
          <w:i/>
          <w:iCs/>
          <w:sz w:val="22"/>
          <w:szCs w:val="22"/>
        </w:rPr>
        <w:t>Transformation and innovation delivery update</w:t>
      </w:r>
      <w:r w:rsidRPr="002F3F57">
        <w:rPr>
          <w:rFonts w:ascii="Arial" w:hAnsi="Arial" w:cs="Arial"/>
          <w:sz w:val="22"/>
          <w:szCs w:val="22"/>
        </w:rPr>
        <w:t xml:space="preserve">. Available at: </w:t>
      </w:r>
      <w:hyperlink w:history="1" r:id="rId11">
        <w:r w:rsidRPr="002F3F57">
          <w:rPr>
            <w:rStyle w:val="Hyperlink"/>
            <w:rFonts w:ascii="Arial" w:hAnsi="Arial" w:cs="Arial"/>
            <w:sz w:val="22"/>
            <w:szCs w:val="22"/>
          </w:rPr>
          <w:t>https://www.england.nhs.uk/long-read/transformation-and-innovation-delivery-update/</w:t>
        </w:r>
      </w:hyperlink>
      <w:r w:rsidRPr="002F3F57">
        <w:rPr>
          <w:rFonts w:ascii="Arial" w:hAnsi="Arial" w:cs="Arial"/>
          <w:sz w:val="22"/>
          <w:szCs w:val="22"/>
        </w:rPr>
        <w:t xml:space="preserve"> (Accessed: 9 July 2026).</w:t>
      </w:r>
    </w:p>
    <w:p w:rsidRPr="00C3725E" w:rsidR="00427250" w:rsidP="00427250" w:rsidRDefault="00427250" w14:paraId="02549993" w14:textId="01CB9AC4">
      <w:pPr>
        <w:spacing w:after="160" w:line="360" w:lineRule="auto"/>
        <w:ind w:left="720" w:hanging="720"/>
        <w:jc w:val="both"/>
        <w:rPr>
          <w:rFonts w:ascii="Arial" w:hAnsi="Arial" w:cs="Arial"/>
          <w:sz w:val="22"/>
          <w:szCs w:val="22"/>
        </w:rPr>
      </w:pPr>
      <w:r w:rsidRPr="002F3F57">
        <w:rPr>
          <w:rFonts w:ascii="Arial" w:hAnsi="Arial" w:cs="Arial"/>
          <w:sz w:val="22"/>
          <w:szCs w:val="22"/>
        </w:rPr>
        <w:t>Sharma, V., Eleftheriou, I., van der Veer, S.N., Brass, A., Augustine, T. and Ainsworth, J.</w:t>
      </w:r>
      <w:r>
        <w:rPr>
          <w:rFonts w:ascii="Arial" w:hAnsi="Arial" w:cs="Arial"/>
          <w:sz w:val="22"/>
          <w:szCs w:val="22"/>
        </w:rPr>
        <w:t xml:space="preserve"> (</w:t>
      </w:r>
      <w:r w:rsidRPr="002F3F57">
        <w:rPr>
          <w:rFonts w:ascii="Arial" w:hAnsi="Arial" w:cs="Arial"/>
          <w:sz w:val="22"/>
          <w:szCs w:val="22"/>
        </w:rPr>
        <w:t>2022</w:t>
      </w:r>
      <w:r>
        <w:rPr>
          <w:rFonts w:ascii="Arial" w:hAnsi="Arial" w:cs="Arial"/>
          <w:sz w:val="22"/>
          <w:szCs w:val="22"/>
        </w:rPr>
        <w:t>)</w:t>
      </w:r>
      <w:r w:rsidRPr="002F3F57">
        <w:rPr>
          <w:rFonts w:ascii="Arial" w:hAnsi="Arial" w:cs="Arial"/>
          <w:sz w:val="22"/>
          <w:szCs w:val="22"/>
        </w:rPr>
        <w:t xml:space="preserve"> </w:t>
      </w:r>
      <w:r>
        <w:rPr>
          <w:rFonts w:ascii="Arial" w:hAnsi="Arial" w:cs="Arial"/>
          <w:sz w:val="22"/>
          <w:szCs w:val="22"/>
        </w:rPr>
        <w:t>‘</w:t>
      </w:r>
      <w:r w:rsidRPr="002F3F57">
        <w:rPr>
          <w:rFonts w:ascii="Arial" w:hAnsi="Arial" w:cs="Arial"/>
          <w:sz w:val="22"/>
          <w:szCs w:val="22"/>
        </w:rPr>
        <w:t>Modeling data journeys to inform the digital transformation of kidney transplant services: observational study.</w:t>
      </w:r>
      <w:r>
        <w:rPr>
          <w:rFonts w:ascii="Arial" w:hAnsi="Arial" w:cs="Arial"/>
          <w:sz w:val="22"/>
          <w:szCs w:val="22"/>
        </w:rPr>
        <w:t>’</w:t>
      </w:r>
      <w:r w:rsidRPr="002F3F57">
        <w:rPr>
          <w:rFonts w:ascii="Arial" w:hAnsi="Arial" w:cs="Arial"/>
          <w:sz w:val="22"/>
          <w:szCs w:val="22"/>
        </w:rPr>
        <w:t> </w:t>
      </w:r>
      <w:r w:rsidRPr="002F3F57">
        <w:rPr>
          <w:rFonts w:ascii="Arial" w:hAnsi="Arial" w:cs="Arial"/>
          <w:i/>
          <w:iCs/>
          <w:sz w:val="22"/>
          <w:szCs w:val="22"/>
        </w:rPr>
        <w:t>Journal of Medical Internet Research</w:t>
      </w:r>
      <w:r w:rsidRPr="002F3F57">
        <w:rPr>
          <w:rFonts w:ascii="Arial" w:hAnsi="Arial" w:cs="Arial"/>
          <w:sz w:val="22"/>
          <w:szCs w:val="22"/>
        </w:rPr>
        <w:t>, </w:t>
      </w:r>
      <w:r w:rsidRPr="002F3F57">
        <w:rPr>
          <w:rFonts w:ascii="Arial" w:hAnsi="Arial" w:cs="Arial"/>
          <w:i/>
          <w:iCs/>
          <w:sz w:val="22"/>
          <w:szCs w:val="22"/>
        </w:rPr>
        <w:t>24</w:t>
      </w:r>
      <w:r w:rsidRPr="002F3F57">
        <w:rPr>
          <w:rFonts w:ascii="Arial" w:hAnsi="Arial" w:cs="Arial"/>
          <w:sz w:val="22"/>
          <w:szCs w:val="22"/>
        </w:rPr>
        <w:t>(4), p.e31825.</w:t>
      </w:r>
      <w:r w:rsidR="00210FEB">
        <w:rPr>
          <w:rFonts w:ascii="Arial" w:hAnsi="Arial" w:cs="Arial"/>
          <w:sz w:val="22"/>
          <w:szCs w:val="22"/>
        </w:rPr>
        <w:t xml:space="preserve"> Available at: </w:t>
      </w:r>
      <w:hyperlink w:history="1" r:id="rId12">
        <w:r w:rsidRPr="00210FEB" w:rsidR="00210FEB">
          <w:rPr>
            <w:rStyle w:val="Hyperlink"/>
            <w:rFonts w:ascii="Arial" w:hAnsi="Arial" w:cs="Arial"/>
            <w:b/>
            <w:bCs/>
            <w:sz w:val="22"/>
            <w:szCs w:val="22"/>
          </w:rPr>
          <w:t>doi:10.2196/31825</w:t>
        </w:r>
      </w:hyperlink>
    </w:p>
    <w:p w:rsidR="00427250" w:rsidP="00427250" w:rsidRDefault="00427250" w14:paraId="02945A26" w14:textId="77777777">
      <w:pPr>
        <w:spacing w:line="360" w:lineRule="auto"/>
        <w:ind w:left="720" w:hanging="720"/>
        <w:rPr>
          <w:rFonts w:ascii="Arial" w:hAnsi="Arial" w:cs="Arial"/>
          <w:sz w:val="22"/>
          <w:szCs w:val="22"/>
        </w:rPr>
      </w:pPr>
      <w:r w:rsidRPr="002F3F57">
        <w:rPr>
          <w:rFonts w:ascii="Arial" w:hAnsi="Arial" w:cs="Arial"/>
          <w:sz w:val="22"/>
          <w:szCs w:val="22"/>
        </w:rPr>
        <w:t>Turner, A., Morris, R., McDonagh, L., Hamilton, F., Blake, S., Farr, M., Stevenson, F., Banks, J., Atherton, H., Rakhra, D. and Lasseter, G.</w:t>
      </w:r>
      <w:r>
        <w:rPr>
          <w:rFonts w:ascii="Arial" w:hAnsi="Arial" w:cs="Arial"/>
          <w:sz w:val="22"/>
          <w:szCs w:val="22"/>
        </w:rPr>
        <w:t xml:space="preserve"> (</w:t>
      </w:r>
      <w:r w:rsidRPr="002F3F57">
        <w:rPr>
          <w:rFonts w:ascii="Arial" w:hAnsi="Arial" w:cs="Arial"/>
          <w:sz w:val="22"/>
          <w:szCs w:val="22"/>
        </w:rPr>
        <w:t>2022</w:t>
      </w:r>
      <w:r>
        <w:rPr>
          <w:rFonts w:ascii="Arial" w:hAnsi="Arial" w:cs="Arial"/>
          <w:sz w:val="22"/>
          <w:szCs w:val="22"/>
        </w:rPr>
        <w:t>)</w:t>
      </w:r>
      <w:r w:rsidRPr="002F3F57">
        <w:rPr>
          <w:rFonts w:ascii="Arial" w:hAnsi="Arial" w:cs="Arial"/>
          <w:sz w:val="22"/>
          <w:szCs w:val="22"/>
        </w:rPr>
        <w:t xml:space="preserve"> </w:t>
      </w:r>
      <w:r>
        <w:rPr>
          <w:rFonts w:ascii="Arial" w:hAnsi="Arial" w:cs="Arial"/>
          <w:sz w:val="22"/>
          <w:szCs w:val="22"/>
        </w:rPr>
        <w:t>‘</w:t>
      </w:r>
      <w:r w:rsidRPr="002F3F57">
        <w:rPr>
          <w:rFonts w:ascii="Arial" w:hAnsi="Arial" w:cs="Arial"/>
          <w:sz w:val="22"/>
          <w:szCs w:val="22"/>
        </w:rPr>
        <w:t xml:space="preserve">Unintended consequences of </w:t>
      </w:r>
      <w:r w:rsidRPr="002F3F57">
        <w:rPr>
          <w:rFonts w:ascii="Arial" w:hAnsi="Arial" w:cs="Arial"/>
          <w:sz w:val="22"/>
          <w:szCs w:val="22"/>
        </w:rPr>
        <w:t>patient online access to health records: a qualitative study in UK primary care</w:t>
      </w:r>
      <w:r>
        <w:rPr>
          <w:rFonts w:ascii="Arial" w:hAnsi="Arial" w:cs="Arial"/>
          <w:sz w:val="22"/>
          <w:szCs w:val="22"/>
        </w:rPr>
        <w:t>’.</w:t>
      </w:r>
      <w:r w:rsidRPr="002F3F57">
        <w:rPr>
          <w:rFonts w:ascii="Arial" w:hAnsi="Arial" w:cs="Arial"/>
          <w:sz w:val="22"/>
          <w:szCs w:val="22"/>
        </w:rPr>
        <w:t> </w:t>
      </w:r>
      <w:r w:rsidRPr="002F3F57">
        <w:rPr>
          <w:rFonts w:ascii="Arial" w:hAnsi="Arial" w:cs="Arial"/>
          <w:i/>
          <w:iCs/>
          <w:sz w:val="22"/>
          <w:szCs w:val="22"/>
        </w:rPr>
        <w:t>British Journal of General Practice</w:t>
      </w:r>
      <w:r w:rsidRPr="002F3F57">
        <w:rPr>
          <w:rFonts w:ascii="Arial" w:hAnsi="Arial" w:cs="Arial"/>
          <w:sz w:val="22"/>
          <w:szCs w:val="22"/>
        </w:rPr>
        <w:t>.</w:t>
      </w:r>
      <w:r>
        <w:rPr>
          <w:rFonts w:ascii="Arial" w:hAnsi="Arial" w:cs="Arial"/>
          <w:sz w:val="22"/>
          <w:szCs w:val="22"/>
        </w:rPr>
        <w:t xml:space="preserve"> Available at: </w:t>
      </w:r>
      <w:hyperlink w:history="1" r:id="rId13">
        <w:r w:rsidRPr="00C3725E">
          <w:rPr>
            <w:rStyle w:val="Hyperlink"/>
            <w:rFonts w:ascii="Arial" w:hAnsi="Arial" w:cs="Arial"/>
            <w:sz w:val="22"/>
            <w:szCs w:val="22"/>
          </w:rPr>
          <w:t>https://doi.org/10.3399/BJGP.2021.0720</w:t>
        </w:r>
      </w:hyperlink>
    </w:p>
    <w:p w:rsidR="00427250" w:rsidP="00427250" w:rsidRDefault="00427250" w14:paraId="10530AB3" w14:textId="77777777">
      <w:pPr>
        <w:spacing w:line="360" w:lineRule="auto"/>
        <w:ind w:left="720" w:hanging="720"/>
        <w:rPr>
          <w:rFonts w:ascii="Arial" w:hAnsi="Arial" w:cs="Arial"/>
          <w:sz w:val="22"/>
          <w:szCs w:val="22"/>
        </w:rPr>
      </w:pPr>
      <w:r w:rsidRPr="002F3F57">
        <w:rPr>
          <w:rFonts w:ascii="Arial" w:hAnsi="Arial" w:cs="Arial"/>
          <w:sz w:val="22"/>
          <w:szCs w:val="22"/>
        </w:rPr>
        <w:t>Van Kessel, R., Srivastava, D., Kyriopoulos, I., Monti, G., Novillo-Ortiz, D., Milman, R., Zhang-Czabanowski, W.W., Nasi, G., Stern, A.D., Wharton, G. and Mossialos, E.</w:t>
      </w:r>
      <w:r>
        <w:rPr>
          <w:rFonts w:ascii="Arial" w:hAnsi="Arial" w:cs="Arial"/>
          <w:sz w:val="22"/>
          <w:szCs w:val="22"/>
        </w:rPr>
        <w:t xml:space="preserve"> (</w:t>
      </w:r>
      <w:r w:rsidRPr="002F3F57">
        <w:rPr>
          <w:rFonts w:ascii="Arial" w:hAnsi="Arial" w:cs="Arial"/>
          <w:sz w:val="22"/>
          <w:szCs w:val="22"/>
        </w:rPr>
        <w:t>2023</w:t>
      </w:r>
      <w:r>
        <w:rPr>
          <w:rFonts w:ascii="Arial" w:hAnsi="Arial" w:cs="Arial"/>
          <w:sz w:val="22"/>
          <w:szCs w:val="22"/>
        </w:rPr>
        <w:t>)</w:t>
      </w:r>
      <w:r w:rsidRPr="002F3F57">
        <w:rPr>
          <w:rFonts w:ascii="Arial" w:hAnsi="Arial" w:cs="Arial"/>
          <w:sz w:val="22"/>
          <w:szCs w:val="22"/>
        </w:rPr>
        <w:t xml:space="preserve"> </w:t>
      </w:r>
      <w:r>
        <w:rPr>
          <w:rFonts w:ascii="Arial" w:hAnsi="Arial" w:cs="Arial"/>
          <w:sz w:val="22"/>
          <w:szCs w:val="22"/>
        </w:rPr>
        <w:t>‘</w:t>
      </w:r>
      <w:r w:rsidRPr="002F3F57">
        <w:rPr>
          <w:rFonts w:ascii="Arial" w:hAnsi="Arial" w:cs="Arial"/>
          <w:sz w:val="22"/>
          <w:szCs w:val="22"/>
        </w:rPr>
        <w:t>Digital health reimbursement strategies of 8 European countries and Israel: scoping review and policy mapping.</w:t>
      </w:r>
      <w:r>
        <w:rPr>
          <w:rFonts w:ascii="Arial" w:hAnsi="Arial" w:cs="Arial"/>
          <w:sz w:val="22"/>
          <w:szCs w:val="22"/>
        </w:rPr>
        <w:t>’</w:t>
      </w:r>
      <w:r w:rsidRPr="002F3F57">
        <w:rPr>
          <w:rFonts w:ascii="Arial" w:hAnsi="Arial" w:cs="Arial"/>
          <w:sz w:val="22"/>
          <w:szCs w:val="22"/>
        </w:rPr>
        <w:t> </w:t>
      </w:r>
      <w:r w:rsidRPr="002F3F57">
        <w:rPr>
          <w:rFonts w:ascii="Arial" w:hAnsi="Arial" w:cs="Arial"/>
          <w:i/>
          <w:iCs/>
          <w:sz w:val="22"/>
          <w:szCs w:val="22"/>
        </w:rPr>
        <w:t>JMIR mHealth and uHealth</w:t>
      </w:r>
      <w:r w:rsidRPr="002F3F57">
        <w:rPr>
          <w:rFonts w:ascii="Arial" w:hAnsi="Arial" w:cs="Arial"/>
          <w:sz w:val="22"/>
          <w:szCs w:val="22"/>
        </w:rPr>
        <w:t>, </w:t>
      </w:r>
      <w:r w:rsidRPr="002F3F57">
        <w:rPr>
          <w:rFonts w:ascii="Arial" w:hAnsi="Arial" w:cs="Arial"/>
          <w:i/>
          <w:iCs/>
          <w:sz w:val="22"/>
          <w:szCs w:val="22"/>
        </w:rPr>
        <w:t>11</w:t>
      </w:r>
      <w:r w:rsidRPr="002F3F57">
        <w:rPr>
          <w:rFonts w:ascii="Arial" w:hAnsi="Arial" w:cs="Arial"/>
          <w:sz w:val="22"/>
          <w:szCs w:val="22"/>
        </w:rPr>
        <w:t>(1), p.e49003.</w:t>
      </w:r>
      <w:r>
        <w:rPr>
          <w:rFonts w:ascii="Arial" w:hAnsi="Arial" w:cs="Arial"/>
          <w:sz w:val="22"/>
          <w:szCs w:val="22"/>
        </w:rPr>
        <w:t xml:space="preserve"> Available at: </w:t>
      </w:r>
      <w:hyperlink w:history="1" r:id="rId14">
        <w:r w:rsidRPr="00427250">
          <w:rPr>
            <w:rStyle w:val="Hyperlink"/>
            <w:rFonts w:ascii="Arial" w:hAnsi="Arial" w:cs="Arial"/>
            <w:sz w:val="22"/>
            <w:szCs w:val="22"/>
          </w:rPr>
          <w:t>doi:10.2196/49003</w:t>
        </w:r>
      </w:hyperlink>
    </w:p>
    <w:sectPr w:rsidR="00427250">
      <w:headerReference w:type="default" r:id="rId15"/>
      <w:footerReference w:type="default" r:id="rId16"/>
      <w:pgSz w:w="11906" w:h="16838" w:orient="portrait"/>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7998" w:rsidRDefault="00847998" w14:paraId="08BCF8DE" w14:textId="77777777">
      <w:r>
        <w:separator/>
      </w:r>
    </w:p>
  </w:endnote>
  <w:endnote w:type="continuationSeparator" w:id="0">
    <w:p w:rsidR="00847998" w:rsidRDefault="00847998" w14:paraId="36F9D70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7148" w:rsidRDefault="00000000" w14:paraId="25BAA84F" w14:textId="77777777">
    <w:pPr>
      <w:jc w:val="center"/>
    </w:pPr>
    <w:r>
      <w:rPr>
        <w:rFonts w:ascii="Arial" w:hAnsi="Arial" w:eastAsia="Arial" w:cs="Arial"/>
        <w:sz w:val="18"/>
        <w:szCs w:val="18"/>
      </w:rPr>
      <w:t xml:space="preserve">Page </w:t>
    </w:r>
    <w:r>
      <w:rPr>
        <w:rFonts w:ascii="Arial" w:hAnsi="Arial" w:eastAsia="Arial" w:cs="Arial"/>
        <w:sz w:val="18"/>
        <w:szCs w:val="18"/>
      </w:rPr>
      <w:fldChar w:fldCharType="begin"/>
    </w:r>
    <w:r>
      <w:rPr>
        <w:rFonts w:ascii="Arial" w:hAnsi="Arial" w:eastAsia="Arial" w:cs="Arial"/>
        <w:sz w:val="18"/>
        <w:szCs w:val="18"/>
      </w:rPr>
      <w:instrText>PAGE</w:instrText>
    </w:r>
    <w:r>
      <w:rPr>
        <w:rFonts w:ascii="Arial" w:hAnsi="Arial" w:eastAsia="Arial" w:cs="Arial"/>
        <w:sz w:val="18"/>
        <w:szCs w:val="18"/>
      </w:rPr>
      <w:fldChar w:fldCharType="separate"/>
    </w:r>
    <w:r w:rsidR="00014716">
      <w:rPr>
        <w:rFonts w:ascii="Arial" w:hAnsi="Arial" w:eastAsia="Arial" w:cs="Arial"/>
        <w:noProof/>
        <w:sz w:val="18"/>
        <w:szCs w:val="18"/>
      </w:rPr>
      <w:t>1</w:t>
    </w:r>
    <w:r>
      <w:rPr>
        <w:rFonts w:ascii="Arial" w:hAnsi="Arial" w:eastAsia="Arial" w:cs="Arial"/>
        <w:sz w:val="18"/>
        <w:szCs w:val="18"/>
      </w:rPr>
      <w:fldChar w:fldCharType="end"/>
    </w:r>
    <w:r>
      <w:rPr>
        <w:rFonts w:ascii="Arial" w:hAnsi="Arial" w:eastAsia="Arial" w:cs="Arial"/>
        <w:sz w:val="18"/>
        <w:szCs w:val="18"/>
      </w:rPr>
      <w:t xml:space="preserve"> of </w:t>
    </w:r>
    <w:r>
      <w:rPr>
        <w:rFonts w:ascii="Arial" w:hAnsi="Arial" w:eastAsia="Arial" w:cs="Arial"/>
        <w:sz w:val="18"/>
        <w:szCs w:val="18"/>
      </w:rPr>
      <w:fldChar w:fldCharType="begin"/>
    </w:r>
    <w:r>
      <w:rPr>
        <w:rFonts w:ascii="Arial" w:hAnsi="Arial" w:eastAsia="Arial" w:cs="Arial"/>
        <w:sz w:val="18"/>
        <w:szCs w:val="18"/>
      </w:rPr>
      <w:instrText>NUMPAGES</w:instrText>
    </w:r>
    <w:r>
      <w:rPr>
        <w:rFonts w:ascii="Arial" w:hAnsi="Arial" w:eastAsia="Arial" w:cs="Arial"/>
        <w:sz w:val="18"/>
        <w:szCs w:val="18"/>
      </w:rPr>
      <w:fldChar w:fldCharType="separate"/>
    </w:r>
    <w:r w:rsidR="00014716">
      <w:rPr>
        <w:rFonts w:ascii="Arial" w:hAnsi="Arial" w:eastAsia="Arial" w:cs="Arial"/>
        <w:noProof/>
        <w:sz w:val="18"/>
        <w:szCs w:val="18"/>
      </w:rPr>
      <w:t>2</w:t>
    </w:r>
    <w:r>
      <w:rPr>
        <w:rFonts w:ascii="Arial" w:hAnsi="Arial" w:eastAsia="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7998" w:rsidRDefault="00847998" w14:paraId="1192AC27" w14:textId="77777777">
      <w:r>
        <w:separator/>
      </w:r>
    </w:p>
  </w:footnote>
  <w:footnote w:type="continuationSeparator" w:id="0">
    <w:p w:rsidR="00847998" w:rsidRDefault="00847998" w14:paraId="1D43F89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7148" w:rsidRDefault="00000000" w14:paraId="2CD3CD7D" w14:textId="77777777">
    <w:pPr>
      <w:jc w:val="right"/>
    </w:pPr>
    <w:r>
      <w:rPr>
        <w:rFonts w:ascii="Arial" w:hAnsi="Arial" w:eastAsia="Arial" w:cs="Arial"/>
        <w:sz w:val="18"/>
        <w:szCs w:val="18"/>
      </w:rPr>
      <w:t>BMHP6026 - Component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F1B34"/>
    <w:multiLevelType w:val="hybridMultilevel"/>
    <w:tmpl w:val="8A8473D0"/>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6009029C"/>
    <w:multiLevelType w:val="hybridMultilevel"/>
    <w:tmpl w:val="A6D02074"/>
    <w:lvl w:ilvl="0" w:tplc="69A69614">
      <w:start w:val="1"/>
      <w:numFmt w:val="bullet"/>
      <w:lvlText w:val="●"/>
      <w:lvlJc w:val="left"/>
      <w:pPr>
        <w:ind w:left="720" w:hanging="360"/>
      </w:pPr>
    </w:lvl>
    <w:lvl w:ilvl="1" w:tplc="1D2220DE">
      <w:start w:val="1"/>
      <w:numFmt w:val="bullet"/>
      <w:lvlText w:val="○"/>
      <w:lvlJc w:val="left"/>
      <w:pPr>
        <w:ind w:left="1440" w:hanging="360"/>
      </w:pPr>
    </w:lvl>
    <w:lvl w:ilvl="2" w:tplc="29143FC4">
      <w:start w:val="1"/>
      <w:numFmt w:val="bullet"/>
      <w:lvlText w:val="■"/>
      <w:lvlJc w:val="left"/>
      <w:pPr>
        <w:ind w:left="2160" w:hanging="360"/>
      </w:pPr>
    </w:lvl>
    <w:lvl w:ilvl="3" w:tplc="B560A890">
      <w:start w:val="1"/>
      <w:numFmt w:val="bullet"/>
      <w:lvlText w:val="●"/>
      <w:lvlJc w:val="left"/>
      <w:pPr>
        <w:ind w:left="2880" w:hanging="360"/>
      </w:pPr>
    </w:lvl>
    <w:lvl w:ilvl="4" w:tplc="1E54FECE">
      <w:start w:val="1"/>
      <w:numFmt w:val="bullet"/>
      <w:lvlText w:val="○"/>
      <w:lvlJc w:val="left"/>
      <w:pPr>
        <w:ind w:left="3600" w:hanging="360"/>
      </w:pPr>
    </w:lvl>
    <w:lvl w:ilvl="5" w:tplc="C6867EB0">
      <w:start w:val="1"/>
      <w:numFmt w:val="bullet"/>
      <w:lvlText w:val="■"/>
      <w:lvlJc w:val="left"/>
      <w:pPr>
        <w:ind w:left="4320" w:hanging="360"/>
      </w:pPr>
    </w:lvl>
    <w:lvl w:ilvl="6" w:tplc="B11E3AFC">
      <w:start w:val="1"/>
      <w:numFmt w:val="bullet"/>
      <w:lvlText w:val="●"/>
      <w:lvlJc w:val="left"/>
      <w:pPr>
        <w:ind w:left="5040" w:hanging="360"/>
      </w:pPr>
    </w:lvl>
    <w:lvl w:ilvl="7" w:tplc="61546B78">
      <w:start w:val="1"/>
      <w:numFmt w:val="bullet"/>
      <w:lvlText w:val="●"/>
      <w:lvlJc w:val="left"/>
      <w:pPr>
        <w:ind w:left="5760" w:hanging="360"/>
      </w:pPr>
    </w:lvl>
    <w:lvl w:ilvl="8" w:tplc="60F03112">
      <w:start w:val="1"/>
      <w:numFmt w:val="bullet"/>
      <w:lvlText w:val="●"/>
      <w:lvlJc w:val="left"/>
      <w:pPr>
        <w:ind w:left="6480" w:hanging="360"/>
      </w:pPr>
    </w:lvl>
  </w:abstractNum>
  <w:abstractNum w:abstractNumId="2" w15:restartNumberingAfterBreak="0">
    <w:nsid w:val="74BF02E4"/>
    <w:multiLevelType w:val="hybridMultilevel"/>
    <w:tmpl w:val="3656CE84"/>
    <w:lvl w:ilvl="0" w:tplc="77BA78A0">
      <w:start w:val="1"/>
      <w:numFmt w:val="decimal"/>
      <w:lvlText w:val="%1."/>
      <w:lvlJc w:val="left"/>
      <w:pPr>
        <w:ind w:left="720" w:hanging="360"/>
      </w:pPr>
      <w:rPr>
        <w:rFonts w:hint="default" w:ascii="Arial" w:hAnsi="Arial" w:eastAsia="Arial" w:cs="Arial"/>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6202167">
    <w:abstractNumId w:val="1"/>
    <w:lvlOverride w:ilvl="0">
      <w:startOverride w:val="1"/>
    </w:lvlOverride>
  </w:num>
  <w:num w:numId="2" w16cid:durableId="345641282">
    <w:abstractNumId w:val="2"/>
  </w:num>
  <w:num w:numId="3" w16cid:durableId="82230897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148"/>
    <w:rsid w:val="00014716"/>
    <w:rsid w:val="0006666D"/>
    <w:rsid w:val="000E0DE4"/>
    <w:rsid w:val="00134E7D"/>
    <w:rsid w:val="001F4423"/>
    <w:rsid w:val="00210FEB"/>
    <w:rsid w:val="002C3687"/>
    <w:rsid w:val="002F3F57"/>
    <w:rsid w:val="00302F27"/>
    <w:rsid w:val="003A217D"/>
    <w:rsid w:val="00427250"/>
    <w:rsid w:val="00657148"/>
    <w:rsid w:val="006E396C"/>
    <w:rsid w:val="00847998"/>
    <w:rsid w:val="008E22CA"/>
    <w:rsid w:val="00A25435"/>
    <w:rsid w:val="00B4762E"/>
    <w:rsid w:val="00C3725E"/>
    <w:rsid w:val="00CB4E06"/>
    <w:rsid w:val="00CD6589"/>
    <w:rsid w:val="00F213DD"/>
    <w:rsid w:val="00F327AB"/>
    <w:rsid w:val="01F1DEEE"/>
    <w:rsid w:val="02DD520A"/>
    <w:rsid w:val="0848025B"/>
    <w:rsid w:val="0B3BF0B9"/>
    <w:rsid w:val="1599293C"/>
    <w:rsid w:val="18580622"/>
    <w:rsid w:val="19CBF0F5"/>
    <w:rsid w:val="1F5B25AB"/>
    <w:rsid w:val="22BE0187"/>
    <w:rsid w:val="2ED87506"/>
    <w:rsid w:val="2F0ADAB9"/>
    <w:rsid w:val="358308A8"/>
    <w:rsid w:val="3E501D94"/>
    <w:rsid w:val="45F8B834"/>
    <w:rsid w:val="5010A672"/>
    <w:rsid w:val="513E6435"/>
    <w:rsid w:val="549688AF"/>
    <w:rsid w:val="5B50C3E6"/>
    <w:rsid w:val="5CE691A3"/>
    <w:rsid w:val="620F4FA4"/>
    <w:rsid w:val="65857ACB"/>
    <w:rsid w:val="6F1EF905"/>
    <w:rsid w:val="73735210"/>
    <w:rsid w:val="75F3B23A"/>
    <w:rsid w:val="7F35644B"/>
    <w:rsid w:val="7FD0F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F8431"/>
  <w15:docId w15:val="{DF987239-4BFF-4811-8C46-3EB753A8F0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rsid w:val="00C3725E"/>
    <w:pPr>
      <w:jc w:val="center"/>
      <w:outlineLvl w:val="0"/>
    </w:pPr>
    <w:rPr>
      <w:rFonts w:ascii="Arial" w:hAnsi="Arial"/>
      <w:b/>
      <w:color w:val="000000" w:themeColor="text1"/>
      <w:sz w:val="32"/>
      <w:szCs w:val="32"/>
    </w:rPr>
  </w:style>
  <w:style w:type="paragraph" w:styleId="Heading2">
    <w:name w:val="heading 2"/>
    <w:uiPriority w:val="9"/>
    <w:unhideWhenUsed/>
    <w:qFormat/>
    <w:rsid w:val="00C3725E"/>
    <w:pPr>
      <w:outlineLvl w:val="1"/>
    </w:pPr>
    <w:rPr>
      <w:rFonts w:ascii="Arial" w:hAnsi="Arial"/>
      <w:b/>
      <w:color w:val="000000" w:themeColor="text1"/>
      <w:sz w:val="28"/>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styleId="EndnoteTextChar" w:customStyle="1">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CD6589"/>
    <w:rPr>
      <w:color w:val="605E5C"/>
      <w:shd w:val="clear" w:color="auto" w:fill="E1DFDD"/>
    </w:rPr>
  </w:style>
  <w:style w:type="paragraph" w:styleId="TOCHeading">
    <w:name w:val="TOC Heading"/>
    <w:basedOn w:val="Heading1"/>
    <w:next w:val="Normal"/>
    <w:uiPriority w:val="39"/>
    <w:unhideWhenUsed/>
    <w:qFormat/>
    <w:rsid w:val="00427250"/>
    <w:pPr>
      <w:keepNext/>
      <w:keepLines/>
      <w:spacing w:before="240" w:line="259" w:lineRule="auto"/>
      <w:jc w:val="left"/>
      <w:outlineLvl w:val="9"/>
    </w:pPr>
    <w:rPr>
      <w:rFonts w:asciiTheme="majorHAnsi" w:hAnsiTheme="majorHAnsi" w:eastAsiaTheme="majorEastAsia" w:cstheme="majorBidi"/>
      <w:b w:val="0"/>
      <w:color w:val="2F5496" w:themeColor="accent1" w:themeShade="BF"/>
    </w:rPr>
  </w:style>
  <w:style w:type="paragraph" w:styleId="TOC1">
    <w:name w:val="toc 1"/>
    <w:basedOn w:val="Normal"/>
    <w:next w:val="Normal"/>
    <w:autoRedefine/>
    <w:uiPriority w:val="39"/>
    <w:unhideWhenUsed/>
    <w:rsid w:val="00427250"/>
    <w:pPr>
      <w:spacing w:after="100"/>
    </w:pPr>
  </w:style>
  <w:style w:type="paragraph" w:styleId="TOC2">
    <w:name w:val="toc 2"/>
    <w:basedOn w:val="Normal"/>
    <w:next w:val="Normal"/>
    <w:autoRedefine/>
    <w:uiPriority w:val="39"/>
    <w:unhideWhenUsed/>
    <w:rsid w:val="00427250"/>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hyperlink" Target="https://doi.org/10.1016/j.healthpol.2024.105122" TargetMode="External" Id="rId8" /><Relationship Type="http://schemas.openxmlformats.org/officeDocument/2006/relationships/hyperlink" Target="https://doi.org/10.3399/BJGP.2021.0720"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doi.org/10.2196/31825"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england.nhs.uk/long-read/transformation-and-innovation-delivery-update/" TargetMode="External" Id="rId11"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hyperlink" Target="https://doi.org/10.1136/bmjopen-2024-096669" TargetMode="External" Id="rId10" /><Relationship Type="http://schemas.openxmlformats.org/officeDocument/2006/relationships/settings" Target="settings.xml" Id="rId4" /><Relationship Type="http://schemas.openxmlformats.org/officeDocument/2006/relationships/hyperlink" Target="https://www.gov.uk/government/publications/data-saves-lives-reshaping-health-and-social-care-with-data/data-saves-lives-reshaping-health-and-social-care-with-data" TargetMode="External" Id="rId9" /><Relationship Type="http://schemas.openxmlformats.org/officeDocument/2006/relationships/hyperlink" Target="https://doi.org/10.2196/49003"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4034D-BFE1-44BA-8335-E0AED90B021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Tati Bangoura (2120469)</lastModifiedBy>
  <revision>5</revision>
  <dcterms:created xsi:type="dcterms:W3CDTF">2026-07-09T13:02:00.0000000Z</dcterms:created>
  <dcterms:modified xsi:type="dcterms:W3CDTF">2026-07-24T16:14:35.4150870Z</dcterms:modified>
</coreProperties>
</file>