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body>
    <w:p w:rsidR="00000000" w:rsidDel="00000000" w:rsidRDefault="00000000" w14:paraId="00000001" w:rsidP="00000000" w:rsidRPr="00000000">
      <w:pPr>
        <w:jc w:val="center"/>
        <w:rPr>
          <w:sz w:val="32"/>
          <w:szCs w:val="32"/>
        </w:rPr>
      </w:pPr>
      <w:r w:rsidR="00000000" w:rsidDel="00000000" w:rsidRPr="00000000">
        <w:rPr>
          <w:rtl w:val="0"/>
          <w:sz w:val="32"/>
          <w:szCs w:val="32"/>
        </w:rPr>
        <w:t xml:space="preserve">Reflections on Science Within Physiotherapy Practice </w:t>
      </w:r>
    </w:p>
    <w:p w:rsidR="00000000" w:rsidDel="00000000" w:rsidRDefault="00000000" w14:paraId="00000002" w:rsidP="00000000" w:rsidRPr="00000000">
      <w:pPr>
        <w:rPr>
          <w:sz w:val="32"/>
          <w:szCs w:val="32"/>
        </w:rPr>
      </w:pPr>
      <w:r w:rsidR="00000000" w:rsidDel="00000000" w:rsidRPr="00000000">
        <w:rPr>
          <w:rtl w:val="0"/>
        </w:rPr>
      </w:r>
    </w:p>
    <w:p w:rsidR="00000000" w:rsidDel="00000000" w:rsidRDefault="00000000" w14:paraId="00000003" w:rsidP="00000000" w:rsidRPr="00000000">
      <w:pPr>
        <w:spacing w:line="240" w:lineRule="auto"/>
        <w:rPr>
          <w:sz w:val="28"/>
          <w:szCs w:val="28"/>
        </w:rPr>
      </w:pPr>
      <w:r w:rsidR="00000000" w:rsidDel="00000000" w:rsidRPr="00000000">
        <w:rPr>
          <w:rtl w:val="0"/>
          <w:sz w:val="28"/>
          <w:szCs w:val="28"/>
        </w:rPr>
        <w:t xml:space="preserve">This is a reflection of the assessment and science behind the treatment of two patients rehabilitated on the acute medical wards in my role as a physiotherapy technician. To ensure confidentiality information which according to </w:t>
      </w:r>
      <w:r w:rsidR="00000000" w:rsidDel="00000000" w:rsidRPr="00000000">
        <w:rPr>
          <w:rtl w:val="0"/>
          <w:highlight w:val="white"/>
          <w:sz w:val="28"/>
          <w:szCs w:val="28"/>
        </w:rPr>
        <w:t>(Health and Social Care Act) 2012 “identifies any individual to whom the information relates to” has been replaced</w:t>
      </w:r>
      <w:r w:rsidR="00000000" w:rsidDel="00000000" w:rsidRPr="00000000">
        <w:rPr>
          <w:rtl w:val="0"/>
          <w:sz w:val="28"/>
          <w:szCs w:val="28"/>
        </w:rPr>
        <w:t>.</w:t>
      </w:r>
    </w:p>
    <w:p w:rsidR="00000000" w:rsidDel="00000000" w:rsidRDefault="00000000" w14:paraId="00000004" w:rsidP="00000000" w:rsidRPr="00000000">
      <w:pPr>
        <w:spacing w:line="240" w:lineRule="auto"/>
        <w:rPr>
          <w:sz w:val="28"/>
          <w:szCs w:val="28"/>
        </w:rPr>
      </w:pPr>
      <w:r w:rsidR="00000000" w:rsidDel="00000000" w:rsidRPr="00000000">
        <w:rPr>
          <w:rtl w:val="0"/>
        </w:rPr>
      </w:r>
    </w:p>
    <w:p w:rsidR="00000000" w:rsidDel="00000000" w:rsidRDefault="00000000" w14:paraId="00000005" w:rsidP="00000000" w:rsidRPr="00000000">
      <w:pPr>
        <w:spacing w:line="240" w:lineRule="auto"/>
        <w:rPr>
          <w:sz w:val="28"/>
          <w:szCs w:val="28"/>
        </w:rPr>
      </w:pPr>
      <w:r w:rsidR="00000000" w:rsidDel="00000000" w:rsidRPr="00000000">
        <w:rPr>
          <w:rtl w:val="0"/>
          <w:sz w:val="28"/>
          <w:szCs w:val="28"/>
        </w:rPr>
        <w:t>Mr B was admitted with acute shortness of breath. A physiological test using a spirometer</w:t>
      </w:r>
      <w:r w:rsidR="00000000" w:rsidDel="00000000" w:rsidRPr="00000000">
        <w:rPr>
          <w:rtl w:val="0"/>
          <w:sz w:val="28"/>
          <w:szCs w:val="28"/>
        </w:rPr>
        <w:t xml:space="preserve"> indicated he had a reduced ability to breath out due to  narrowing of the airways of the lungs, (NHS , 2023) diagnosed as</w:t>
      </w:r>
    </w:p>
    <w:p w:rsidR="00000000" w:rsidDel="00000000" w:rsidRDefault="00000000" w14:paraId="00000006" w:rsidP="00000000" w:rsidRPr="00000000">
      <w:pPr>
        <w:spacing w:line="240" w:lineRule="auto"/>
        <w:rPr>
          <w:sz w:val="28"/>
          <w:szCs w:val="28"/>
        </w:rPr>
      </w:pPr>
      <w:r w:rsidR="00000000" w:rsidDel="00000000" w:rsidRPr="00000000">
        <w:rPr>
          <w:rtl w:val="0"/>
          <w:sz w:val="28"/>
          <w:szCs w:val="28"/>
        </w:rPr>
        <w:t>Chronic Obstructive Pulmonary Disease (COPD) a disease that (Barnes et al., 2013)</w:t>
      </w:r>
      <w:r w:rsidR="00000000" w:rsidDel="00000000" w:rsidRPr="00000000">
        <w:rPr>
          <w:rtl w:val="0"/>
          <w:b/>
          <w:sz w:val="28"/>
          <w:szCs w:val="28"/>
        </w:rPr>
        <w:t xml:space="preserve"> </w:t>
      </w:r>
      <w:r w:rsidR="00000000" w:rsidDel="00000000" w:rsidRPr="00000000">
        <w:rPr>
          <w:rtl w:val="0"/>
          <w:sz w:val="28"/>
          <w:szCs w:val="28"/>
        </w:rPr>
        <w:t>described as “</w:t>
      </w:r>
      <w:r w:rsidR="00000000" w:rsidDel="00000000" w:rsidRPr="00000000">
        <w:rPr>
          <w:rtl w:val="0"/>
          <w:sz w:val="28"/>
          <w:szCs w:val="28"/>
        </w:rPr>
        <w:t>progressive and largely irreversible airflow limitation, with symptoms of wheezing, difficulty breathing, coughing and tiredness (World Health Organization, 2023).</w:t>
      </w:r>
      <w:r w:rsidR="00000000" w:rsidDel="00000000" w:rsidRPr="00000000">
        <w:rPr>
          <w:rtl w:val="0"/>
          <w:sz w:val="28"/>
          <w:szCs w:val="28"/>
        </w:rPr>
        <w:t xml:space="preserve"> </w:t>
      </w:r>
    </w:p>
    <w:p w:rsidR="00000000" w:rsidDel="00000000" w:rsidRDefault="00000000" w14:paraId="00000007" w:rsidP="00000000" w:rsidRPr="00000000">
      <w:pPr>
        <w:spacing w:line="240" w:lineRule="auto"/>
        <w:rPr>
          <w:sz w:val="28"/>
          <w:szCs w:val="28"/>
        </w:rPr>
      </w:pPr>
      <w:r w:rsidR="00000000" w:rsidDel="00000000" w:rsidRPr="00000000">
        <w:rPr>
          <w:rtl w:val="0"/>
        </w:rPr>
      </w:r>
    </w:p>
    <w:p w:rsidR="00000000" w:rsidDel="00000000" w:rsidRDefault="00000000" w14:paraId="00000008" w:rsidP="00000000" w:rsidRPr="00000000">
      <w:pPr>
        <w:spacing w:line="240" w:lineRule="auto"/>
        <w:rPr>
          <w:color w:val="2E2E2E"/>
          <w:sz w:val="28"/>
          <w:szCs w:val="28"/>
        </w:rPr>
      </w:pPr>
      <w:r w:rsidR="00000000" w:rsidDel="00000000" w:rsidRPr="00000000">
        <w:rPr>
          <w:rtl w:val="0"/>
          <w:sz w:val="28"/>
          <w:szCs w:val="28"/>
        </w:rPr>
        <w:t>On initial assessment Mr B was weak, short of breath and immobile. Mr B was hoisted to a chair daily, then progressed to a Sara Stedy to increase standing activity. Physiological science informs me that sitting and standing can increase lung capacity and improve breathing  (Katz et al., 2018).</w:t>
      </w:r>
      <w:r w:rsidR="00000000" w:rsidDel="00000000" w:rsidRPr="00000000">
        <w:rPr>
          <w:rtl w:val="0"/>
          <w:highlight w:val="white"/>
          <w:sz w:val="28"/>
          <w:szCs w:val="28"/>
        </w:rPr>
        <w:t xml:space="preserve"> Mr B</w:t>
      </w:r>
      <w:r w:rsidR="00000000" w:rsidDel="00000000" w:rsidRPr="00000000">
        <w:rPr>
          <w:rtl w:val="0"/>
          <w:sz w:val="28"/>
          <w:szCs w:val="28"/>
        </w:rPr>
        <w:t xml:space="preserve"> then progressed to a zimmer frame and mobilised as my knowledge of science informs me that increasing his heart rate promotes the supply of oxygenated blood around the body.</w:t>
      </w:r>
      <w:r w:rsidR="00000000" w:rsidDel="00000000" w:rsidRPr="00000000">
        <w:rPr>
          <w:rtl w:val="0"/>
        </w:rPr>
      </w:r>
    </w:p>
    <w:p w:rsidR="00000000" w:rsidDel="00000000" w:rsidRDefault="00000000" w14:paraId="00000009" w:rsidP="00000000" w:rsidRPr="00000000">
      <w:pPr>
        <w:spacing w:line="240" w:lineRule="auto"/>
        <w:rPr>
          <w:sz w:val="28"/>
          <w:szCs w:val="28"/>
        </w:rPr>
      </w:pPr>
      <w:r w:rsidR="00000000" w:rsidDel="00000000" w:rsidRPr="00000000">
        <w:rPr>
          <w:rtl w:val="0"/>
        </w:rPr>
      </w:r>
    </w:p>
    <w:p w:rsidR="00000000" w:rsidDel="00000000" w:rsidRDefault="00000000" w14:paraId="0000000A" w:rsidP="00000000" w:rsidRPr="00000000">
      <w:pPr>
        <w:spacing w:line="240" w:lineRule="auto"/>
        <w:rPr>
          <w:color w:val="212121"/>
          <w:highlight w:val="white"/>
          <w:sz w:val="28"/>
          <w:szCs w:val="28"/>
        </w:rPr>
      </w:pPr>
      <w:r w:rsidR="00000000" w:rsidDel="00000000" w:rsidRPr="00000000">
        <w:rPr>
          <w:rtl w:val="0"/>
          <w:sz w:val="28"/>
          <w:szCs w:val="28"/>
        </w:rPr>
        <w:t xml:space="preserve">My assessment and treatment plan was informed by physiological science Dimitrova et al., (2017) identified that </w:t>
      </w:r>
      <w:r w:rsidR="00000000" w:rsidDel="00000000" w:rsidRPr="00000000">
        <w:rPr>
          <w:rtl w:val="0"/>
          <w:b/>
          <w:sz w:val="28"/>
          <w:szCs w:val="28"/>
        </w:rPr>
        <w:t>“</w:t>
      </w:r>
      <w:r w:rsidR="00000000" w:rsidDel="00000000" w:rsidRPr="00000000">
        <w:rPr>
          <w:rtl w:val="0"/>
          <w:sz w:val="28"/>
          <w:szCs w:val="28"/>
        </w:rPr>
        <w:t>Physiotherapy reduces breathlessness, increases exercise tolerance, improves mobility and quality of life.” During my treatment I had to be aware of physiological changes such as levels of fatigue and the blood pressure lowering, effects of exercise known as postexercise hypotension (Chen &amp; Bonham, 2010).</w:t>
      </w:r>
      <w:r w:rsidR="00000000" w:rsidDel="00000000" w:rsidRPr="00000000">
        <w:rPr>
          <w:rtl w:val="0"/>
          <w:color w:val="212121"/>
          <w:highlight w:val="white"/>
          <w:sz w:val="28"/>
          <w:szCs w:val="28"/>
        </w:rPr>
        <w:t xml:space="preserve"> </w:t>
      </w:r>
    </w:p>
    <w:p w:rsidR="00000000" w:rsidDel="00000000" w:rsidRDefault="00000000" w14:paraId="0000000B" w:rsidP="00000000" w:rsidRPr="00000000">
      <w:pPr>
        <w:spacing w:line="240" w:lineRule="auto"/>
        <w:rPr>
          <w:sz w:val="28"/>
          <w:szCs w:val="28"/>
        </w:rPr>
      </w:pPr>
      <w:r w:rsidR="00000000" w:rsidDel="00000000" w:rsidRPr="00000000">
        <w:rPr>
          <w:rtl w:val="0"/>
        </w:rPr>
      </w:r>
    </w:p>
    <w:p w:rsidR="00000000" w:rsidDel="00000000" w:rsidRDefault="00000000" w14:paraId="0000000C" w:rsidP="00000000" w:rsidRPr="00000000">
      <w:pPr>
        <w:spacing w:line="240" w:lineRule="auto"/>
        <w:rPr>
          <w:sz w:val="28"/>
          <w:szCs w:val="28"/>
        </w:rPr>
      </w:pPr>
      <w:r w:rsidR="00000000" w:rsidDel="00000000" w:rsidRPr="00000000">
        <w:rPr>
          <w:rtl w:val="0"/>
          <w:sz w:val="28"/>
          <w:szCs w:val="28"/>
        </w:rPr>
        <w:t xml:space="preserve">To facilitate a safe and timely discharge I liaised with an occupational therapist to have 2 perching stools delivered to Mr B’s house to allow him to have raised areas to sit down if he became breathless or fatigued when carrying out daily tasks.  </w:t>
      </w:r>
      <w:r w:rsidR="00000000" w:rsidDel="00000000" w:rsidRPr="00000000">
        <w:rPr>
          <w:rtl w:val="0"/>
          <w:sz w:val="28"/>
          <w:szCs w:val="28"/>
        </w:rPr>
        <w:t xml:space="preserve"> </w:t>
      </w:r>
    </w:p>
    <w:p w:rsidR="00000000" w:rsidDel="00000000" w:rsidRDefault="00000000" w14:paraId="0000000D" w:rsidP="00000000" w:rsidRPr="00000000">
      <w:pPr>
        <w:spacing w:line="240" w:lineRule="auto"/>
        <w:rPr>
          <w:sz w:val="28"/>
          <w:szCs w:val="28"/>
        </w:rPr>
      </w:pPr>
      <w:r w:rsidR="00000000" w:rsidDel="00000000" w:rsidRPr="00000000">
        <w:rPr>
          <w:rtl w:val="0"/>
        </w:rPr>
      </w:r>
    </w:p>
    <w:p w:rsidR="00000000" w:rsidDel="00000000" w:rsidRDefault="00000000" w14:paraId="0000000E" w:rsidP="00000000" w:rsidRPr="00000000">
      <w:pPr>
        <w:spacing w:line="240" w:lineRule="auto"/>
        <w:rPr>
          <w:sz w:val="28"/>
          <w:szCs w:val="28"/>
        </w:rPr>
      </w:pPr>
      <w:r w:rsidR="00000000" w:rsidDel="00000000" w:rsidRPr="00000000">
        <w:rPr>
          <w:rtl w:val="0"/>
        </w:rPr>
      </w:r>
    </w:p>
    <w:p>
      <w:pPr>
        <w:spacing w:line="240" w:lineRule="auto"/>
      </w:pPr>
      <w:r>
        <w:rPr>
          <w:sz w:val="28"/>
        </w:rPr>
      </w:r>
    </w:p>
    <w:p w:rsidR="00000000" w:rsidDel="00000000" w:rsidRDefault="00000000" w14:paraId="0000000F" w:rsidP="00000000" w:rsidRPr="00000000">
      <w:pPr>
        <w:spacing w:line="240" w:lineRule="auto"/>
        <w:rPr>
          <w:sz w:val="28"/>
          <w:szCs w:val="28"/>
        </w:rPr>
      </w:pPr>
      <w:r w:rsidR="00000000" w:rsidDel="00000000" w:rsidRPr="00000000">
        <w:rPr>
          <w:rtl w:val="0"/>
          <w:sz w:val="28"/>
          <w:szCs w:val="28"/>
        </w:rPr>
        <w:t>Mr H was admitted to hospital with a collapse following episodes of  haematemesis. This is defined as the vomiting of blood either red in appearance or a coffee ground colour (Wilson et al., 1990).</w:t>
      </w:r>
    </w:p>
    <w:p w:rsidR="00000000" w:rsidDel="00000000" w:rsidRDefault="00000000" w14:paraId="00000010" w:rsidP="00000000" w:rsidRPr="00000000">
      <w:pPr>
        <w:spacing w:line="240" w:lineRule="auto"/>
        <w:rPr>
          <w:sz w:val="28"/>
          <w:szCs w:val="28"/>
        </w:rPr>
      </w:pPr>
      <w:r w:rsidR="00000000" w:rsidDel="00000000" w:rsidRPr="00000000">
        <w:rPr>
          <w:rtl w:val="0"/>
        </w:rPr>
      </w:r>
    </w:p>
    <w:p w:rsidR="00000000" w:rsidDel="00000000" w:rsidRDefault="00000000" w14:paraId="00000011" w:rsidP="00000000" w:rsidRPr="00000000">
      <w:pPr>
        <w:spacing w:line="240" w:lineRule="auto"/>
        <w:rPr>
          <w:sz w:val="28"/>
          <w:szCs w:val="28"/>
        </w:rPr>
      </w:pPr>
      <w:r w:rsidR="00000000" w:rsidDel="00000000" w:rsidRPr="00000000">
        <w:rPr>
          <w:rtl w:val="0"/>
          <w:sz w:val="28"/>
          <w:szCs w:val="28"/>
        </w:rPr>
        <w:t>Pathological blood test results showed Mr H had low Haemoglobin (HB). My knowledge of biology explained that this was the reason for Mr H collapsing. Furthermore my knowledge of physiology indicated that low HB would have a significant impact on ability to mobilise as (Fukushima et al., 2019) explains “</w:t>
      </w:r>
      <w:r w:rsidR="00000000" w:rsidDel="00000000" w:rsidRPr="00000000">
        <w:rPr>
          <w:rtl w:val="0"/>
          <w:highlight w:val="white"/>
          <w:sz w:val="28"/>
          <w:szCs w:val="28"/>
        </w:rPr>
        <w:t xml:space="preserve">Low haemoglobin levels result in various adverse health outcomes, including not only low muscle strength, but also impaired walking”. </w:t>
      </w:r>
      <w:r w:rsidR="00000000" w:rsidDel="00000000" w:rsidRPr="00000000">
        <w:rPr>
          <w:rtl w:val="0"/>
        </w:rPr>
      </w:r>
    </w:p>
    <w:p w:rsidR="00000000" w:rsidDel="00000000" w:rsidRDefault="00000000" w14:paraId="00000012" w:rsidP="00000000" w:rsidRPr="00000000">
      <w:pPr>
        <w:spacing w:line="240" w:lineRule="auto"/>
        <w:rPr>
          <w:sz w:val="28"/>
          <w:szCs w:val="28"/>
        </w:rPr>
      </w:pPr>
      <w:r w:rsidR="00000000" w:rsidDel="00000000" w:rsidRPr="00000000">
        <w:rPr>
          <w:rtl w:val="0"/>
        </w:rPr>
      </w:r>
    </w:p>
    <w:p w:rsidR="00000000" w:rsidDel="00000000" w:rsidRDefault="00000000" w14:paraId="00000013" w:rsidP="00000000" w:rsidRPr="00000000">
      <w:pPr>
        <w:spacing w:line="240" w:lineRule="auto"/>
        <w:rPr>
          <w:sz w:val="28"/>
          <w:szCs w:val="28"/>
        </w:rPr>
      </w:pPr>
      <w:r w:rsidR="00000000" w:rsidDel="00000000" w:rsidRPr="00000000">
        <w:rPr>
          <w:rtl w:val="0"/>
          <w:sz w:val="28"/>
          <w:szCs w:val="28"/>
        </w:rPr>
        <w:t>My treatment plan started with lower limb bed and chair exercises to increase Mr H’s muscle strength while nursed in bed. When his HB was stable we progressed to mobilising with a zimmer frame. He commenced with very short distances with 2 therapists and a chair behind to alleviate the risk of possible collapse through fatigue or significant drop in blood pressure. This would be due to changes in hydrostatic pressure that causes blood to accumulate in the lower limbs and decrease supply to the heart (Asano, 2020).</w:t>
      </w:r>
    </w:p>
    <w:p w:rsidR="00000000" w:rsidDel="00000000" w:rsidRDefault="00000000" w14:paraId="00000014" w:rsidP="00000000" w:rsidRPr="00000000">
      <w:pPr>
        <w:spacing w:line="240" w:lineRule="auto"/>
        <w:rPr>
          <w:sz w:val="28"/>
          <w:szCs w:val="28"/>
        </w:rPr>
      </w:pPr>
      <w:r w:rsidR="00000000" w:rsidDel="00000000" w:rsidRPr="00000000">
        <w:rPr>
          <w:rtl w:val="0"/>
        </w:rPr>
      </w:r>
    </w:p>
    <w:p w:rsidR="00000000" w:rsidDel="00000000" w:rsidRDefault="00000000" w14:paraId="00000015" w:rsidP="00000000" w:rsidRPr="00000000">
      <w:pPr>
        <w:spacing w:line="240" w:lineRule="auto"/>
        <w:rPr>
          <w:sz w:val="28"/>
          <w:szCs w:val="28"/>
        </w:rPr>
      </w:pPr>
      <w:r w:rsidR="00000000" w:rsidDel="00000000" w:rsidRPr="00000000">
        <w:rPr>
          <w:rtl w:val="0"/>
          <w:sz w:val="28"/>
          <w:szCs w:val="28"/>
        </w:rPr>
        <w:t>To further understand the physiological effects of Mr H’s medication I could have discussed them with doctors. Also to aid my assessment I could have obtained compression stockings from surgical appliances to alleviate the blood pressure drop when mobilising.</w:t>
      </w:r>
    </w:p>
    <w:p w:rsidR="00000000" w:rsidDel="00000000" w:rsidRDefault="00000000" w14:paraId="00000016" w:rsidP="00000000" w:rsidRPr="00000000">
      <w:pPr>
        <w:rPr>
          <w:sz w:val="28"/>
          <w:szCs w:val="28"/>
        </w:rPr>
      </w:pPr>
      <w:r w:rsidR="00000000" w:rsidDel="00000000" w:rsidRPr="00000000">
        <w:rPr>
          <w:rtl w:val="0"/>
        </w:rPr>
      </w:r>
    </w:p>
    <w:p w:rsidR="00000000" w:rsidDel="00000000" w:rsidRDefault="00000000" w14:paraId="00000017" w:rsidP="00000000" w:rsidRPr="00000000">
      <w:pPr>
        <w:rPr>
          <w:sz w:val="28"/>
          <w:szCs w:val="28"/>
        </w:rPr>
      </w:pPr>
      <w:r w:rsidR="00000000" w:rsidDel="00000000" w:rsidRPr="00000000">
        <w:rPr>
          <w:rtl w:val="0"/>
          <w:sz w:val="28"/>
          <w:szCs w:val="28"/>
        </w:rPr>
        <w:t xml:space="preserve"> </w:t>
      </w:r>
    </w:p>
    <w:p w:rsidR="00000000" w:rsidDel="00000000" w:rsidRDefault="00000000" w14:paraId="00000018" w:rsidP="00000000" w:rsidRPr="00000000">
      <w:pPr>
        <w:rPr>
          <w:sz w:val="28"/>
          <w:szCs w:val="28"/>
        </w:rPr>
      </w:pPr>
      <w:r w:rsidR="00000000" w:rsidDel="00000000" w:rsidRPr="00000000">
        <w:rPr>
          <w:rtl w:val="0"/>
        </w:rPr>
      </w:r>
    </w:p>
    <w:p w:rsidR="00000000" w:rsidDel="00000000" w:rsidRDefault="00000000" w14:paraId="00000019" w:rsidP="00000000" w:rsidRPr="00000000">
      <w:pPr>
        <w:rPr>
          <w:sz w:val="28"/>
          <w:szCs w:val="28"/>
        </w:rPr>
      </w:pPr>
      <w:r w:rsidR="00000000" w:rsidDel="00000000" w:rsidRPr="00000000">
        <w:rPr>
          <w:rtl w:val="0"/>
          <w:sz w:val="28"/>
          <w:szCs w:val="28"/>
        </w:rPr>
        <w:t xml:space="preserve"> </w:t>
      </w:r>
    </w:p>
    <w:p w:rsidR="00000000" w:rsidDel="00000000" w:rsidRDefault="00000000" w14:paraId="0000001A" w:rsidP="00000000" w:rsidRPr="00000000">
      <w:pPr>
        <w:rPr>
          <w:sz w:val="28"/>
          <w:szCs w:val="28"/>
        </w:rPr>
      </w:pPr>
      <w:r w:rsidR="00000000" w:rsidDel="00000000" w:rsidRPr="00000000">
        <w:rPr>
          <w:rtl w:val="0"/>
        </w:rPr>
      </w:r>
    </w:p>
    <w:p w:rsidR="00000000" w:rsidDel="00000000" w:rsidRDefault="00000000" w14:paraId="0000001B" w:rsidP="00000000" w:rsidRPr="00000000">
      <w:pPr>
        <w:rPr>
          <w:sz w:val="28"/>
          <w:szCs w:val="28"/>
        </w:rPr>
      </w:pPr>
      <w:r w:rsidR="00000000" w:rsidDel="00000000" w:rsidRPr="00000000">
        <w:rPr>
          <w:rtl w:val="0"/>
        </w:rPr>
      </w:r>
    </w:p>
    <w:p w:rsidR="00000000" w:rsidDel="00000000" w:rsidRDefault="00000000" w14:paraId="0000001C" w:rsidP="00000000" w:rsidRPr="00000000">
      <w:pPr>
        <w:spacing w:before="240" w:after="240"/>
        <w:rPr>
          <w:b/>
          <w:u w:val="single"/>
          <w:sz w:val="28"/>
          <w:szCs w:val="28"/>
        </w:rPr>
      </w:pPr>
      <w:r w:rsidR="00000000" w:rsidDel="00000000" w:rsidRPr="00000000">
        <w:rPr>
          <w:rtl w:val="0"/>
        </w:rPr>
      </w:r>
    </w:p>
    <w:p w:rsidR="00000000" w:rsidDel="00000000" w:rsidRDefault="00000000" w14:paraId="0000001D" w:rsidP="00000000" w:rsidRPr="00000000">
      <w:pPr>
        <w:spacing w:before="240" w:after="240"/>
        <w:rPr>
          <w:b/>
          <w:u w:val="single"/>
          <w:sz w:val="28"/>
          <w:szCs w:val="28"/>
        </w:rPr>
      </w:pPr>
      <w:r w:rsidR="00000000" w:rsidDel="00000000" w:rsidRPr="00000000">
        <w:rPr>
          <w:rtl w:val="0"/>
        </w:rPr>
      </w:r>
    </w:p>
    <w:p w:rsidR="00000000" w:rsidDel="00000000" w:rsidRDefault="00000000" w14:paraId="0000001E" w:rsidP="00000000" w:rsidRPr="00000000">
      <w:pPr>
        <w:spacing w:before="240" w:after="240"/>
        <w:rPr>
          <w:b/>
          <w:u w:val="single"/>
          <w:sz w:val="28"/>
          <w:szCs w:val="28"/>
        </w:rPr>
      </w:pPr>
      <w:r w:rsidR="00000000" w:rsidDel="00000000" w:rsidRPr="00000000">
        <w:rPr>
          <w:rtl w:val="0"/>
        </w:rPr>
      </w:r>
    </w:p>
    <w:p w:rsidR="00000000" w:rsidDel="00000000" w:rsidRDefault="00000000" w14:paraId="0000001F" w:rsidP="00000000" w:rsidRPr="00000000">
      <w:pPr>
        <w:spacing w:before="240" w:after="240"/>
        <w:rPr>
          <w:b/>
          <w:u w:val="single"/>
          <w:sz w:val="28"/>
          <w:szCs w:val="28"/>
        </w:rPr>
      </w:pPr>
      <w:r>
        <w:rPr>
          <w:b/>
          <w:u w:val="single"/>
          <w:sz w:val="28"/>
        </w:rPr>
        <w:t>References</w:t>
      </w:r>
    </w:p>
    <w:p w:rsidR="00000000" w:rsidDel="00000000" w:rsidRDefault="00000000" w14:paraId="00000021" w:rsidP="00000000" w:rsidRPr="00000000">
      <w:pPr>
        <w:ind w:left="560"/>
        <w:ind w:firstLine="0"/>
        <w:spacing w:before="240" w:after="240"/>
        <w:rPr>
          <w:u w:val="single"/>
          <w:sz w:val="28"/>
          <w:szCs w:val="28"/>
        </w:rPr>
      </w:pPr>
      <w:r w:rsidR="00000000" w:rsidDel="00000000" w:rsidRPr="00000000">
        <w:rPr>
          <w:rtl w:val="0"/>
          <w:u w:val="single"/>
          <w:sz w:val="28"/>
          <w:szCs w:val="28"/>
        </w:rPr>
        <w:t xml:space="preserve">Barnes, P.J. (2013) ‘Chronic Obstructive Pulmonary Disease’, in G.S. Ginsburg and H.F. Willard (eds.) </w:t>
      </w:r>
      <w:r w:rsidR="00000000" w:rsidDel="00000000" w:rsidRPr="00000000">
        <w:rPr>
          <w:rtl w:val="0"/>
          <w:i/>
          <w:u w:val="single"/>
          <w:sz w:val="28"/>
          <w:szCs w:val="28"/>
        </w:rPr>
        <w:t xml:space="preserve">Genomic and Personalized Medicine </w:t>
      </w:r>
      <w:r w:rsidR="00000000" w:rsidDel="00000000" w:rsidRPr="00000000">
        <w:rPr>
          <w:rtl w:val="0"/>
          <w:u w:val="single"/>
          <w:sz w:val="28"/>
          <w:szCs w:val="28"/>
        </w:rPr>
        <w:t xml:space="preserve">. 2nd edn. London: Academic Press, pp. 887–898. </w:t>
      </w:r>
    </w:p>
    <w:p w:rsidR="00000000" w:rsidDel="00000000" w:rsidRDefault="00000000" w14:paraId="00000022" w:rsidP="00000000" w:rsidRPr="00000000">
      <w:pPr>
        <w:ind w:left="580"/>
        <w:ind w:hanging="20"/>
        <w:spacing w:before="240" w:after="240"/>
        <w:rPr>
          <w:u w:val="single"/>
          <w:sz w:val="28"/>
          <w:szCs w:val="28"/>
        </w:rPr>
      </w:pPr>
      <w:r w:rsidR="00000000" w:rsidDel="00000000" w:rsidRPr="00000000">
        <w:rPr>
          <w:rtl w:val="0"/>
          <w:u w:val="single"/>
          <w:sz w:val="28"/>
          <w:szCs w:val="28"/>
        </w:rPr>
        <w:t xml:space="preserve">Chen, C.-Y. and Bonham, A.C. (2010) ‘Postexercise hypotension’, </w:t>
      </w:r>
      <w:r w:rsidR="00000000" w:rsidDel="00000000" w:rsidRPr="00000000">
        <w:rPr>
          <w:rtl w:val="0"/>
          <w:i/>
          <w:u w:val="single"/>
          <w:sz w:val="28"/>
          <w:szCs w:val="28"/>
        </w:rPr>
        <w:t>Exercise and Sport Sciences Reviews</w:t>
      </w:r>
      <w:r w:rsidR="00000000" w:rsidDel="00000000" w:rsidRPr="00000000">
        <w:rPr>
          <w:rtl w:val="0"/>
          <w:u w:val="single"/>
          <w:sz w:val="28"/>
          <w:szCs w:val="28"/>
        </w:rPr>
        <w:t xml:space="preserve">, 38(3), pp. 122–127. doi:10.1097/jes.0b013e3181e372b5. </w:t>
      </w:r>
    </w:p>
    <w:p w:rsidR="00000000" w:rsidDel="00000000" w:rsidRDefault="00000000" w14:paraId="00000023" w:rsidP="00000000" w:rsidRPr="00000000">
      <w:pPr>
        <w:ind w:left="560"/>
        <w:ind w:firstLine="0"/>
        <w:spacing w:before="240" w:after="240"/>
        <w:rPr>
          <w:u w:val="single"/>
          <w:sz w:val="28"/>
          <w:szCs w:val="28"/>
        </w:rPr>
      </w:pPr>
      <w:r w:rsidR="00000000" w:rsidDel="00000000" w:rsidRPr="00000000">
        <w:rPr>
          <w:rtl w:val="0"/>
          <w:u w:val="single"/>
          <w:sz w:val="28"/>
          <w:szCs w:val="28"/>
        </w:rPr>
        <w:t xml:space="preserve">Dimitrova, A. </w:t>
      </w:r>
      <w:r w:rsidR="00000000" w:rsidDel="00000000" w:rsidRPr="00000000">
        <w:rPr>
          <w:rtl w:val="0"/>
          <w:i/>
          <w:u w:val="single"/>
          <w:sz w:val="28"/>
          <w:szCs w:val="28"/>
        </w:rPr>
        <w:t>et al.</w:t>
      </w:r>
      <w:r w:rsidR="00000000" w:rsidDel="00000000" w:rsidRPr="00000000">
        <w:rPr>
          <w:rtl w:val="0"/>
          <w:u w:val="single"/>
          <w:sz w:val="28"/>
          <w:szCs w:val="28"/>
        </w:rPr>
        <w:t xml:space="preserve"> (2017) ‘Рhysiotherapy in patients with chronic obstructive pulmonary disease’, </w:t>
      </w:r>
      <w:r w:rsidR="00000000" w:rsidDel="00000000" w:rsidRPr="00000000">
        <w:rPr>
          <w:rtl w:val="0"/>
          <w:i/>
          <w:u w:val="single"/>
          <w:sz w:val="28"/>
          <w:szCs w:val="28"/>
        </w:rPr>
        <w:t>Open Access Macedonian Journal of Medical Sciences</w:t>
      </w:r>
      <w:r w:rsidR="00000000" w:rsidDel="00000000" w:rsidRPr="00000000">
        <w:rPr>
          <w:rtl w:val="0"/>
          <w:u w:val="single"/>
          <w:sz w:val="28"/>
          <w:szCs w:val="28"/>
        </w:rPr>
        <w:t xml:space="preserve">, 5(6), pp. 720–723. doi:10.3889/oamjms.2017.176. </w:t>
      </w:r>
    </w:p>
    <w:p w:rsidR="00000000" w:rsidDel="00000000" w:rsidRDefault="00000000" w14:paraId="00000024" w:rsidP="00000000" w:rsidRPr="00000000">
      <w:pPr>
        <w:ind w:left="580"/>
        <w:ind w:hanging="20"/>
        <w:spacing w:before="240" w:after="240"/>
        <w:rPr>
          <w:u w:val="single"/>
          <w:sz w:val="28"/>
          <w:szCs w:val="28"/>
        </w:rPr>
      </w:pPr>
      <w:r w:rsidR="00000000" w:rsidDel="00000000" w:rsidRPr="00000000">
        <w:rPr>
          <w:rtl w:val="0"/>
          <w:u w:val="single"/>
          <w:sz w:val="28"/>
          <w:szCs w:val="28"/>
        </w:rPr>
        <w:t xml:space="preserve">Health and Social Care Act 2012 (2012) </w:t>
      </w:r>
      <w:r w:rsidR="00000000" w:rsidDel="00000000" w:rsidRPr="00000000">
        <w:rPr>
          <w:rtl w:val="0"/>
          <w:i/>
          <w:u w:val="single"/>
          <w:sz w:val="28"/>
          <w:szCs w:val="28"/>
        </w:rPr>
        <w:t>Health and Social Care Act 2012</w:t>
      </w:r>
      <w:r w:rsidR="00000000" w:rsidDel="00000000" w:rsidRPr="00000000">
        <w:rPr>
          <w:rtl w:val="0"/>
          <w:u w:val="single"/>
          <w:sz w:val="28"/>
          <w:szCs w:val="28"/>
        </w:rPr>
        <w:t xml:space="preserve">, </w:t>
      </w:r>
      <w:r w:rsidR="00000000" w:rsidDel="00000000" w:rsidRPr="00000000">
        <w:rPr>
          <w:rtl w:val="0"/>
          <w:i/>
          <w:u w:val="single"/>
          <w:sz w:val="28"/>
          <w:szCs w:val="28"/>
        </w:rPr>
        <w:t>Legislation.gov.uk</w:t>
      </w:r>
      <w:r w:rsidR="00000000" w:rsidDel="00000000" w:rsidRPr="00000000">
        <w:rPr>
          <w:rtl w:val="0"/>
          <w:u w:val="single"/>
          <w:sz w:val="28"/>
          <w:szCs w:val="28"/>
        </w:rPr>
        <w:t xml:space="preserve">. Available at: https://www.legislation.gov.uk/ukpga/2012/7/section/263/enacted (Accessed: 30 June 2023). </w:t>
      </w:r>
    </w:p>
    <w:p w:rsidR="00000000" w:rsidDel="00000000" w:rsidRDefault="00000000" w14:paraId="00000025" w:rsidP="00000000" w:rsidRPr="00000000">
      <w:pPr>
        <w:ind w:left="580"/>
        <w:ind w:hanging="20"/>
        <w:spacing w:before="240" w:after="240"/>
        <w:rPr>
          <w:u w:val="single"/>
          <w:sz w:val="28"/>
          <w:szCs w:val="28"/>
        </w:rPr>
      </w:pPr>
      <w:r w:rsidR="00000000" w:rsidDel="00000000" w:rsidRPr="00000000">
        <w:rPr>
          <w:rtl w:val="0"/>
          <w:u w:val="single"/>
          <w:sz w:val="28"/>
          <w:szCs w:val="28"/>
        </w:rPr>
        <w:t xml:space="preserve">Katz, S. </w:t>
      </w:r>
      <w:r w:rsidR="00000000" w:rsidDel="00000000" w:rsidRPr="00000000">
        <w:rPr>
          <w:rtl w:val="0"/>
          <w:i/>
          <w:u w:val="single"/>
          <w:sz w:val="28"/>
          <w:szCs w:val="28"/>
        </w:rPr>
        <w:t>et al.</w:t>
      </w:r>
      <w:r w:rsidR="00000000" w:rsidDel="00000000" w:rsidRPr="00000000">
        <w:rPr>
          <w:rtl w:val="0"/>
          <w:u w:val="single"/>
          <w:sz w:val="28"/>
          <w:szCs w:val="28"/>
        </w:rPr>
        <w:t xml:space="preserve"> (2018) ‘The effect of body position on pulmonary function: A systematic review’, </w:t>
      </w:r>
      <w:r w:rsidR="00000000" w:rsidDel="00000000" w:rsidRPr="00000000">
        <w:rPr>
          <w:rtl w:val="0"/>
          <w:i/>
          <w:u w:val="single"/>
          <w:sz w:val="28"/>
          <w:szCs w:val="28"/>
        </w:rPr>
        <w:t>BMC Pulmonary Medicine</w:t>
      </w:r>
      <w:r w:rsidR="00000000" w:rsidDel="00000000" w:rsidRPr="00000000">
        <w:rPr>
          <w:rtl w:val="0"/>
          <w:u w:val="single"/>
          <w:sz w:val="28"/>
          <w:szCs w:val="28"/>
        </w:rPr>
        <w:t xml:space="preserve">, 18(1), pp. 1–16. doi:10.1186/s12890-018-0723-4. </w:t>
      </w:r>
    </w:p>
    <w:p w:rsidR="00000000" w:rsidDel="00000000" w:rsidRDefault="00000000" w14:paraId="00000026" w:rsidP="00000000" w:rsidRPr="00000000">
      <w:pPr>
        <w:ind w:left="580"/>
        <w:ind w:hanging="20"/>
        <w:spacing w:before="240" w:after="240"/>
        <w:rPr>
          <w:u w:val="single"/>
          <w:sz w:val="28"/>
          <w:szCs w:val="28"/>
        </w:rPr>
      </w:pPr>
      <w:r w:rsidR="00000000" w:rsidDel="00000000" w:rsidRPr="00000000">
        <w:rPr>
          <w:rtl w:val="0"/>
          <w:u w:val="single"/>
          <w:sz w:val="28"/>
          <w:szCs w:val="28"/>
        </w:rPr>
        <w:t xml:space="preserve">NHS (2023) </w:t>
      </w:r>
      <w:r w:rsidR="00000000" w:rsidDel="00000000" w:rsidRPr="00000000">
        <w:rPr>
          <w:rtl w:val="0"/>
          <w:i/>
          <w:u w:val="single"/>
          <w:sz w:val="28"/>
          <w:szCs w:val="28"/>
        </w:rPr>
        <w:t>Spirometry</w:t>
      </w:r>
      <w:r w:rsidR="00000000" w:rsidDel="00000000" w:rsidRPr="00000000">
        <w:rPr>
          <w:rtl w:val="0"/>
          <w:u w:val="single"/>
          <w:sz w:val="28"/>
          <w:szCs w:val="28"/>
        </w:rPr>
        <w:t xml:space="preserve">, </w:t>
      </w:r>
      <w:r w:rsidR="00000000" w:rsidDel="00000000" w:rsidRPr="00000000">
        <w:rPr>
          <w:rtl w:val="0"/>
          <w:i/>
          <w:u w:val="single"/>
          <w:sz w:val="28"/>
          <w:szCs w:val="28"/>
        </w:rPr>
        <w:t>NHS choices</w:t>
      </w:r>
      <w:r w:rsidR="00000000" w:rsidDel="00000000" w:rsidRPr="00000000">
        <w:rPr>
          <w:rtl w:val="0"/>
          <w:u w:val="single"/>
          <w:sz w:val="28"/>
          <w:szCs w:val="28"/>
        </w:rPr>
        <w:t xml:space="preserve">. Available at: https://www.nhs.uk/conditions/spirometry/ (Accessed: 01 July 2023). </w:t>
      </w:r>
    </w:p>
    <w:p w:rsidR="00000000" w:rsidDel="00000000" w:rsidRDefault="00000000" w14:paraId="00000027" w:rsidP="00000000" w:rsidRPr="00000000">
      <w:pPr>
        <w:ind w:left="580"/>
        <w:ind w:hanging="20"/>
        <w:spacing w:before="240" w:after="240"/>
        <w:rPr>
          <w:u w:val="single"/>
          <w:sz w:val="28"/>
          <w:szCs w:val="28"/>
        </w:rPr>
      </w:pPr>
      <w:r w:rsidR="00000000" w:rsidDel="00000000" w:rsidRPr="00000000">
        <w:rPr>
          <w:rtl w:val="0"/>
          <w:u w:val="single"/>
          <w:sz w:val="28"/>
          <w:szCs w:val="28"/>
        </w:rPr>
        <w:t xml:space="preserve">World Health Orginization (2023) </w:t>
      </w:r>
      <w:r w:rsidR="00000000" w:rsidDel="00000000" w:rsidRPr="00000000">
        <w:rPr>
          <w:rtl w:val="0"/>
          <w:i/>
          <w:u w:val="single"/>
          <w:sz w:val="28"/>
          <w:szCs w:val="28"/>
        </w:rPr>
        <w:t>Chronic obstructive pulmonary disease (COPD)</w:t>
      </w:r>
      <w:r w:rsidR="00000000" w:rsidDel="00000000" w:rsidRPr="00000000">
        <w:rPr>
          <w:rtl w:val="0"/>
          <w:u w:val="single"/>
          <w:sz w:val="28"/>
          <w:szCs w:val="28"/>
        </w:rPr>
        <w:t xml:space="preserve">, </w:t>
      </w:r>
      <w:r w:rsidR="00000000" w:rsidDel="00000000" w:rsidRPr="00000000">
        <w:rPr>
          <w:rtl w:val="0"/>
          <w:i/>
          <w:u w:val="single"/>
          <w:sz w:val="28"/>
          <w:szCs w:val="28"/>
        </w:rPr>
        <w:t>World Health Organization</w:t>
      </w:r>
      <w:r w:rsidR="00000000" w:rsidDel="00000000" w:rsidRPr="00000000">
        <w:rPr>
          <w:rtl w:val="0"/>
          <w:u w:val="single"/>
          <w:sz w:val="28"/>
          <w:szCs w:val="28"/>
        </w:rPr>
        <w:t xml:space="preserve">. Available at: https://www.who.int/news-room/fact-sheets/detail/chronic-obstructive-pulmonary-disease-(copd) (Accessed: 23 June 2023). </w:t>
      </w:r>
      <w:r>
        <w:rPr>
          <w:u w:val="single"/>
          <w:sz w:val="28"/>
        </w:rPr>
        <w:t xml:space="preserve">Reference List 2 </w:t>
      </w:r>
    </w:p>
    <w:p w:rsidR="00000000" w:rsidDel="00000000" w:rsidRDefault="00000000" w14:paraId="0000002D" w:rsidP="00000000" w:rsidRPr="00000000">
      <w:pPr>
        <w:ind w:left="580"/>
        <w:ind w:hanging="20"/>
        <w:spacing w:before="240" w:after="240"/>
        <w:rPr>
          <w:u w:val="single"/>
          <w:sz w:val="28"/>
          <w:szCs w:val="28"/>
        </w:rPr>
      </w:pPr>
      <w:r w:rsidR="00000000" w:rsidDel="00000000" w:rsidRPr="00000000">
        <w:rPr>
          <w:rtl w:val="0"/>
          <w:u w:val="single"/>
          <w:sz w:val="28"/>
          <w:szCs w:val="28"/>
        </w:rPr>
        <w:t xml:space="preserve">Asano, Y. (2020) ‘effect of blood pressure and cerebral blood flow of using a hybrid assistive limb for standing’, </w:t>
      </w:r>
      <w:r w:rsidR="00000000" w:rsidDel="00000000" w:rsidRPr="00000000">
        <w:rPr>
          <w:rtl w:val="0"/>
          <w:i/>
          <w:u w:val="single"/>
          <w:sz w:val="28"/>
          <w:szCs w:val="28"/>
        </w:rPr>
        <w:t xml:space="preserve">Journal of Nursing Science and Engineering </w:t>
      </w:r>
      <w:r w:rsidR="00000000" w:rsidDel="00000000" w:rsidRPr="00000000">
        <w:rPr>
          <w:rtl w:val="0"/>
          <w:u w:val="single"/>
          <w:sz w:val="28"/>
          <w:szCs w:val="28"/>
        </w:rPr>
        <w:t xml:space="preserve">, 7, pp. 79–88. </w:t>
      </w:r>
    </w:p>
    <w:p w:rsidR="00000000" w:rsidDel="00000000" w:rsidRDefault="00000000" w14:paraId="0000002E" w:rsidP="00000000" w:rsidRPr="00000000">
      <w:pPr>
        <w:ind w:left="580"/>
        <w:ind w:hanging="20"/>
        <w:spacing w:before="240" w:after="240"/>
        <w:rPr>
          <w:u w:val="single"/>
          <w:sz w:val="28"/>
          <w:szCs w:val="28"/>
        </w:rPr>
      </w:pPr>
      <w:r w:rsidR="00000000" w:rsidDel="00000000" w:rsidRPr="00000000">
        <w:rPr>
          <w:rtl w:val="0"/>
          <w:u w:val="single"/>
          <w:sz w:val="28"/>
          <w:szCs w:val="28"/>
        </w:rPr>
        <w:t xml:space="preserve">Fukushima, T. </w:t>
      </w:r>
      <w:r w:rsidR="00000000" w:rsidDel="00000000" w:rsidRPr="00000000">
        <w:rPr>
          <w:rtl w:val="0"/>
          <w:i/>
          <w:u w:val="single"/>
          <w:sz w:val="28"/>
          <w:szCs w:val="28"/>
        </w:rPr>
        <w:t>et al.</w:t>
      </w:r>
      <w:r w:rsidR="00000000" w:rsidDel="00000000" w:rsidRPr="00000000">
        <w:rPr>
          <w:rtl w:val="0"/>
          <w:u w:val="single"/>
          <w:sz w:val="28"/>
          <w:szCs w:val="28"/>
        </w:rPr>
        <w:t xml:space="preserve"> (2019) ‘Influence of hemoglobin level on muscle and physical functions, activities of daily living, and quality of life in patients with hematological malignancies’, </w:t>
      </w:r>
      <w:r w:rsidR="00000000" w:rsidDel="00000000" w:rsidRPr="00000000">
        <w:rPr>
          <w:rtl w:val="0"/>
          <w:i/>
          <w:u w:val="single"/>
          <w:sz w:val="28"/>
          <w:szCs w:val="28"/>
        </w:rPr>
        <w:t>Integrative Cancer Therapies</w:t>
      </w:r>
      <w:r w:rsidR="00000000" w:rsidDel="00000000" w:rsidRPr="00000000">
        <w:rPr>
          <w:rtl w:val="0"/>
          <w:u w:val="single"/>
          <w:sz w:val="28"/>
          <w:szCs w:val="28"/>
        </w:rPr>
        <w:t xml:space="preserve">, 18, pp. 1–10. doi:10.1177/1534735419842196. </w:t>
      </w:r>
    </w:p>
    <w:p w:rsidR="00000000" w:rsidDel="00000000" w:rsidRDefault="00000000" w14:paraId="0000002F" w:rsidP="00000000" w:rsidRPr="00000000">
      <w:pPr>
        <w:ind w:left="580"/>
        <w:ind w:hanging="20"/>
        <w:spacing w:before="240" w:after="240"/>
        <w:rPr>
          <w:u w:val="single"/>
          <w:sz w:val="28"/>
          <w:szCs w:val="28"/>
        </w:rPr>
      </w:pPr>
      <w:r w:rsidR="00000000" w:rsidDel="00000000" w:rsidRPr="00000000">
        <w:rPr>
          <w:rtl w:val="0"/>
          <w:u w:val="single"/>
          <w:sz w:val="28"/>
          <w:szCs w:val="28"/>
        </w:rPr>
        <w:t xml:space="preserve">Wilson, D. (1990) ‘Hematemesis, Melena, and Hematochezia’, in H.K. Walker, W.D. Hall, and J.W. Hurst (eds.) </w:t>
      </w:r>
      <w:r w:rsidR="00000000" w:rsidDel="00000000" w:rsidRPr="00000000">
        <w:rPr>
          <w:rtl w:val="0"/>
          <w:i/>
          <w:u w:val="single"/>
          <w:sz w:val="28"/>
          <w:szCs w:val="28"/>
        </w:rPr>
        <w:t>Clinical methods: The history, physical, and laboratory examinations. 3rd edition</w:t>
      </w:r>
      <w:r w:rsidR="00000000" w:rsidDel="00000000" w:rsidRPr="00000000">
        <w:rPr>
          <w:rtl w:val="0"/>
          <w:u w:val="single"/>
          <w:sz w:val="28"/>
          <w:szCs w:val="28"/>
        </w:rPr>
        <w:t xml:space="preserve">. 3rd edn. LexisNexis UK, pp. 1–14. </w:t>
      </w:r>
    </w:p>
    <w:p w:rsidR="00000000" w:rsidDel="00000000" w:rsidRDefault="00000000" w14:paraId="00000030" w:rsidP="00000000" w:rsidRPr="00000000">
      <w:pPr>
        <w:ind w:left="580"/>
        <w:ind w:hanging="20"/>
        <w:spacing w:before="240" w:after="240"/>
        <w:rPr>
          <w:u w:val="single"/>
          <w:sz w:val="28"/>
          <w:szCs w:val="28"/>
        </w:rPr>
      </w:pPr>
      <w:r w:rsidR="00000000" w:rsidDel="00000000" w:rsidRPr="00000000">
        <w:rPr>
          <w:rtl w:val="0"/>
        </w:rPr>
      </w:r>
    </w:p>
    <w:p w:rsidR="00000000" w:rsidDel="00000000" w:rsidRDefault="00000000" w14:paraId="00000031" w:rsidP="00000000" w:rsidRPr="00000000">
      <w:pPr>
        <w:ind w:left="0"/>
        <w:ind w:firstLine="0"/>
        <w:spacing w:before="240" w:after="240"/>
        <w:rPr>
          <w:u w:val="single"/>
          <w:sz w:val="28"/>
          <w:szCs w:val="28"/>
        </w:rPr>
      </w:pPr>
      <w:r w:rsidR="00000000" w:rsidDel="00000000" w:rsidRPr="00000000">
        <w:rPr>
          <w:rtl w:val="0"/>
        </w:rPr>
      </w:r>
    </w:p>
    <w:p w:rsidR="00000000" w:rsidDel="00000000" w:rsidRDefault="00000000" w14:paraId="00000032" w:rsidP="00000000" w:rsidRPr="00000000">
      <w:pPr>
        <w:ind w:left="0"/>
        <w:ind w:firstLine="0"/>
        <w:spacing w:before="240" w:after="240"/>
        <w:rPr>
          <w:u w:val="single"/>
          <w:sz w:val="28"/>
          <w:szCs w:val="28"/>
        </w:rPr>
      </w:pPr>
      <w:r w:rsidR="00000000" w:rsidDel="00000000" w:rsidRPr="00000000">
        <w:rPr>
          <w:rtl w:val="0"/>
        </w:rPr>
      </w:r>
    </w:p>
    <w:p w:rsidR="00000000" w:rsidDel="00000000" w:rsidRDefault="00000000" w14:paraId="00000033" w:rsidP="00000000" w:rsidRPr="00000000">
      <w:pPr>
        <w:ind w:left="560"/>
        <w:ind w:firstLine="0"/>
        <w:spacing w:before="240" w:after="240"/>
        <w:rPr>
          <w:u w:val="single"/>
          <w:sz w:val="28"/>
          <w:szCs w:val="28"/>
        </w:rPr>
      </w:pPr>
      <w:r w:rsidR="00000000" w:rsidDel="00000000" w:rsidRPr="00000000">
        <w:rPr>
          <w:rtl w:val="0"/>
        </w:rPr>
      </w:r>
    </w:p>
    <w:p w:rsidR="00000000" w:rsidDel="00000000" w:rsidRDefault="00000000" w14:paraId="00000034" w:rsidP="00000000" w:rsidRPr="00000000">
      <w:pPr>
        <w:ind w:left="560"/>
        <w:ind w:firstLine="0"/>
        <w:spacing w:before="240" w:after="240"/>
        <w:rPr>
          <w:u w:val="single"/>
          <w:sz w:val="28"/>
          <w:szCs w:val="28"/>
        </w:rPr>
      </w:pPr>
      <w:r w:rsidR="00000000" w:rsidDel="00000000" w:rsidRPr="00000000">
        <w:rPr>
          <w:rtl w:val="0"/>
        </w:rPr>
      </w:r>
    </w:p>
    <w:p w:rsidR="00000000" w:rsidDel="00000000" w:rsidRDefault="00000000" w14:paraId="00000035" w:rsidP="00000000" w:rsidRPr="00000000">
      <w:pPr>
        <w:ind w:left="560"/>
        <w:ind w:firstLine="0"/>
        <w:spacing w:before="240" w:after="240"/>
        <w:rPr>
          <w:u w:val="single"/>
          <w:sz w:val="28"/>
          <w:szCs w:val="28"/>
        </w:rPr>
      </w:pPr>
      <w:r w:rsidR="00000000" w:rsidDel="00000000" w:rsidRPr="00000000">
        <w:rPr>
          <w:rtl w:val="0"/>
        </w:rPr>
      </w:r>
    </w:p>
    <w:p w:rsidR="00000000" w:rsidDel="00000000" w:rsidRDefault="00000000" w14:paraId="00000036" w:rsidP="00000000" w:rsidRPr="00000000">
      <w:pPr>
        <w:ind w:left="560"/>
        <w:ind w:firstLine="0"/>
        <w:spacing w:before="240" w:after="240"/>
        <w:rPr>
          <w:u w:val="single"/>
          <w:sz w:val="28"/>
          <w:szCs w:val="28"/>
        </w:rPr>
      </w:pPr>
      <w:r w:rsidR="00000000" w:rsidDel="00000000" w:rsidRPr="00000000">
        <w:rPr>
          <w:rtl w:val="0"/>
        </w:rPr>
      </w:r>
    </w:p>
    <w:p w:rsidR="00000000" w:rsidDel="00000000" w:rsidRDefault="00000000" w14:paraId="00000037" w:rsidP="00000000" w:rsidRPr="00000000">
      <w:pPr>
        <w:spacing w:before="240" w:after="240"/>
        <w:rPr>
          <w:b/>
          <w:u w:val="single"/>
          <w:sz w:val="28"/>
          <w:szCs w:val="28"/>
        </w:rPr>
      </w:pPr>
      <w:r w:rsidR="00000000" w:rsidDel="00000000" w:rsidRPr="00000000">
        <w:rPr>
          <w:rtl w:val="0"/>
        </w:rPr>
      </w:r>
    </w:p>
    <w:p w:rsidR="00000000" w:rsidDel="00000000" w:rsidRDefault="00000000" w14:paraId="00000038" w:rsidP="00000000" w:rsidRPr="00000000">
      <w:pPr>
        <w:spacing w:before="240" w:after="240"/>
        <w:rPr>
          <w:u w:val="single"/>
          <w:sz w:val="28"/>
          <w:szCs w:val="28"/>
        </w:rPr>
      </w:pPr>
      <w:r w:rsidR="00000000" w:rsidDel="00000000" w:rsidRPr="00000000">
        <w:rPr>
          <w:rtl w:val="0"/>
        </w:rPr>
      </w:r>
    </w:p>
    <w:p w:rsidR="00000000" w:rsidDel="00000000" w:rsidRDefault="00000000" w14:paraId="00000039" w:rsidP="00000000" w:rsidRPr="00000000">
      <w:pPr>
        <w:spacing w:before="240" w:after="240"/>
        <w:rPr>
          <w:b/>
          <w:u w:val="single"/>
          <w:sz w:val="28"/>
          <w:szCs w:val="28"/>
        </w:rPr>
      </w:pPr>
      <w:r w:rsidR="00000000" w:rsidDel="00000000" w:rsidRPr="00000000">
        <w:rPr>
          <w:rtl w:val="0"/>
        </w:rPr>
      </w:r>
    </w:p>
    <w:p w:rsidR="00000000" w:rsidDel="00000000" w:rsidRDefault="00000000" w14:paraId="0000003A" w:rsidP="00000000" w:rsidRPr="00000000">
      <w:pPr>
        <w:spacing w:before="240" w:after="240"/>
        <w:rPr>
          <w:b/>
          <w:u w:val="single"/>
          <w:sz w:val="28"/>
          <w:szCs w:val="28"/>
        </w:rPr>
      </w:pPr>
      <w:r w:rsidR="00000000" w:rsidDel="00000000" w:rsidRPr="00000000">
        <w:rPr>
          <w:rtl w:val="0"/>
        </w:rPr>
      </w:r>
    </w:p>
    <w:p w:rsidR="00000000" w:rsidDel="00000000" w:rsidRDefault="00000000" w14:paraId="0000003B" w:rsidP="00000000" w:rsidRPr="00000000">
      <w:pPr>
        <w:spacing w:before="240" w:after="240"/>
        <w:rPr>
          <w:b/>
          <w:u w:val="single"/>
          <w:sz w:val="28"/>
          <w:szCs w:val="28"/>
        </w:rPr>
      </w:pPr>
      <w:r w:rsidR="00000000" w:rsidDel="00000000" w:rsidRPr="00000000">
        <w:rPr>
          <w:rtl w:val="0"/>
        </w:rPr>
      </w:r>
    </w:p>
    <w:p w:rsidR="00000000" w:rsidDel="00000000" w:rsidRDefault="00000000" w14:paraId="0000003C" w:rsidP="00000000" w:rsidRPr="00000000">
      <w:pPr>
        <w:spacing w:before="240" w:after="240"/>
        <w:rPr>
          <w:b/>
          <w:u w:val="single"/>
          <w:sz w:val="28"/>
          <w:szCs w:val="28"/>
        </w:rPr>
      </w:pPr>
      <w:r w:rsidR="00000000" w:rsidDel="00000000" w:rsidRPr="00000000">
        <w:rPr>
          <w:rtl w:val="0"/>
        </w:rPr>
      </w:r>
    </w:p>
    <w:p w:rsidR="00000000" w:rsidDel="00000000" w:rsidRDefault="00000000" w14:paraId="0000003D" w:rsidP="00000000" w:rsidRPr="00000000">
      <w:pPr>
        <w:spacing w:before="240" w:after="240"/>
        <w:rPr>
          <w:sz w:val="28"/>
          <w:szCs w:val="28"/>
        </w:rPr>
      </w:pPr>
      <w:r>
        <w:rPr>
          <w:sz w:val="28"/>
          <w:szCs w:val="28"/>
        </w:rPr>
        <w:br/>
      </w:r>
    </w:p>
    <w:p w:rsidR="00000000" w:rsidDel="00000000" w:rsidRDefault="00000000" w14:paraId="0000003E" w:rsidP="00000000" w:rsidRPr="00000000">
      <w:pPr>
        <w:spacing w:before="240" w:after="240"/>
        <w:rPr>
          <w:sz w:val="28"/>
          <w:szCs w:val="28"/>
        </w:rPr>
      </w:pPr>
      <w:r w:rsidR="00000000" w:rsidDel="00000000" w:rsidRPr="00000000">
        <w:rPr>
          <w:rtl w:val="0"/>
        </w:rPr>
      </w:r>
    </w:p>
    <w:p w:rsidR="00000000" w:rsidDel="00000000" w:rsidRDefault="00000000" w14:paraId="0000003F" w:rsidP="00000000" w:rsidRPr="00000000">
      <w:pPr>
        <w:spacing w:before="240" w:after="240"/>
        <w:rPr>
          <w:sz w:val="28"/>
          <w:szCs w:val="28"/>
        </w:rPr>
      </w:pPr>
      <w:r w:rsidR="00000000" w:rsidDel="00000000" w:rsidRPr="00000000">
        <w:rPr>
          <w:rtl w:val="0"/>
        </w:rPr>
      </w:r>
    </w:p>
    <w:p w:rsidR="00000000" w:rsidDel="00000000" w:rsidRDefault="00000000" w14:paraId="00000040" w:rsidP="00000000" w:rsidRPr="00000000">
      <w:pPr>
        <w:rPr>
          <w:sz w:val="32"/>
          <w:szCs w:val="32"/>
        </w:rPr>
      </w:pPr>
      <w:r w:rsidR="00000000" w:rsidDel="00000000" w:rsidRPr="00000000">
        <w:rPr>
          <w:rtl w:val="0"/>
        </w:rPr>
      </w:r>
    </w:p>
    <w:sectPr>
      <w:headerReference r:id="rId6" w:type="default"/>
      <w:pgNumType w:start="1"/>
      <w:pgSz w:w="12240" w:h="15840" w:orient="portrait"/>
      <w:pgMar w:left="1440" w:right="1440" w:top="1440" w:bottom="1440" w:header="720" w:footer="720"/>
    </w:sectPr>
  </w:body>
</w:document>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Arial"/>
  <w:font w:name="Calibri"/>
  <w:font w:name="Cambria"/>
  <w:font w:name="Symbol"/>
  <w:font w:name="Courier New"/>
  <w:font w:name="Times New Roman"/>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1">
    <w:pPr>
      <w:rPr/>
    </w:pPr>
    <w:r w:rsidDel="00000000" w:rsidR="00000000" w:rsidRPr="00000000">
      <w:rPr>
        <w:rtl w:val="0"/>
      </w:rPr>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rsid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