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A5FA" w14:textId="77777777" w:rsidR="00E329DE" w:rsidRPr="00A73604" w:rsidRDefault="00E329DE" w:rsidP="00E329DE">
      <w:pPr>
        <w:rPr>
          <w:rFonts w:ascii="Times New Roman" w:hAnsi="Times New Roman" w:cs="Times New Roman"/>
          <w:sz w:val="16"/>
          <w:szCs w:val="16"/>
        </w:rPr>
      </w:pPr>
      <w:r w:rsidRPr="00A73604">
        <w:rPr>
          <w:rFonts w:ascii="Times New Roman" w:hAnsi="Times New Roman" w:cs="Times New Roman"/>
          <w:sz w:val="16"/>
          <w:szCs w:val="16"/>
        </w:rPr>
        <w:t>Name: favour obi</w:t>
      </w:r>
    </w:p>
    <w:p w14:paraId="11BAC65E" w14:textId="77777777" w:rsidR="0052573C" w:rsidRPr="00A73604" w:rsidRDefault="00E329DE" w:rsidP="0052573C">
      <w:pPr>
        <w:rPr>
          <w:rFonts w:ascii="Times New Roman" w:hAnsi="Times New Roman" w:cs="Times New Roman"/>
          <w:sz w:val="16"/>
          <w:szCs w:val="16"/>
        </w:rPr>
      </w:pPr>
      <w:r w:rsidRPr="00A73604">
        <w:rPr>
          <w:rFonts w:ascii="Times New Roman" w:hAnsi="Times New Roman" w:cs="Times New Roman"/>
          <w:sz w:val="16"/>
          <w:szCs w:val="16"/>
        </w:rPr>
        <w:t>Student id: 2502853</w:t>
      </w:r>
    </w:p>
    <w:p w14:paraId="234EFD19" w14:textId="014481A8" w:rsidR="00E329DE" w:rsidRPr="00A73604" w:rsidRDefault="00E329DE" w:rsidP="00E329DE">
      <w:pPr>
        <w:rPr>
          <w:rFonts w:ascii="Times New Roman" w:hAnsi="Times New Roman" w:cs="Times New Roman"/>
          <w:sz w:val="16"/>
          <w:szCs w:val="16"/>
        </w:rPr>
      </w:pPr>
      <w:r w:rsidRPr="00A73604">
        <w:rPr>
          <w:rFonts w:ascii="Times New Roman" w:hAnsi="Times New Roman" w:cs="Times New Roman"/>
          <w:sz w:val="16"/>
          <w:szCs w:val="16"/>
        </w:rPr>
        <w:t xml:space="preserve">Assignment title: </w:t>
      </w:r>
      <w:r w:rsidR="003D4D6D" w:rsidRPr="00A73604">
        <w:rPr>
          <w:rFonts w:ascii="Times New Roman" w:eastAsia="Times New Roman" w:hAnsi="Times New Roman" w:cs="Times New Roman"/>
          <w:color w:val="000000" w:themeColor="text1"/>
          <w:sz w:val="16"/>
          <w:szCs w:val="16"/>
        </w:rPr>
        <w:t xml:space="preserve">Aims and </w:t>
      </w:r>
      <w:bookmarkStart w:id="0" w:name="_Int_70B5KWKD"/>
      <w:r w:rsidR="003D4D6D" w:rsidRPr="00A73604">
        <w:rPr>
          <w:rFonts w:ascii="Times New Roman" w:eastAsia="Times New Roman" w:hAnsi="Times New Roman" w:cs="Times New Roman"/>
          <w:color w:val="000000" w:themeColor="text1"/>
          <w:sz w:val="16"/>
          <w:szCs w:val="16"/>
        </w:rPr>
        <w:t>objectives</w:t>
      </w:r>
      <w:bookmarkEnd w:id="0"/>
      <w:r w:rsidR="003D4D6D" w:rsidRPr="00A73604">
        <w:rPr>
          <w:rFonts w:ascii="Times New Roman" w:eastAsia="Times New Roman" w:hAnsi="Times New Roman" w:cs="Times New Roman"/>
          <w:color w:val="000000" w:themeColor="text1"/>
          <w:sz w:val="16"/>
          <w:szCs w:val="16"/>
        </w:rPr>
        <w:t xml:space="preserve"> of the event, and the short-term and long-term impacts (economic, social, cultural, environmental, and political) of the chosen industry</w:t>
      </w:r>
    </w:p>
    <w:p w14:paraId="28506C7E" w14:textId="037156D3" w:rsidR="00E329DE" w:rsidRPr="00A73604" w:rsidRDefault="00E329DE" w:rsidP="00E329DE">
      <w:pPr>
        <w:rPr>
          <w:rFonts w:ascii="Times New Roman" w:hAnsi="Times New Roman" w:cs="Times New Roman"/>
          <w:sz w:val="16"/>
          <w:szCs w:val="16"/>
        </w:rPr>
      </w:pPr>
      <w:r w:rsidRPr="00A73604">
        <w:rPr>
          <w:rFonts w:ascii="Times New Roman" w:hAnsi="Times New Roman" w:cs="Times New Roman"/>
          <w:sz w:val="16"/>
          <w:szCs w:val="16"/>
        </w:rPr>
        <w:t xml:space="preserve">Lecturer name: </w:t>
      </w:r>
      <w:r w:rsidR="0052573C" w:rsidRPr="00A73604">
        <w:rPr>
          <w:rFonts w:ascii="Times New Roman" w:hAnsi="Times New Roman" w:cs="Times New Roman"/>
          <w:sz w:val="16"/>
          <w:szCs w:val="16"/>
        </w:rPr>
        <w:t xml:space="preserve">Debbie Jenkins </w:t>
      </w:r>
    </w:p>
    <w:p w14:paraId="305EF165" w14:textId="13F33C54" w:rsidR="00E329DE" w:rsidRPr="00A73604" w:rsidRDefault="00E329DE" w:rsidP="00E329DE">
      <w:pPr>
        <w:rPr>
          <w:rFonts w:ascii="Times New Roman" w:hAnsi="Times New Roman" w:cs="Times New Roman"/>
          <w:sz w:val="16"/>
          <w:szCs w:val="16"/>
        </w:rPr>
      </w:pPr>
      <w:r w:rsidRPr="00A73604">
        <w:rPr>
          <w:rFonts w:ascii="Times New Roman" w:hAnsi="Times New Roman" w:cs="Times New Roman"/>
          <w:sz w:val="16"/>
          <w:szCs w:val="16"/>
        </w:rPr>
        <w:t xml:space="preserve">Submission date: </w:t>
      </w:r>
      <w:r w:rsidR="0052573C" w:rsidRPr="00A73604">
        <w:rPr>
          <w:rFonts w:ascii="Times New Roman" w:hAnsi="Times New Roman" w:cs="Times New Roman"/>
          <w:sz w:val="16"/>
          <w:szCs w:val="16"/>
        </w:rPr>
        <w:t>27</w:t>
      </w:r>
      <w:r w:rsidR="0052573C" w:rsidRPr="00A73604">
        <w:rPr>
          <w:rFonts w:ascii="Times New Roman" w:hAnsi="Times New Roman" w:cs="Times New Roman"/>
          <w:sz w:val="16"/>
          <w:szCs w:val="16"/>
          <w:vertAlign w:val="superscript"/>
        </w:rPr>
        <w:t>th</w:t>
      </w:r>
      <w:r w:rsidR="0052573C" w:rsidRPr="00A73604">
        <w:rPr>
          <w:rFonts w:ascii="Times New Roman" w:hAnsi="Times New Roman" w:cs="Times New Roman"/>
          <w:sz w:val="16"/>
          <w:szCs w:val="16"/>
        </w:rPr>
        <w:t xml:space="preserve"> of November </w:t>
      </w:r>
      <w:r w:rsidR="009B6383">
        <w:rPr>
          <w:rFonts w:ascii="Times New Roman" w:hAnsi="Times New Roman" w:cs="Times New Roman"/>
          <w:sz w:val="16"/>
          <w:szCs w:val="16"/>
        </w:rPr>
        <w:t xml:space="preserve"> </w:t>
      </w:r>
    </w:p>
    <w:p w14:paraId="455F7E71" w14:textId="0E562E6F" w:rsidR="00E329DE" w:rsidRPr="00A73604" w:rsidRDefault="00E329DE" w:rsidP="00E329DE">
      <w:pPr>
        <w:rPr>
          <w:rFonts w:ascii="Times New Roman" w:hAnsi="Times New Roman" w:cs="Times New Roman"/>
          <w:sz w:val="16"/>
          <w:szCs w:val="16"/>
        </w:rPr>
      </w:pPr>
      <w:r w:rsidRPr="00A73604">
        <w:rPr>
          <w:rFonts w:ascii="Times New Roman" w:hAnsi="Times New Roman" w:cs="Times New Roman"/>
          <w:sz w:val="16"/>
          <w:szCs w:val="16"/>
        </w:rPr>
        <w:t>Word count:</w:t>
      </w:r>
      <w:r w:rsidR="003919D0" w:rsidRPr="00A73604">
        <w:rPr>
          <w:rFonts w:ascii="Times New Roman" w:hAnsi="Times New Roman" w:cs="Times New Roman"/>
          <w:sz w:val="16"/>
          <w:szCs w:val="16"/>
        </w:rPr>
        <w:t xml:space="preserve"> </w:t>
      </w:r>
      <w:r w:rsidRPr="00A73604">
        <w:rPr>
          <w:rFonts w:ascii="Times New Roman" w:hAnsi="Times New Roman" w:cs="Times New Roman"/>
          <w:sz w:val="16"/>
          <w:szCs w:val="16"/>
        </w:rPr>
        <w:t>1,</w:t>
      </w:r>
      <w:r w:rsidR="0052573C" w:rsidRPr="00A73604">
        <w:rPr>
          <w:rFonts w:ascii="Times New Roman" w:hAnsi="Times New Roman" w:cs="Times New Roman"/>
          <w:sz w:val="16"/>
          <w:szCs w:val="16"/>
        </w:rPr>
        <w:t>900</w:t>
      </w:r>
    </w:p>
    <w:p w14:paraId="7B828B37" w14:textId="4D0997FA" w:rsidR="00E329DE" w:rsidRPr="00A73604" w:rsidRDefault="00E329DE" w:rsidP="00E329DE">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kern w:val="0"/>
          <w:sz w:val="16"/>
          <w:szCs w:val="16"/>
          <w14:ligatures w14:val="none"/>
        </w:rPr>
        <w:t>Module code:</w:t>
      </w:r>
      <w:r w:rsidRPr="00A73604">
        <w:rPr>
          <w:rFonts w:ascii="Times New Roman" w:hAnsi="Times New Roman" w:cs="Times New Roman"/>
          <w:color w:val="000000"/>
          <w:kern w:val="0"/>
          <w:sz w:val="16"/>
          <w:szCs w:val="16"/>
          <w14:ligatures w14:val="none"/>
        </w:rPr>
        <w:t> BMTP401</w:t>
      </w:r>
      <w:r w:rsidR="00665B82" w:rsidRPr="00A73604">
        <w:rPr>
          <w:rFonts w:ascii="Times New Roman" w:hAnsi="Times New Roman" w:cs="Times New Roman"/>
          <w:color w:val="000000"/>
          <w:kern w:val="0"/>
          <w:sz w:val="16"/>
          <w:szCs w:val="16"/>
          <w14:ligatures w14:val="none"/>
        </w:rPr>
        <w:t>8</w:t>
      </w:r>
    </w:p>
    <w:p w14:paraId="5A23B8D6" w14:textId="77777777" w:rsidR="00E329DE" w:rsidRPr="00A73604" w:rsidRDefault="00E329DE" w:rsidP="00E329DE">
      <w:pPr>
        <w:spacing w:after="0" w:line="240" w:lineRule="auto"/>
        <w:rPr>
          <w:rFonts w:ascii="Times New Roman" w:hAnsi="Times New Roman" w:cs="Times New Roman"/>
          <w:color w:val="000000"/>
          <w:kern w:val="0"/>
          <w:sz w:val="16"/>
          <w:szCs w:val="16"/>
          <w14:ligatures w14:val="none"/>
        </w:rPr>
      </w:pPr>
    </w:p>
    <w:p w14:paraId="2776CD53" w14:textId="6B0A89D2" w:rsidR="00E329DE" w:rsidRPr="00A73604" w:rsidRDefault="00E329DE" w:rsidP="00E329DE">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Module name; </w:t>
      </w:r>
      <w:r w:rsidR="00665B82" w:rsidRPr="00A73604">
        <w:rPr>
          <w:rFonts w:ascii="Times New Roman" w:hAnsi="Times New Roman" w:cs="Times New Roman"/>
          <w:color w:val="000000"/>
          <w:kern w:val="0"/>
          <w:sz w:val="16"/>
          <w:szCs w:val="16"/>
          <w14:ligatures w14:val="none"/>
        </w:rPr>
        <w:t xml:space="preserve">tourism, </w:t>
      </w:r>
      <w:r w:rsidR="003919D0" w:rsidRPr="00A73604">
        <w:rPr>
          <w:rFonts w:ascii="Times New Roman" w:hAnsi="Times New Roman" w:cs="Times New Roman"/>
          <w:color w:val="000000"/>
          <w:kern w:val="0"/>
          <w:sz w:val="16"/>
          <w:szCs w:val="16"/>
          <w14:ligatures w14:val="none"/>
        </w:rPr>
        <w:t>events,</w:t>
      </w:r>
      <w:r w:rsidR="00665B82" w:rsidRPr="00A73604">
        <w:rPr>
          <w:rFonts w:ascii="Times New Roman" w:hAnsi="Times New Roman" w:cs="Times New Roman"/>
          <w:color w:val="000000"/>
          <w:kern w:val="0"/>
          <w:sz w:val="16"/>
          <w:szCs w:val="16"/>
          <w14:ligatures w14:val="none"/>
        </w:rPr>
        <w:t xml:space="preserve"> and leisure </w:t>
      </w:r>
      <w:r w:rsidR="003919D0" w:rsidRPr="00A73604">
        <w:rPr>
          <w:rFonts w:ascii="Times New Roman" w:hAnsi="Times New Roman" w:cs="Times New Roman"/>
          <w:color w:val="000000"/>
          <w:kern w:val="0"/>
          <w:sz w:val="16"/>
          <w:szCs w:val="16"/>
          <w14:ligatures w14:val="none"/>
        </w:rPr>
        <w:t xml:space="preserve">industry </w:t>
      </w:r>
    </w:p>
    <w:p w14:paraId="7EAF850B" w14:textId="77777777" w:rsidR="00B0041A" w:rsidRPr="00A73604" w:rsidRDefault="00B0041A" w:rsidP="00E329DE">
      <w:pPr>
        <w:spacing w:after="0" w:line="240" w:lineRule="auto"/>
        <w:rPr>
          <w:rFonts w:ascii="Times New Roman" w:hAnsi="Times New Roman" w:cs="Times New Roman"/>
          <w:color w:val="000000"/>
          <w:kern w:val="0"/>
          <w:sz w:val="16"/>
          <w:szCs w:val="16"/>
          <w14:ligatures w14:val="none"/>
        </w:rPr>
      </w:pPr>
    </w:p>
    <w:p w14:paraId="62C65FD0" w14:textId="77777777" w:rsidR="00B0041A" w:rsidRPr="00A73604" w:rsidRDefault="00B0041A" w:rsidP="00E329DE">
      <w:pPr>
        <w:spacing w:after="0" w:line="240" w:lineRule="auto"/>
        <w:rPr>
          <w:rFonts w:ascii="Times New Roman" w:hAnsi="Times New Roman" w:cs="Times New Roman"/>
          <w:color w:val="000000"/>
          <w:kern w:val="0"/>
          <w:sz w:val="16"/>
          <w:szCs w:val="16"/>
          <w14:ligatures w14:val="none"/>
        </w:rPr>
      </w:pPr>
    </w:p>
    <w:p w14:paraId="25358F16" w14:textId="1C61C69B" w:rsidR="00A90799" w:rsidRPr="00A73604" w:rsidRDefault="00967E83" w:rsidP="00E329DE">
      <w:pPr>
        <w:spacing w:after="0" w:line="240" w:lineRule="auto"/>
        <w:rPr>
          <w:rFonts w:ascii="Times New Roman" w:hAnsi="Times New Roman" w:cs="Times New Roman"/>
          <w:color w:val="000000"/>
          <w:kern w:val="0"/>
          <w:sz w:val="16"/>
          <w:szCs w:val="16"/>
          <w14:ligatures w14:val="none"/>
        </w:rPr>
      </w:pPr>
      <w:r>
        <w:rPr>
          <w:rFonts w:ascii="Times New Roman" w:hAnsi="Times New Roman" w:cs="Times New Roman"/>
          <w:color w:val="000000"/>
          <w:kern w:val="0"/>
          <w:sz w:val="16"/>
          <w:szCs w:val="16"/>
          <w14:ligatures w14:val="none"/>
        </w:rPr>
        <w:t>Intoduction</w:t>
      </w:r>
    </w:p>
    <w:p w14:paraId="456834BC" w14:textId="77777777" w:rsidR="00A90799" w:rsidRPr="00A73604" w:rsidRDefault="00A90799" w:rsidP="00E329DE">
      <w:pPr>
        <w:spacing w:after="0" w:line="240" w:lineRule="auto"/>
        <w:rPr>
          <w:rFonts w:ascii="Times New Roman" w:hAnsi="Times New Roman" w:cs="Times New Roman"/>
          <w:color w:val="000000"/>
          <w:kern w:val="0"/>
          <w:sz w:val="16"/>
          <w:szCs w:val="16"/>
          <w14:ligatures w14:val="none"/>
        </w:rPr>
      </w:pPr>
    </w:p>
    <w:p w14:paraId="18171F7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Glastonbury is a small town located in Somerset, United Kingdom, which has achieved global recognition due to its association with the Glastonbury Festival. The festival is widely regarded as one of the largest and most influential music and arts events in the world, attracting over 200,000 visitors annually (BBC, 2023). Attendees travel from across the UK and internationally, using multiple transport modes including rail, coach, bus, and private vehicles, often originating from major urban centres such as London, Bristol, and Bath.</w:t>
      </w:r>
    </w:p>
    <w:p w14:paraId="4A1FE10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40831CA"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The purpose of this report is to critically evaluate the Glastonbury Festival and its impacts on the host destination. The report applies academic theory and empirical research to examine visitor behaviour, transport accessibility, and target markets. It further analyses the short-term and long-term economic, social, cultural, environmental, and political impacts of the festival. Finally, evidence-based recommendations are proposed to enhance sustainability, manage </w:t>
      </w:r>
      <w:proofErr w:type="spellStart"/>
      <w:r w:rsidRPr="00A73604">
        <w:rPr>
          <w:rFonts w:ascii="Times New Roman" w:hAnsi="Times New Roman" w:cs="Times New Roman"/>
          <w:color w:val="000000"/>
          <w:kern w:val="0"/>
          <w:sz w:val="16"/>
          <w:szCs w:val="16"/>
          <w14:ligatures w14:val="none"/>
        </w:rPr>
        <w:t>overtourism</w:t>
      </w:r>
      <w:proofErr w:type="spellEnd"/>
      <w:r w:rsidRPr="00A73604">
        <w:rPr>
          <w:rFonts w:ascii="Times New Roman" w:hAnsi="Times New Roman" w:cs="Times New Roman"/>
          <w:color w:val="000000"/>
          <w:kern w:val="0"/>
          <w:sz w:val="16"/>
          <w:szCs w:val="16"/>
          <w14:ligatures w14:val="none"/>
        </w:rPr>
        <w:t>, and ensure the long-term viability of the event and the host community.</w:t>
      </w:r>
    </w:p>
    <w:p w14:paraId="096AFC5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85F1C9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23D8091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1E2BC4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Event Overview and Strategic Significance</w:t>
      </w:r>
    </w:p>
    <w:p w14:paraId="625EF891"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072B2A8"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The Glastonbury Festival was established in 1970 on Worthy Farm as a small-scale countercultural music event. Over time, it has evolved into a globally recognised, multi-dimensional cultural festival incorporating music, visual arts, performance, activism, and community engagement (Glastonbury Festival, 2024). Its ability to attract internationally renowned artists alongside emerging performers has strengthened its cultural and commercial value.</w:t>
      </w:r>
    </w:p>
    <w:p w14:paraId="7B3CCB0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6455F8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From an event tourism perspective, Glastonbury can be defined as a hallmark event, meaning it is intrinsically linked to its destination and plays a central role in destination branding and identity formation (Getz, 2012). Unlike one-off mega-events, Glastonbury’s annual recurrence enables sustained economic and reputational benefits. However, its scale also generates long-term pressures on infrastructure, public services, and residents, highlighting the need for strategic governance and sustainable planning.</w:t>
      </w:r>
    </w:p>
    <w:p w14:paraId="0E6F6AE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3641E9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12F6736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3B6FE0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Industry Trend: </w:t>
      </w:r>
      <w:proofErr w:type="spellStart"/>
      <w:r w:rsidRPr="00A73604">
        <w:rPr>
          <w:rFonts w:ascii="Times New Roman" w:hAnsi="Times New Roman" w:cs="Times New Roman"/>
          <w:color w:val="000000"/>
          <w:kern w:val="0"/>
          <w:sz w:val="16"/>
          <w:szCs w:val="16"/>
          <w14:ligatures w14:val="none"/>
        </w:rPr>
        <w:t>Overtourism</w:t>
      </w:r>
      <w:proofErr w:type="spellEnd"/>
      <w:r w:rsidRPr="00A73604">
        <w:rPr>
          <w:rFonts w:ascii="Times New Roman" w:hAnsi="Times New Roman" w:cs="Times New Roman"/>
          <w:color w:val="000000"/>
          <w:kern w:val="0"/>
          <w:sz w:val="16"/>
          <w:szCs w:val="16"/>
          <w14:ligatures w14:val="none"/>
        </w:rPr>
        <w:t xml:space="preserve"> and Capacity Pressure</w:t>
      </w:r>
    </w:p>
    <w:p w14:paraId="6E3B4B4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3C481C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roofErr w:type="spellStart"/>
      <w:r w:rsidRPr="00A73604">
        <w:rPr>
          <w:rFonts w:ascii="Times New Roman" w:hAnsi="Times New Roman" w:cs="Times New Roman"/>
          <w:color w:val="000000"/>
          <w:kern w:val="0"/>
          <w:sz w:val="16"/>
          <w:szCs w:val="16"/>
          <w14:ligatures w14:val="none"/>
        </w:rPr>
        <w:t>Overtourism</w:t>
      </w:r>
      <w:proofErr w:type="spellEnd"/>
      <w:r w:rsidRPr="00A73604">
        <w:rPr>
          <w:rFonts w:ascii="Times New Roman" w:hAnsi="Times New Roman" w:cs="Times New Roman"/>
          <w:color w:val="000000"/>
          <w:kern w:val="0"/>
          <w:sz w:val="16"/>
          <w:szCs w:val="16"/>
          <w14:ligatures w14:val="none"/>
        </w:rPr>
        <w:t xml:space="preserve"> occurs when visitor numbers exceed a destination’s physical, environmental, or social carrying capacity, leading to reduced resident wellbeing and diminished visitor experience (UNWTO, 2018). During the Glastonbury Festival, the host destination experiences a temporary but extreme population surge, intensifying </w:t>
      </w:r>
      <w:proofErr w:type="spellStart"/>
      <w:r w:rsidRPr="00A73604">
        <w:rPr>
          <w:rFonts w:ascii="Times New Roman" w:hAnsi="Times New Roman" w:cs="Times New Roman"/>
          <w:color w:val="000000"/>
          <w:kern w:val="0"/>
          <w:sz w:val="16"/>
          <w:szCs w:val="16"/>
          <w14:ligatures w14:val="none"/>
        </w:rPr>
        <w:t>overtourism-related</w:t>
      </w:r>
      <w:proofErr w:type="spellEnd"/>
      <w:r w:rsidRPr="00A73604">
        <w:rPr>
          <w:rFonts w:ascii="Times New Roman" w:hAnsi="Times New Roman" w:cs="Times New Roman"/>
          <w:color w:val="000000"/>
          <w:kern w:val="0"/>
          <w:sz w:val="16"/>
          <w:szCs w:val="16"/>
          <w14:ligatures w14:val="none"/>
        </w:rPr>
        <w:t xml:space="preserve"> challenges.</w:t>
      </w:r>
    </w:p>
    <w:p w14:paraId="54B3304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94F887A"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These challenges include traffic congestion, overcrowded transport networks, noise pollution, environmental degradation, and pressure on emergency and public services. Research by </w:t>
      </w:r>
      <w:proofErr w:type="spellStart"/>
      <w:r w:rsidRPr="00A73604">
        <w:rPr>
          <w:rFonts w:ascii="Times New Roman" w:hAnsi="Times New Roman" w:cs="Times New Roman"/>
          <w:color w:val="000000"/>
          <w:kern w:val="0"/>
          <w:sz w:val="16"/>
          <w:szCs w:val="16"/>
          <w14:ligatures w14:val="none"/>
        </w:rPr>
        <w:t>Koens</w:t>
      </w:r>
      <w:proofErr w:type="spellEnd"/>
      <w:r w:rsidRPr="00A73604">
        <w:rPr>
          <w:rFonts w:ascii="Times New Roman" w:hAnsi="Times New Roman" w:cs="Times New Roman"/>
          <w:color w:val="000000"/>
          <w:kern w:val="0"/>
          <w:sz w:val="16"/>
          <w:szCs w:val="16"/>
          <w14:ligatures w14:val="none"/>
        </w:rPr>
        <w:t xml:space="preserve">, </w:t>
      </w:r>
      <w:proofErr w:type="spellStart"/>
      <w:r w:rsidRPr="00A73604">
        <w:rPr>
          <w:rFonts w:ascii="Times New Roman" w:hAnsi="Times New Roman" w:cs="Times New Roman"/>
          <w:color w:val="000000"/>
          <w:kern w:val="0"/>
          <w:sz w:val="16"/>
          <w:szCs w:val="16"/>
          <w14:ligatures w14:val="none"/>
        </w:rPr>
        <w:t>Postma</w:t>
      </w:r>
      <w:proofErr w:type="spellEnd"/>
      <w:r w:rsidRPr="00A73604">
        <w:rPr>
          <w:rFonts w:ascii="Times New Roman" w:hAnsi="Times New Roman" w:cs="Times New Roman"/>
          <w:color w:val="000000"/>
          <w:kern w:val="0"/>
          <w:sz w:val="16"/>
          <w:szCs w:val="16"/>
          <w14:ligatures w14:val="none"/>
        </w:rPr>
        <w:t xml:space="preserve">, and Papp (2018) suggests that destinations experiencing unmanaged </w:t>
      </w:r>
      <w:proofErr w:type="spellStart"/>
      <w:r w:rsidRPr="00A73604">
        <w:rPr>
          <w:rFonts w:ascii="Times New Roman" w:hAnsi="Times New Roman" w:cs="Times New Roman"/>
          <w:color w:val="000000"/>
          <w:kern w:val="0"/>
          <w:sz w:val="16"/>
          <w:szCs w:val="16"/>
          <w14:ligatures w14:val="none"/>
        </w:rPr>
        <w:t>overtourism</w:t>
      </w:r>
      <w:proofErr w:type="spellEnd"/>
      <w:r w:rsidRPr="00A73604">
        <w:rPr>
          <w:rFonts w:ascii="Times New Roman" w:hAnsi="Times New Roman" w:cs="Times New Roman"/>
          <w:color w:val="000000"/>
          <w:kern w:val="0"/>
          <w:sz w:val="16"/>
          <w:szCs w:val="16"/>
          <w14:ligatures w14:val="none"/>
        </w:rPr>
        <w:t xml:space="preserve"> often face declining resident support, which can threaten event legitimacy. Comparatively, similar issues have been identified at the Edinburgh Fringe Festival, where visitor overcrowding has led to increasing resident opposition (Maitland, 2016). This comparison highlights the importance of proactive visitor management strategies rather than reactive responses.</w:t>
      </w:r>
    </w:p>
    <w:p w14:paraId="7B33A01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069252A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367A7E1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444A1A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Aims and Objectives of the Event</w:t>
      </w:r>
    </w:p>
    <w:p w14:paraId="27FB822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6BDDCC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The primary aim of the Glastonbury Festival is to celebrate music, arts, and cultural diversity while fostering an inclusive and peaceful environment. In addition, the festival aims to generate economic value for the local and regional economy and support charitable initiatives.</w:t>
      </w:r>
    </w:p>
    <w:p w14:paraId="6CCA9AD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3A4573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Its objectives extend beyond entertainment. These include ensuring high standards of visitor safety through comprehensive security systems, crowd management, and medical provision. Supporting local employment and supply chains is another core objective, achieved through temporary employment opportunities and partnerships with local businesses. Environmental sustainability is embedded within the festival’s strategic objectives, aligning with sustainable event management frameworks proposed by Getz and Page (2016). This multi-objective approach reflects a shift from profit-focused event planning towards long-term destination stewardship.</w:t>
      </w:r>
    </w:p>
    <w:p w14:paraId="42B2E31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3BE20A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0FF85F5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66E8C4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Short-Term Impacts</w:t>
      </w:r>
    </w:p>
    <w:p w14:paraId="1A0893C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61A092A"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Economic Impacts</w:t>
      </w:r>
    </w:p>
    <w:p w14:paraId="3FDE823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636A91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In the short term, the Glastonbury Festival generates substantial economic activity for the local and regional economy. Accommodation providers, food vendors, transport operators, and retailers experience increased demand during the festival period. UK Music (2022) estimates that large-scale music festivals contribute hundreds of millions of pounds annually to local economies across the UK. However, these benefits are unevenly distributed, with smaller local businesses sometimes facing increased costs and operational pressures, indicating a need for more inclusive economic planning.</w:t>
      </w:r>
    </w:p>
    <w:p w14:paraId="0A02804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D00B76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Social Impacts</w:t>
      </w:r>
    </w:p>
    <w:p w14:paraId="3F87E0E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ACCB20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Socially, the festival facilitates social interaction, collective experiences, and cultural exchange among attendees. For many residents, the event generates pride and global recognition. However, noise disturbance, congestion, and restricted mobility during the festival period can negatively affect quality of life. Social Exchange Theory suggests that residents’ support for tourism depends on a favourable balance between perceived benefits and costs (Ap, 1992), indicating that long-term acceptance cannot be assumed.</w:t>
      </w:r>
    </w:p>
    <w:p w14:paraId="79D6666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12419B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Cultural Impacts</w:t>
      </w:r>
    </w:p>
    <w:p w14:paraId="50FAA10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A012BF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Culturally, the festival enhances creative expression and artistic diversity. It provides platforms for emerging artists and encourages intercultural dialogue. These impacts contribute to the cultural capital of the destination and reinforce Glastonbury’s creative identity.</w:t>
      </w:r>
    </w:p>
    <w:p w14:paraId="5A007E11"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FF13C1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Environmental Impacts</w:t>
      </w:r>
    </w:p>
    <w:p w14:paraId="449C6B5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FCDFE8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Short-term environmental impacts include waste generation, soil compaction, and increased carbon emissions from transport. Mair and </w:t>
      </w:r>
      <w:proofErr w:type="spellStart"/>
      <w:r w:rsidRPr="00A73604">
        <w:rPr>
          <w:rFonts w:ascii="Times New Roman" w:hAnsi="Times New Roman" w:cs="Times New Roman"/>
          <w:color w:val="000000"/>
          <w:kern w:val="0"/>
          <w:sz w:val="16"/>
          <w:szCs w:val="16"/>
          <w14:ligatures w14:val="none"/>
        </w:rPr>
        <w:t>Jago</w:t>
      </w:r>
      <w:proofErr w:type="spellEnd"/>
      <w:r w:rsidRPr="00A73604">
        <w:rPr>
          <w:rFonts w:ascii="Times New Roman" w:hAnsi="Times New Roman" w:cs="Times New Roman"/>
          <w:color w:val="000000"/>
          <w:kern w:val="0"/>
          <w:sz w:val="16"/>
          <w:szCs w:val="16"/>
          <w14:ligatures w14:val="none"/>
        </w:rPr>
        <w:t xml:space="preserve"> (2010) argue that without effective mitigation, festivals of this scale can cause significant environmental harm.</w:t>
      </w:r>
    </w:p>
    <w:p w14:paraId="5CA9934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083BA4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Political Impacts</w:t>
      </w:r>
    </w:p>
    <w:p w14:paraId="088ED59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AA4F5E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The festival necessitates extensive collaboration between event organisers, local authorities, and emergency services. Temporary policy measures related to transport, licensing, and safety demonstrate the political dimension of event management.</w:t>
      </w:r>
    </w:p>
    <w:p w14:paraId="557B201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F8A3B5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25143D0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476BC2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Long-Term Impacts</w:t>
      </w:r>
    </w:p>
    <w:p w14:paraId="2A1D8A0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A45D2B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The long-term impacts of the Glastonbury Festival extend beyond the event period, shaping economic development, social relations, cultural identity, environmental sustainability, and governance structures.</w:t>
      </w:r>
    </w:p>
    <w:p w14:paraId="73B08C1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6FB4C9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Economically, the festival strengthens Glastonbury’s international profile and supports year-round tourism. However, increased visitor demand has contributed to rising housing costs and the expansion of short-term rentals, raising concerns around affordability and displacement. Similar trends observed in cities hosting recurring festivals, such as Edinburgh, suggest that economic success can exacerbate social inequality if not carefully managed (Maitland, 2016).</w:t>
      </w:r>
    </w:p>
    <w:p w14:paraId="01B6D91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EB1ECD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Socially, the festival fosters community pride and destination identity. Nevertheless, repeated disruption and crowding may erode resident tolerance over time. According to Ap (1992), declining perceived benefits can reduce resident support, posing risks to long-term social sustainability.</w:t>
      </w:r>
    </w:p>
    <w:p w14:paraId="6AD8C10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871820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Culturally, the festival plays a crucial role in sustaining music and arts traditions while promoting innovation. However, increasing commercialisation may threaten authenticity, creating tension between cultural integrity and financial sustainability (Getz, 2012).</w:t>
      </w:r>
    </w:p>
    <w:p w14:paraId="5597379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253B7F68"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Environmentally, repeated use of agricultural land can weaken soil and ecosystems. While Glastonbury has introduced advanced sustainability initiatives such as renewable energy systems and plastic bans, their effectiveness depends on long-term behavioural change and continuous monitoring.</w:t>
      </w:r>
    </w:p>
    <w:p w14:paraId="7693886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4E5C10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Politically, the festival influences long-term planning decisions and governance structures, requiring ongoing collaboration between private organisers and public institutions.</w:t>
      </w:r>
    </w:p>
    <w:p w14:paraId="4D2ACD95"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E1DB52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54BA915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465EB01"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Transport Accessibility and Travel Management</w:t>
      </w:r>
    </w:p>
    <w:p w14:paraId="24F554A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2BCD1C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Glastonbury lacks a direct railway station, with Castle Cary and Bristol Temple Meads serving as key access points. Shuttle buses and coach services are heavily promoted to reduce car dependency. Dickinson and Robbins (2008) argue that integrated transport planning is essential for managing congestion and reducing environmental impacts at large events. While Glastonbury has made significant progress in this area, continued investment is required to further reduce private vehicle use.</w:t>
      </w:r>
    </w:p>
    <w:p w14:paraId="50C95E1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82C8B0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3FDE551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F746E5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Target Markets and Visitor Profile</w:t>
      </w:r>
    </w:p>
    <w:p w14:paraId="40B9BE8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0CFCA8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The festival attracts a diverse visitor base, including young adults seeking music-based experiences, families engaging with cultural activities, older visitors attending specific performances, and international tourists drawn by the festival’s global reputation. This diversity enhances destination branding but increases complexity in visitor management and service provision.</w:t>
      </w:r>
    </w:p>
    <w:p w14:paraId="2E98F2A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CA1120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0A3DAD4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B2E2821"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Visitor Behaviour and Tourist Typologies</w:t>
      </w:r>
    </w:p>
    <w:p w14:paraId="34C66CE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3B4DB25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Cohen’s (1972) tourist typology identifies Organised Mass Tourists, Individual Mass Tourists, Explorers, and Drifters. Glastonbury attracts all four types, from highly structured visitors to those seeking immersive and independent experiences.</w:t>
      </w:r>
    </w:p>
    <w:p w14:paraId="2EC073B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282372A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roofErr w:type="spellStart"/>
      <w:r w:rsidRPr="00A73604">
        <w:rPr>
          <w:rFonts w:ascii="Times New Roman" w:hAnsi="Times New Roman" w:cs="Times New Roman"/>
          <w:color w:val="000000"/>
          <w:kern w:val="0"/>
          <w:sz w:val="16"/>
          <w:szCs w:val="16"/>
          <w14:ligatures w14:val="none"/>
        </w:rPr>
        <w:t>Plog’s</w:t>
      </w:r>
      <w:proofErr w:type="spellEnd"/>
      <w:r w:rsidRPr="00A73604">
        <w:rPr>
          <w:rFonts w:ascii="Times New Roman" w:hAnsi="Times New Roman" w:cs="Times New Roman"/>
          <w:color w:val="000000"/>
          <w:kern w:val="0"/>
          <w:sz w:val="16"/>
          <w:szCs w:val="16"/>
          <w14:ligatures w14:val="none"/>
        </w:rPr>
        <w:t xml:space="preserve"> psychographic model further categorises visitors as </w:t>
      </w:r>
      <w:proofErr w:type="spellStart"/>
      <w:r w:rsidRPr="00A73604">
        <w:rPr>
          <w:rFonts w:ascii="Times New Roman" w:hAnsi="Times New Roman" w:cs="Times New Roman"/>
          <w:color w:val="000000"/>
          <w:kern w:val="0"/>
          <w:sz w:val="16"/>
          <w:szCs w:val="16"/>
          <w14:ligatures w14:val="none"/>
        </w:rPr>
        <w:t>psychocentric</w:t>
      </w:r>
      <w:proofErr w:type="spellEnd"/>
      <w:r w:rsidRPr="00A73604">
        <w:rPr>
          <w:rFonts w:ascii="Times New Roman" w:hAnsi="Times New Roman" w:cs="Times New Roman"/>
          <w:color w:val="000000"/>
          <w:kern w:val="0"/>
          <w:sz w:val="16"/>
          <w:szCs w:val="16"/>
          <w14:ligatures w14:val="none"/>
        </w:rPr>
        <w:t xml:space="preserve">, mid-centric, or </w:t>
      </w:r>
      <w:proofErr w:type="spellStart"/>
      <w:r w:rsidRPr="00A73604">
        <w:rPr>
          <w:rFonts w:ascii="Times New Roman" w:hAnsi="Times New Roman" w:cs="Times New Roman"/>
          <w:color w:val="000000"/>
          <w:kern w:val="0"/>
          <w:sz w:val="16"/>
          <w:szCs w:val="16"/>
          <w14:ligatures w14:val="none"/>
        </w:rPr>
        <w:t>allocentric</w:t>
      </w:r>
      <w:proofErr w:type="spellEnd"/>
      <w:r w:rsidRPr="00A73604">
        <w:rPr>
          <w:rFonts w:ascii="Times New Roman" w:hAnsi="Times New Roman" w:cs="Times New Roman"/>
          <w:color w:val="000000"/>
          <w:kern w:val="0"/>
          <w:sz w:val="16"/>
          <w:szCs w:val="16"/>
          <w14:ligatures w14:val="none"/>
        </w:rPr>
        <w:t xml:space="preserve"> (</w:t>
      </w:r>
      <w:proofErr w:type="spellStart"/>
      <w:r w:rsidRPr="00A73604">
        <w:rPr>
          <w:rFonts w:ascii="Times New Roman" w:hAnsi="Times New Roman" w:cs="Times New Roman"/>
          <w:color w:val="000000"/>
          <w:kern w:val="0"/>
          <w:sz w:val="16"/>
          <w:szCs w:val="16"/>
          <w14:ligatures w14:val="none"/>
        </w:rPr>
        <w:t>Plog</w:t>
      </w:r>
      <w:proofErr w:type="spellEnd"/>
      <w:r w:rsidRPr="00A73604">
        <w:rPr>
          <w:rFonts w:ascii="Times New Roman" w:hAnsi="Times New Roman" w:cs="Times New Roman"/>
          <w:color w:val="000000"/>
          <w:kern w:val="0"/>
          <w:sz w:val="16"/>
          <w:szCs w:val="16"/>
          <w14:ligatures w14:val="none"/>
        </w:rPr>
        <w:t>, 2001). The majority of Glastonbury attendees can be classified as mid-centric, seeking a balance between comfort and novelty. Applying these models enables organisers to design targeted services and manage visitor expectations more effectively.</w:t>
      </w:r>
    </w:p>
    <w:p w14:paraId="72F2DF6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A70CDE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0498EBC5"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999A2E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Visitor Motivation: Maslow’s Hierarchy of Needs</w:t>
      </w:r>
    </w:p>
    <w:p w14:paraId="160B7CE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1C406B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Maslow’s hierarchy of needs provides a useful framework for understanding visitor motivation. Physiological and safety needs are met through food provision, shelter, security, and medical services. Social needs are fulfilled through shared experiences, while esteem and self-actualisation are achieved through creative expression, identity formation, and emotional engagement with music and culture.</w:t>
      </w:r>
    </w:p>
    <w:p w14:paraId="6843191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126431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63E800D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6747F1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Current Trends in Event Tourism</w:t>
      </w:r>
    </w:p>
    <w:p w14:paraId="4E3C401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872942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Sustainability is a dominant trend in contemporary event tourism, with increasing emphasis on renewable energy, waste reduction, and ethical consumption. Hybrid and virtual event formats have also expanded since COVID-19, extending global reach. Additionally, large-scale events contribute to destination development through infrastructure investment and skills development (Getz &amp; Page, 2016).</w:t>
      </w:r>
    </w:p>
    <w:p w14:paraId="5EAB97E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7EF680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3677096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0FB13A25"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Conclusion</w:t>
      </w:r>
    </w:p>
    <w:p w14:paraId="1D1062FA"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8B1D9E1"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In conclusion, the Glastonbury Festival represents a globally significant event with profound impacts on its host destination. While it delivers substantial economic, cultural, and reputational benefits, it also generates challenges associated with </w:t>
      </w:r>
      <w:proofErr w:type="spellStart"/>
      <w:r w:rsidRPr="00A73604">
        <w:rPr>
          <w:rFonts w:ascii="Times New Roman" w:hAnsi="Times New Roman" w:cs="Times New Roman"/>
          <w:color w:val="000000"/>
          <w:kern w:val="0"/>
          <w:sz w:val="16"/>
          <w:szCs w:val="16"/>
          <w14:ligatures w14:val="none"/>
        </w:rPr>
        <w:t>overtourism</w:t>
      </w:r>
      <w:proofErr w:type="spellEnd"/>
      <w:r w:rsidRPr="00A73604">
        <w:rPr>
          <w:rFonts w:ascii="Times New Roman" w:hAnsi="Times New Roman" w:cs="Times New Roman"/>
          <w:color w:val="000000"/>
          <w:kern w:val="0"/>
          <w:sz w:val="16"/>
          <w:szCs w:val="16"/>
          <w14:ligatures w14:val="none"/>
        </w:rPr>
        <w:t>, environmental pressure, and resident wellbeing. By applying tourism theory and empirical research, this report demonstrates that long-term sustainability depends on effective governance, community engagement, and evidence-based planning. With continued strategic management, the festival can remain both economically successful and socially responsible.</w:t>
      </w:r>
    </w:p>
    <w:p w14:paraId="7A004408"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73EE90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437FAB8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3E54EF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Recommendations</w:t>
      </w:r>
    </w:p>
    <w:p w14:paraId="5F130E2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b/>
        <w:t>•</w:t>
      </w:r>
      <w:r w:rsidRPr="00A73604">
        <w:rPr>
          <w:rFonts w:ascii="Times New Roman" w:hAnsi="Times New Roman" w:cs="Times New Roman"/>
          <w:color w:val="000000"/>
          <w:kern w:val="0"/>
          <w:sz w:val="16"/>
          <w:szCs w:val="16"/>
          <w14:ligatures w14:val="none"/>
        </w:rPr>
        <w:tab/>
        <w:t>Government authorities should expand public transport capacity and strengthen resident protection measures.</w:t>
      </w:r>
    </w:p>
    <w:p w14:paraId="7913DA3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b/>
        <w:t>•</w:t>
      </w:r>
      <w:r w:rsidRPr="00A73604">
        <w:rPr>
          <w:rFonts w:ascii="Times New Roman" w:hAnsi="Times New Roman" w:cs="Times New Roman"/>
          <w:color w:val="000000"/>
          <w:kern w:val="0"/>
          <w:sz w:val="16"/>
          <w:szCs w:val="16"/>
          <w14:ligatures w14:val="none"/>
        </w:rPr>
        <w:tab/>
        <w:t>Event organisers should continue investing in environmental innovation and crowd management systems.</w:t>
      </w:r>
    </w:p>
    <w:p w14:paraId="09A86D1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b/>
        <w:t>•</w:t>
      </w:r>
      <w:r w:rsidRPr="00A73604">
        <w:rPr>
          <w:rFonts w:ascii="Times New Roman" w:hAnsi="Times New Roman" w:cs="Times New Roman"/>
          <w:color w:val="000000"/>
          <w:kern w:val="0"/>
          <w:sz w:val="16"/>
          <w:szCs w:val="16"/>
          <w14:ligatures w14:val="none"/>
        </w:rPr>
        <w:tab/>
        <w:t>Local businesses should adopt sustainable practices and transparent pricing.</w:t>
      </w:r>
    </w:p>
    <w:p w14:paraId="1D6CF84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b/>
        <w:t>•</w:t>
      </w:r>
      <w:r w:rsidRPr="00A73604">
        <w:rPr>
          <w:rFonts w:ascii="Times New Roman" w:hAnsi="Times New Roman" w:cs="Times New Roman"/>
          <w:color w:val="000000"/>
          <w:kern w:val="0"/>
          <w:sz w:val="16"/>
          <w:szCs w:val="16"/>
          <w14:ligatures w14:val="none"/>
        </w:rPr>
        <w:tab/>
        <w:t>Community stakeholders should be actively involved in decision-making processes.</w:t>
      </w:r>
    </w:p>
    <w:p w14:paraId="787D59C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b/>
        <w:t>•</w:t>
      </w:r>
      <w:r w:rsidRPr="00A73604">
        <w:rPr>
          <w:rFonts w:ascii="Times New Roman" w:hAnsi="Times New Roman" w:cs="Times New Roman"/>
          <w:color w:val="000000"/>
          <w:kern w:val="0"/>
          <w:sz w:val="16"/>
          <w:szCs w:val="16"/>
          <w14:ligatures w14:val="none"/>
        </w:rPr>
        <w:tab/>
        <w:t>Visitors should be encouraged to use low-impact transport and comply with sustainability policies.</w:t>
      </w:r>
    </w:p>
    <w:p w14:paraId="7BE980DA"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b/>
        <w:t>•</w:t>
      </w:r>
      <w:r w:rsidRPr="00A73604">
        <w:rPr>
          <w:rFonts w:ascii="Times New Roman" w:hAnsi="Times New Roman" w:cs="Times New Roman"/>
          <w:color w:val="000000"/>
          <w:kern w:val="0"/>
          <w:sz w:val="16"/>
          <w:szCs w:val="16"/>
          <w14:ligatures w14:val="none"/>
        </w:rPr>
        <w:tab/>
        <w:t>Tourism boards should promote off-season tourism to reduce peak pressure.</w:t>
      </w:r>
    </w:p>
    <w:p w14:paraId="48012481"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6EE245B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w:t>
      </w:r>
    </w:p>
    <w:p w14:paraId="7998BFE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74065BD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Harvard Reference List</w:t>
      </w:r>
    </w:p>
    <w:p w14:paraId="32FDB14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987B65B"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Ap, J. (1992) ‘Residents’ perceptions on tourism impacts’, Annals of Tourism Research, 19(4), pp. 665–690.</w:t>
      </w:r>
    </w:p>
    <w:p w14:paraId="766BA3A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A728C19"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BBC (2023) Glastonbury Festival: Economic and cultural impact. London: BBC News.</w:t>
      </w:r>
    </w:p>
    <w:p w14:paraId="37755EBE"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2CC079B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Cohen, E. (1972) ‘Toward a sociology of international tourism’, Social Research, 39(1), pp. 164–182.</w:t>
      </w:r>
    </w:p>
    <w:p w14:paraId="6F092688"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D182831"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Dickinson, J. and Robbins, D. (2008) Representations of tourism transport problems. Journal of Transport Geography, 16(5), pp. 337–347.</w:t>
      </w:r>
    </w:p>
    <w:p w14:paraId="32CAB226"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2521272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Getz, D. (2012) Event Studies: Theory, Research and Policy for Planned Events. 2nd </w:t>
      </w:r>
      <w:proofErr w:type="spellStart"/>
      <w:r w:rsidRPr="00A73604">
        <w:rPr>
          <w:rFonts w:ascii="Times New Roman" w:hAnsi="Times New Roman" w:cs="Times New Roman"/>
          <w:color w:val="000000"/>
          <w:kern w:val="0"/>
          <w:sz w:val="16"/>
          <w:szCs w:val="16"/>
          <w14:ligatures w14:val="none"/>
        </w:rPr>
        <w:t>edn</w:t>
      </w:r>
      <w:proofErr w:type="spellEnd"/>
      <w:r w:rsidRPr="00A73604">
        <w:rPr>
          <w:rFonts w:ascii="Times New Roman" w:hAnsi="Times New Roman" w:cs="Times New Roman"/>
          <w:color w:val="000000"/>
          <w:kern w:val="0"/>
          <w:sz w:val="16"/>
          <w:szCs w:val="16"/>
          <w14:ligatures w14:val="none"/>
        </w:rPr>
        <w:t xml:space="preserve">. London: </w:t>
      </w:r>
      <w:proofErr w:type="spellStart"/>
      <w:r w:rsidRPr="00A73604">
        <w:rPr>
          <w:rFonts w:ascii="Times New Roman" w:hAnsi="Times New Roman" w:cs="Times New Roman"/>
          <w:color w:val="000000"/>
          <w:kern w:val="0"/>
          <w:sz w:val="16"/>
          <w:szCs w:val="16"/>
          <w14:ligatures w14:val="none"/>
        </w:rPr>
        <w:t>Routledge</w:t>
      </w:r>
      <w:proofErr w:type="spellEnd"/>
      <w:r w:rsidRPr="00A73604">
        <w:rPr>
          <w:rFonts w:ascii="Times New Roman" w:hAnsi="Times New Roman" w:cs="Times New Roman"/>
          <w:color w:val="000000"/>
          <w:kern w:val="0"/>
          <w:sz w:val="16"/>
          <w:szCs w:val="16"/>
          <w14:ligatures w14:val="none"/>
        </w:rPr>
        <w:t>.</w:t>
      </w:r>
    </w:p>
    <w:p w14:paraId="03E9059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D87A78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Getz, D. and Page, S. (2016) ‘Progress and prospects for event tourism research’, Tourism Management, 52, pp. 593–631.</w:t>
      </w:r>
    </w:p>
    <w:p w14:paraId="7832B8B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CE41F3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Glastonbury Festival (2024) Sustainability and festival overview. Somerset: Glastonbury Festival Ltd.</w:t>
      </w:r>
    </w:p>
    <w:p w14:paraId="668D59D0"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7BB778C"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roofErr w:type="spellStart"/>
      <w:r w:rsidRPr="00A73604">
        <w:rPr>
          <w:rFonts w:ascii="Times New Roman" w:hAnsi="Times New Roman" w:cs="Times New Roman"/>
          <w:color w:val="000000"/>
          <w:kern w:val="0"/>
          <w:sz w:val="16"/>
          <w:szCs w:val="16"/>
          <w14:ligatures w14:val="none"/>
        </w:rPr>
        <w:t>Koens</w:t>
      </w:r>
      <w:proofErr w:type="spellEnd"/>
      <w:r w:rsidRPr="00A73604">
        <w:rPr>
          <w:rFonts w:ascii="Times New Roman" w:hAnsi="Times New Roman" w:cs="Times New Roman"/>
          <w:color w:val="000000"/>
          <w:kern w:val="0"/>
          <w:sz w:val="16"/>
          <w:szCs w:val="16"/>
          <w14:ligatures w14:val="none"/>
        </w:rPr>
        <w:t xml:space="preserve">, K., </w:t>
      </w:r>
      <w:proofErr w:type="spellStart"/>
      <w:r w:rsidRPr="00A73604">
        <w:rPr>
          <w:rFonts w:ascii="Times New Roman" w:hAnsi="Times New Roman" w:cs="Times New Roman"/>
          <w:color w:val="000000"/>
          <w:kern w:val="0"/>
          <w:sz w:val="16"/>
          <w:szCs w:val="16"/>
          <w14:ligatures w14:val="none"/>
        </w:rPr>
        <w:t>Postma</w:t>
      </w:r>
      <w:proofErr w:type="spellEnd"/>
      <w:r w:rsidRPr="00A73604">
        <w:rPr>
          <w:rFonts w:ascii="Times New Roman" w:hAnsi="Times New Roman" w:cs="Times New Roman"/>
          <w:color w:val="000000"/>
          <w:kern w:val="0"/>
          <w:sz w:val="16"/>
          <w:szCs w:val="16"/>
          <w14:ligatures w14:val="none"/>
        </w:rPr>
        <w:t xml:space="preserve">, A. and Papp, B. (2018) ‘Is </w:t>
      </w:r>
      <w:proofErr w:type="spellStart"/>
      <w:r w:rsidRPr="00A73604">
        <w:rPr>
          <w:rFonts w:ascii="Times New Roman" w:hAnsi="Times New Roman" w:cs="Times New Roman"/>
          <w:color w:val="000000"/>
          <w:kern w:val="0"/>
          <w:sz w:val="16"/>
          <w:szCs w:val="16"/>
          <w14:ligatures w14:val="none"/>
        </w:rPr>
        <w:t>overtourism</w:t>
      </w:r>
      <w:proofErr w:type="spellEnd"/>
      <w:r w:rsidRPr="00A73604">
        <w:rPr>
          <w:rFonts w:ascii="Times New Roman" w:hAnsi="Times New Roman" w:cs="Times New Roman"/>
          <w:color w:val="000000"/>
          <w:kern w:val="0"/>
          <w:sz w:val="16"/>
          <w:szCs w:val="16"/>
          <w14:ligatures w14:val="none"/>
        </w:rPr>
        <w:t xml:space="preserve"> overused?’, Journal of Sustainable Tourism, 26(12), pp. 1–15.</w:t>
      </w:r>
    </w:p>
    <w:p w14:paraId="4DE620C8"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0847A3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 xml:space="preserve">Mair, J. and </w:t>
      </w:r>
      <w:proofErr w:type="spellStart"/>
      <w:r w:rsidRPr="00A73604">
        <w:rPr>
          <w:rFonts w:ascii="Times New Roman" w:hAnsi="Times New Roman" w:cs="Times New Roman"/>
          <w:color w:val="000000"/>
          <w:kern w:val="0"/>
          <w:sz w:val="16"/>
          <w:szCs w:val="16"/>
          <w14:ligatures w14:val="none"/>
        </w:rPr>
        <w:t>Jago</w:t>
      </w:r>
      <w:proofErr w:type="spellEnd"/>
      <w:r w:rsidRPr="00A73604">
        <w:rPr>
          <w:rFonts w:ascii="Times New Roman" w:hAnsi="Times New Roman" w:cs="Times New Roman"/>
          <w:color w:val="000000"/>
          <w:kern w:val="0"/>
          <w:sz w:val="16"/>
          <w:szCs w:val="16"/>
          <w14:ligatures w14:val="none"/>
        </w:rPr>
        <w:t>, L. (2010) ‘The development of a conceptual model of greening in the business events tourism sector’, Journal of Sustainable Tourism, 18(1), pp. 77–94.</w:t>
      </w:r>
    </w:p>
    <w:p w14:paraId="4551567D"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5C6FD053"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Maitland, R. (2016) ‘Tourism, housing and the resident experience’, Tourism Planning &amp; Development, 13(2), pp. 1–15.</w:t>
      </w:r>
    </w:p>
    <w:p w14:paraId="4897F4F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089D8864"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roofErr w:type="spellStart"/>
      <w:r w:rsidRPr="00A73604">
        <w:rPr>
          <w:rFonts w:ascii="Times New Roman" w:hAnsi="Times New Roman" w:cs="Times New Roman"/>
          <w:color w:val="000000"/>
          <w:kern w:val="0"/>
          <w:sz w:val="16"/>
          <w:szCs w:val="16"/>
          <w14:ligatures w14:val="none"/>
        </w:rPr>
        <w:t>Plog</w:t>
      </w:r>
      <w:proofErr w:type="spellEnd"/>
      <w:r w:rsidRPr="00A73604">
        <w:rPr>
          <w:rFonts w:ascii="Times New Roman" w:hAnsi="Times New Roman" w:cs="Times New Roman"/>
          <w:color w:val="000000"/>
          <w:kern w:val="0"/>
          <w:sz w:val="16"/>
          <w:szCs w:val="16"/>
          <w14:ligatures w14:val="none"/>
        </w:rPr>
        <w:t>, S. (2001) ‘Why destination areas rise and fall in popularity’, Cornell Hotel and Restaurant Administration Quarterly, 42(3), pp. 13–24.</w:t>
      </w:r>
    </w:p>
    <w:p w14:paraId="1E8623F2"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1B1DB68F"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UK Music (2022) Music by Numbers: Economic Impact Report. London: UK Music.</w:t>
      </w:r>
    </w:p>
    <w:p w14:paraId="5DF155E7" w14:textId="77777777" w:rsidR="00823A01" w:rsidRPr="00A73604" w:rsidRDefault="00823A01" w:rsidP="00823A01">
      <w:pPr>
        <w:spacing w:after="0" w:line="240" w:lineRule="auto"/>
        <w:rPr>
          <w:rFonts w:ascii="Times New Roman" w:hAnsi="Times New Roman" w:cs="Times New Roman"/>
          <w:color w:val="000000"/>
          <w:kern w:val="0"/>
          <w:sz w:val="16"/>
          <w:szCs w:val="16"/>
          <w14:ligatures w14:val="none"/>
        </w:rPr>
      </w:pPr>
    </w:p>
    <w:p w14:paraId="4AD55E15" w14:textId="0E79637A" w:rsidR="00A90799" w:rsidRPr="00A73604" w:rsidRDefault="00823A01" w:rsidP="00E329DE">
      <w:pPr>
        <w:spacing w:after="0" w:line="240" w:lineRule="auto"/>
        <w:rPr>
          <w:rFonts w:ascii="Times New Roman" w:hAnsi="Times New Roman" w:cs="Times New Roman"/>
          <w:color w:val="000000"/>
          <w:kern w:val="0"/>
          <w:sz w:val="16"/>
          <w:szCs w:val="16"/>
          <w14:ligatures w14:val="none"/>
        </w:rPr>
      </w:pPr>
      <w:r w:rsidRPr="00A73604">
        <w:rPr>
          <w:rFonts w:ascii="Times New Roman" w:hAnsi="Times New Roman" w:cs="Times New Roman"/>
          <w:color w:val="000000"/>
          <w:kern w:val="0"/>
          <w:sz w:val="16"/>
          <w:szCs w:val="16"/>
          <w14:ligatures w14:val="none"/>
        </w:rPr>
        <w:t>UNWTO (2018) ‘</w:t>
      </w:r>
      <w:proofErr w:type="spellStart"/>
      <w:r w:rsidRPr="00A73604">
        <w:rPr>
          <w:rFonts w:ascii="Times New Roman" w:hAnsi="Times New Roman" w:cs="Times New Roman"/>
          <w:color w:val="000000"/>
          <w:kern w:val="0"/>
          <w:sz w:val="16"/>
          <w:szCs w:val="16"/>
          <w14:ligatures w14:val="none"/>
        </w:rPr>
        <w:t>Overtourism</w:t>
      </w:r>
      <w:proofErr w:type="spellEnd"/>
      <w:r w:rsidRPr="00A73604">
        <w:rPr>
          <w:rFonts w:ascii="Times New Roman" w:hAnsi="Times New Roman" w:cs="Times New Roman"/>
          <w:color w:val="000000"/>
          <w:kern w:val="0"/>
          <w:sz w:val="16"/>
          <w:szCs w:val="16"/>
          <w14:ligatures w14:val="none"/>
        </w:rPr>
        <w:t xml:space="preserve">’? Understanding and managing urban tourism growth beyond perceptions. Madrid: World Tourism </w:t>
      </w:r>
      <w:proofErr w:type="spellStart"/>
      <w:r w:rsidRPr="00A73604">
        <w:rPr>
          <w:rFonts w:ascii="Times New Roman" w:hAnsi="Times New Roman" w:cs="Times New Roman"/>
          <w:color w:val="000000"/>
          <w:kern w:val="0"/>
          <w:sz w:val="16"/>
          <w:szCs w:val="16"/>
          <w14:ligatures w14:val="none"/>
        </w:rPr>
        <w:t>Organization</w:t>
      </w:r>
      <w:proofErr w:type="spellEnd"/>
      <w:r w:rsidRPr="00A73604">
        <w:rPr>
          <w:rFonts w:ascii="Times New Roman" w:hAnsi="Times New Roman" w:cs="Times New Roman"/>
          <w:color w:val="000000"/>
          <w:kern w:val="0"/>
          <w:sz w:val="16"/>
          <w:szCs w:val="16"/>
          <w14:ligatures w14:val="none"/>
        </w:rPr>
        <w:t>.</w:t>
      </w:r>
    </w:p>
    <w:p w14:paraId="3A6A561E" w14:textId="77777777" w:rsidR="00A90799" w:rsidRPr="00A73604" w:rsidRDefault="00A90799" w:rsidP="00E329DE">
      <w:pPr>
        <w:spacing w:after="0" w:line="240" w:lineRule="auto"/>
        <w:rPr>
          <w:rFonts w:ascii="Times New Roman" w:hAnsi="Times New Roman" w:cs="Times New Roman"/>
          <w:color w:val="000000"/>
          <w:kern w:val="0"/>
          <w:sz w:val="16"/>
          <w:szCs w:val="16"/>
          <w14:ligatures w14:val="none"/>
        </w:rPr>
      </w:pPr>
    </w:p>
    <w:p w14:paraId="2DACDE4C" w14:textId="2CC4A01D" w:rsidR="008E3936" w:rsidRPr="002C6337" w:rsidRDefault="00B02974">
      <w:pPr>
        <w:rPr>
          <w:rFonts w:ascii="Times New Roman" w:hAnsi="Times New Roman" w:cs="Times New Roman"/>
        </w:rPr>
      </w:pPr>
      <w:r w:rsidRPr="002C6337">
        <w:rPr>
          <w:rFonts w:ascii="Times New Roman" w:hAnsi="Times New Roman" w:cs="Times New Roman"/>
          <w:noProof/>
        </w:rPr>
        <w:drawing>
          <wp:anchor distT="0" distB="0" distL="114300" distR="114300" simplePos="0" relativeHeight="251659264" behindDoc="0" locked="0" layoutInCell="1" allowOverlap="1" wp14:anchorId="66BC7540" wp14:editId="4FA6405C">
            <wp:simplePos x="0" y="0"/>
            <wp:positionH relativeFrom="column">
              <wp:posOffset>-99060</wp:posOffset>
            </wp:positionH>
            <wp:positionV relativeFrom="paragraph">
              <wp:posOffset>329565</wp:posOffset>
            </wp:positionV>
            <wp:extent cx="3805555" cy="2315845"/>
            <wp:effectExtent l="0" t="0" r="4445" b="0"/>
            <wp:wrapTopAndBottom/>
            <wp:docPr id="815375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75721" name=""/>
                    <pic:cNvPicPr/>
                  </pic:nvPicPr>
                  <pic:blipFill>
                    <a:blip r:embed="rId7"/>
                    <a:stretch>
                      <a:fillRect/>
                    </a:stretch>
                  </pic:blipFill>
                  <pic:spPr>
                    <a:xfrm>
                      <a:off x="0" y="0"/>
                      <a:ext cx="3805555" cy="2315845"/>
                    </a:xfrm>
                    <a:prstGeom prst="rect">
                      <a:avLst/>
                    </a:prstGeom>
                  </pic:spPr>
                </pic:pic>
              </a:graphicData>
            </a:graphic>
            <wp14:sizeRelH relativeFrom="margin">
              <wp14:pctWidth>0</wp14:pctWidth>
            </wp14:sizeRelH>
            <wp14:sizeRelV relativeFrom="margin">
              <wp14:pctHeight>0</wp14:pctHeight>
            </wp14:sizeRelV>
          </wp:anchor>
        </w:drawing>
      </w:r>
      <w:r w:rsidR="004E1D7B" w:rsidRPr="002C6337">
        <w:rPr>
          <w:rFonts w:ascii="Times New Roman" w:hAnsi="Times New Roman" w:cs="Times New Roman"/>
        </w:rPr>
        <w:t>.</w:t>
      </w:r>
    </w:p>
    <w:p w14:paraId="184E6D90" w14:textId="1FDED49C" w:rsidR="00A412BF" w:rsidRDefault="00A412BF"/>
    <w:sectPr w:rsidR="00A412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88093" w14:textId="77777777" w:rsidR="00A66F1B" w:rsidRDefault="00A66F1B" w:rsidP="002B7D73">
      <w:pPr>
        <w:spacing w:after="0" w:line="240" w:lineRule="auto"/>
      </w:pPr>
      <w:r>
        <w:separator/>
      </w:r>
    </w:p>
  </w:endnote>
  <w:endnote w:type="continuationSeparator" w:id="0">
    <w:p w14:paraId="1802D382" w14:textId="77777777" w:rsidR="00A66F1B" w:rsidRDefault="00A66F1B" w:rsidP="002B7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967B0" w14:textId="77777777" w:rsidR="00A66F1B" w:rsidRDefault="00A66F1B" w:rsidP="002B7D73">
      <w:pPr>
        <w:spacing w:after="0" w:line="240" w:lineRule="auto"/>
      </w:pPr>
      <w:r>
        <w:separator/>
      </w:r>
    </w:p>
  </w:footnote>
  <w:footnote w:type="continuationSeparator" w:id="0">
    <w:p w14:paraId="30F82A84" w14:textId="77777777" w:rsidR="00A66F1B" w:rsidRDefault="00A66F1B" w:rsidP="002B7D7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70B5KWKD" int2:invalidationBookmarkName="" int2:hashCode="e3+TZqNgMaC5Vf" int2:id="UqdEyEE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14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182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936"/>
    <w:rsid w:val="00017933"/>
    <w:rsid w:val="0003494A"/>
    <w:rsid w:val="001342B7"/>
    <w:rsid w:val="001F2A64"/>
    <w:rsid w:val="0026231B"/>
    <w:rsid w:val="002B7D73"/>
    <w:rsid w:val="002C6337"/>
    <w:rsid w:val="002F350B"/>
    <w:rsid w:val="002F5C50"/>
    <w:rsid w:val="0035243D"/>
    <w:rsid w:val="003919D0"/>
    <w:rsid w:val="00396B67"/>
    <w:rsid w:val="003D4D6D"/>
    <w:rsid w:val="0040150C"/>
    <w:rsid w:val="00445EEC"/>
    <w:rsid w:val="004E1D7B"/>
    <w:rsid w:val="00510F04"/>
    <w:rsid w:val="005246AD"/>
    <w:rsid w:val="0052573C"/>
    <w:rsid w:val="006300FA"/>
    <w:rsid w:val="00632E8C"/>
    <w:rsid w:val="00665B82"/>
    <w:rsid w:val="00762260"/>
    <w:rsid w:val="0080280C"/>
    <w:rsid w:val="0080533F"/>
    <w:rsid w:val="00823A01"/>
    <w:rsid w:val="008B16B2"/>
    <w:rsid w:val="008E3936"/>
    <w:rsid w:val="009409A5"/>
    <w:rsid w:val="00967E83"/>
    <w:rsid w:val="009B6383"/>
    <w:rsid w:val="009D740B"/>
    <w:rsid w:val="009F0ACD"/>
    <w:rsid w:val="00A412BF"/>
    <w:rsid w:val="00A66BA6"/>
    <w:rsid w:val="00A66F1B"/>
    <w:rsid w:val="00A73604"/>
    <w:rsid w:val="00A90799"/>
    <w:rsid w:val="00B0041A"/>
    <w:rsid w:val="00B02974"/>
    <w:rsid w:val="00B53274"/>
    <w:rsid w:val="00B8446D"/>
    <w:rsid w:val="00C8327B"/>
    <w:rsid w:val="00D02F5B"/>
    <w:rsid w:val="00E329DE"/>
    <w:rsid w:val="00E579CE"/>
    <w:rsid w:val="00FA6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909D23"/>
  <w15:chartTrackingRefBased/>
  <w15:docId w15:val="{7B332711-0FF7-754D-B46A-90A07BCA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3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3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936"/>
    <w:rPr>
      <w:rFonts w:eastAsiaTheme="majorEastAsia" w:cstheme="majorBidi"/>
      <w:color w:val="272727" w:themeColor="text1" w:themeTint="D8"/>
    </w:rPr>
  </w:style>
  <w:style w:type="paragraph" w:styleId="Title">
    <w:name w:val="Title"/>
    <w:basedOn w:val="Normal"/>
    <w:next w:val="Normal"/>
    <w:link w:val="TitleChar"/>
    <w:uiPriority w:val="10"/>
    <w:qFormat/>
    <w:rsid w:val="008E3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936"/>
    <w:pPr>
      <w:spacing w:before="160"/>
      <w:jc w:val="center"/>
    </w:pPr>
    <w:rPr>
      <w:i/>
      <w:iCs/>
      <w:color w:val="404040" w:themeColor="text1" w:themeTint="BF"/>
    </w:rPr>
  </w:style>
  <w:style w:type="character" w:customStyle="1" w:styleId="QuoteChar">
    <w:name w:val="Quote Char"/>
    <w:basedOn w:val="DefaultParagraphFont"/>
    <w:link w:val="Quote"/>
    <w:uiPriority w:val="29"/>
    <w:rsid w:val="008E3936"/>
    <w:rPr>
      <w:i/>
      <w:iCs/>
      <w:color w:val="404040" w:themeColor="text1" w:themeTint="BF"/>
    </w:rPr>
  </w:style>
  <w:style w:type="paragraph" w:styleId="ListParagraph">
    <w:name w:val="List Paragraph"/>
    <w:basedOn w:val="Normal"/>
    <w:uiPriority w:val="34"/>
    <w:qFormat/>
    <w:rsid w:val="008E3936"/>
    <w:pPr>
      <w:ind w:left="720"/>
      <w:contextualSpacing/>
    </w:pPr>
  </w:style>
  <w:style w:type="character" w:styleId="IntenseEmphasis">
    <w:name w:val="Intense Emphasis"/>
    <w:basedOn w:val="DefaultParagraphFont"/>
    <w:uiPriority w:val="21"/>
    <w:qFormat/>
    <w:rsid w:val="008E3936"/>
    <w:rPr>
      <w:i/>
      <w:iCs/>
      <w:color w:val="0F4761" w:themeColor="accent1" w:themeShade="BF"/>
    </w:rPr>
  </w:style>
  <w:style w:type="paragraph" w:styleId="IntenseQuote">
    <w:name w:val="Intense Quote"/>
    <w:basedOn w:val="Normal"/>
    <w:next w:val="Normal"/>
    <w:link w:val="IntenseQuoteChar"/>
    <w:uiPriority w:val="30"/>
    <w:qFormat/>
    <w:rsid w:val="008E3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936"/>
    <w:rPr>
      <w:i/>
      <w:iCs/>
      <w:color w:val="0F4761" w:themeColor="accent1" w:themeShade="BF"/>
    </w:rPr>
  </w:style>
  <w:style w:type="character" w:styleId="IntenseReference">
    <w:name w:val="Intense Reference"/>
    <w:basedOn w:val="DefaultParagraphFont"/>
    <w:uiPriority w:val="32"/>
    <w:qFormat/>
    <w:rsid w:val="008E3936"/>
    <w:rPr>
      <w:b/>
      <w:bCs/>
      <w:smallCaps/>
      <w:color w:val="0F4761" w:themeColor="accent1" w:themeShade="BF"/>
      <w:spacing w:val="5"/>
    </w:rPr>
  </w:style>
  <w:style w:type="paragraph" w:customStyle="1" w:styleId="p1">
    <w:name w:val="p1"/>
    <w:basedOn w:val="Normal"/>
    <w:rsid w:val="008E3936"/>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8E3936"/>
    <w:rPr>
      <w:rFonts w:ascii="Helvetica" w:hAnsi="Helvetica" w:hint="default"/>
      <w:b w:val="0"/>
      <w:bCs w:val="0"/>
      <w:i w:val="0"/>
      <w:iCs w:val="0"/>
      <w:sz w:val="18"/>
      <w:szCs w:val="18"/>
    </w:rPr>
  </w:style>
  <w:style w:type="paragraph" w:customStyle="1" w:styleId="s2">
    <w:name w:val="s2"/>
    <w:basedOn w:val="Normal"/>
    <w:rsid w:val="00A66BA6"/>
    <w:pPr>
      <w:spacing w:before="100" w:beforeAutospacing="1" w:after="100" w:afterAutospacing="1" w:line="240" w:lineRule="auto"/>
    </w:pPr>
    <w:rPr>
      <w:rFonts w:ascii="Times New Roman" w:hAnsi="Times New Roman" w:cs="Times New Roman"/>
      <w:kern w:val="0"/>
      <w14:ligatures w14:val="none"/>
    </w:rPr>
  </w:style>
  <w:style w:type="paragraph" w:customStyle="1" w:styleId="s4">
    <w:name w:val="s4"/>
    <w:basedOn w:val="Normal"/>
    <w:rsid w:val="009F0ACD"/>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1F2A64"/>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1F2A6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F2A64"/>
  </w:style>
  <w:style w:type="paragraph" w:styleId="Header">
    <w:name w:val="header"/>
    <w:basedOn w:val="Normal"/>
    <w:link w:val="HeaderChar"/>
    <w:uiPriority w:val="99"/>
    <w:unhideWhenUsed/>
    <w:rsid w:val="002B7D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D73"/>
  </w:style>
  <w:style w:type="paragraph" w:styleId="Footer">
    <w:name w:val="footer"/>
    <w:basedOn w:val="Normal"/>
    <w:link w:val="FooterChar"/>
    <w:uiPriority w:val="99"/>
    <w:unhideWhenUsed/>
    <w:rsid w:val="002B7D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2014</Words>
  <Characters>11481</Characters>
  <Application>Microsoft Office Word</Application>
  <DocSecurity>0</DocSecurity>
  <Lines>95</Lines>
  <Paragraphs>26</Paragraphs>
  <ScaleCrop>false</ScaleCrop>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Favour Obi (2502853)</dc:creator>
  <cp:keywords/>
  <dc:description/>
  <cp:lastModifiedBy>Favour Obi (2502853)</cp:lastModifiedBy>
  <cp:revision>28</cp:revision>
  <dcterms:created xsi:type="dcterms:W3CDTF">2025-11-26T11:34:00Z</dcterms:created>
  <dcterms:modified xsi:type="dcterms:W3CDTF">2026-03-16T08:40:00Z</dcterms:modified>
</cp:coreProperties>
</file>