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FC4BC39" wp14:paraId="502916FD" wp14:textId="6984D2B3">
      <w:pPr>
        <w:pStyle w:val="Heading1"/>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Financial Performance Summary: FY21–FY25</w:t>
      </w:r>
    </w:p>
    <w:p xmlns:wp14="http://schemas.microsoft.com/office/word/2010/wordml" w:rsidP="5FC4BC39" wp14:paraId="780778BD" wp14:textId="0AD95CF4">
      <w:pPr>
        <w:pStyle w:val="Heading2"/>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Hospitality Sector – Five-Year Trend Analysis</w:t>
      </w:r>
    </w:p>
    <w:p xmlns:wp14="http://schemas.microsoft.com/office/word/2010/wordml" wp14:paraId="38A49AC7" wp14:textId="37C5E120"/>
    <w:p xmlns:wp14="http://schemas.microsoft.com/office/word/2010/wordml" w:rsidP="5FC4BC39" wp14:paraId="12F1673F" wp14:textId="60ECD9AB">
      <w:pPr>
        <w:pStyle w:val="Heading2"/>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Page 1: Core Performance &amp; Profitability Metrics</w:t>
      </w:r>
    </w:p>
    <w:p xmlns:wp14="http://schemas.microsoft.com/office/word/2010/wordml" w:rsidP="5FC4BC39" wp14:paraId="319A71D4" wp14:textId="66932AD2">
      <w:pPr>
        <w:pStyle w:val="Heading3"/>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Overview</w:t>
      </w:r>
    </w:p>
    <w:p xmlns:wp14="http://schemas.microsoft.com/office/word/2010/wordml" w:rsidP="5FC4BC39" wp14:paraId="1ABB0FF9" wp14:textId="7E86B086">
      <w:pPr>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This five-year review covers the period from the post-COVID-19 recovery through to sustained operational and financial strength. The business has completed a full turnaround from pandemic-related losses, delivering consistent, broad-based improvements across profitability, asset efficiency, cash generation, and valuation metrics. All trends reflect a strategy focused on revenue quality, cost discipline, capital efficiency, and balance sheet resilience.</w:t>
      </w:r>
    </w:p>
    <w:p xmlns:wp14="http://schemas.microsoft.com/office/word/2010/wordml" w:rsidP="5FC4BC39" wp14:paraId="0C598AA1" wp14:textId="191108D0">
      <w:pPr>
        <w:pStyle w:val="Heading3"/>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Return on Equity (ROE)</w:t>
      </w:r>
    </w:p>
    <w:p xmlns:wp14="http://schemas.microsoft.com/office/word/2010/wordml" w:rsidP="5FC4BC39" wp14:paraId="2BC07339" wp14:textId="50EE74B0">
      <w:pPr>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Table</w:t>
      </w:r>
    </w:p>
    <w:tbl>
      <w:tblPr>
        <w:tblStyle w:val="TableNormal"/>
        <w:bidiVisual w:val="0"/>
        <w:tblW w:w="0" w:type="auto"/>
        <w:tblLook w:val="06A0" w:firstRow="1" w:lastRow="0" w:firstColumn="1" w:lastColumn="0" w:noHBand="1" w:noVBand="1"/>
      </w:tblPr>
      <w:tblGrid>
        <w:gridCol w:w="1078"/>
        <w:gridCol w:w="927"/>
        <w:gridCol w:w="965"/>
        <w:gridCol w:w="955"/>
        <w:gridCol w:w="997"/>
      </w:tblGrid>
      <w:tr w:rsidR="5FC4BC39" w:rsidTr="5FC4BC39" w14:paraId="5BC00BEE">
        <w:trPr>
          <w:trHeight w:val="300"/>
        </w:trPr>
        <w:tc>
          <w:tcPr>
            <w:tcW w:w="1078" w:type="dxa"/>
            <w:tcMar/>
            <w:vAlign w:val="center"/>
          </w:tcPr>
          <w:p w:rsidR="5FC4BC39" w:rsidP="5FC4BC39" w:rsidRDefault="5FC4BC39" w14:paraId="2FB8ADF0" w14:textId="015396AD">
            <w:pPr>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FY21</w:t>
            </w:r>
          </w:p>
        </w:tc>
        <w:tc>
          <w:tcPr>
            <w:tcW w:w="927" w:type="dxa"/>
            <w:tcMar/>
            <w:vAlign w:val="center"/>
          </w:tcPr>
          <w:p w:rsidR="5FC4BC39" w:rsidP="5FC4BC39" w:rsidRDefault="5FC4BC39" w14:paraId="5826C8DE" w14:textId="51AEA3DB">
            <w:pPr>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FY22</w:t>
            </w:r>
          </w:p>
        </w:tc>
        <w:tc>
          <w:tcPr>
            <w:tcW w:w="965" w:type="dxa"/>
            <w:tcMar/>
            <w:vAlign w:val="center"/>
          </w:tcPr>
          <w:p w:rsidR="5FC4BC39" w:rsidP="5FC4BC39" w:rsidRDefault="5FC4BC39" w14:paraId="3D3630F8" w14:textId="3F9767C0">
            <w:pPr>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FY23</w:t>
            </w:r>
          </w:p>
        </w:tc>
        <w:tc>
          <w:tcPr>
            <w:tcW w:w="955" w:type="dxa"/>
            <w:tcMar/>
            <w:vAlign w:val="center"/>
          </w:tcPr>
          <w:p w:rsidR="5FC4BC39" w:rsidP="5FC4BC39" w:rsidRDefault="5FC4BC39" w14:paraId="3618B92F" w14:textId="6EFB73B8">
            <w:pPr>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FY24</w:t>
            </w:r>
          </w:p>
        </w:tc>
        <w:tc>
          <w:tcPr>
            <w:tcW w:w="997" w:type="dxa"/>
            <w:tcMar/>
            <w:vAlign w:val="center"/>
          </w:tcPr>
          <w:p w:rsidR="5FC4BC39" w:rsidP="5FC4BC39" w:rsidRDefault="5FC4BC39" w14:paraId="3FF13AF3" w14:textId="4B21DFC6">
            <w:pPr>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FY25</w:t>
            </w:r>
          </w:p>
        </w:tc>
      </w:tr>
      <w:tr w:rsidR="5FC4BC39" w:rsidTr="5FC4BC39" w14:paraId="72C2EFD4">
        <w:trPr>
          <w:trHeight w:val="300"/>
        </w:trPr>
        <w:tc>
          <w:tcPr>
            <w:tcW w:w="1078" w:type="dxa"/>
            <w:tcMar/>
            <w:vAlign w:val="center"/>
          </w:tcPr>
          <w:p w:rsidR="5FC4BC39" w:rsidP="5FC4BC39" w:rsidRDefault="5FC4BC39" w14:paraId="5EC4F2D7" w14:textId="284562AE">
            <w:pPr>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-12.4%</w:t>
            </w:r>
          </w:p>
        </w:tc>
        <w:tc>
          <w:tcPr>
            <w:tcW w:w="927" w:type="dxa"/>
            <w:tcMar/>
            <w:vAlign w:val="center"/>
          </w:tcPr>
          <w:p w:rsidR="5FC4BC39" w:rsidP="5FC4BC39" w:rsidRDefault="5FC4BC39" w14:paraId="2C84802F" w14:textId="4162ED1A">
            <w:pPr>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10.1%</w:t>
            </w:r>
          </w:p>
        </w:tc>
        <w:tc>
          <w:tcPr>
            <w:tcW w:w="965" w:type="dxa"/>
            <w:tcMar/>
            <w:vAlign w:val="center"/>
          </w:tcPr>
          <w:p w:rsidR="5FC4BC39" w:rsidP="5FC4BC39" w:rsidRDefault="5FC4BC39" w14:paraId="26301303" w14:textId="174FD873">
            <w:pPr>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15.3%</w:t>
            </w:r>
          </w:p>
        </w:tc>
        <w:tc>
          <w:tcPr>
            <w:tcW w:w="955" w:type="dxa"/>
            <w:tcMar/>
            <w:vAlign w:val="center"/>
          </w:tcPr>
          <w:p w:rsidR="5FC4BC39" w:rsidP="5FC4BC39" w:rsidRDefault="5FC4BC39" w14:paraId="5ECA20E2" w14:textId="21437A58">
            <w:pPr>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18.7%</w:t>
            </w:r>
          </w:p>
        </w:tc>
        <w:tc>
          <w:tcPr>
            <w:tcW w:w="997" w:type="dxa"/>
            <w:tcMar/>
            <w:vAlign w:val="center"/>
          </w:tcPr>
          <w:p w:rsidR="5FC4BC39" w:rsidP="5FC4BC39" w:rsidRDefault="5FC4BC39" w14:paraId="355A840C" w14:textId="0B823A4F">
            <w:pPr>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20.2%</w:t>
            </w:r>
          </w:p>
        </w:tc>
      </w:tr>
    </w:tbl>
    <w:p xmlns:wp14="http://schemas.microsoft.com/office/word/2010/wordml" w:rsidP="5FC4BC39" wp14:paraId="09FAA94A" wp14:textId="0E0317EB">
      <w:pPr>
        <w:pStyle w:val="ListParagraph"/>
        <w:numPr>
          <w:ilvl w:val="0"/>
          <w:numId w:val="1"/>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Trend: The business moved from a double-digit loss in FY21 to consistent double-digit returns, rising steadily to a multi-year high of 20.2% in FY25. Growth has slowed only marginally in the latest year, indicating a maturing but still expanding profitability profile.</w:t>
      </w:r>
    </w:p>
    <w:p xmlns:wp14="http://schemas.microsoft.com/office/word/2010/wordml" w:rsidP="5FC4BC39" wp14:paraId="782A98B2" wp14:textId="3B5F142F">
      <w:pPr>
        <w:pStyle w:val="ListParagraph"/>
        <w:numPr>
          <w:ilvl w:val="0"/>
          <w:numId w:val="1"/>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Key Drivers: The initial recovery was driven by the removal of pandemic restrictions and rebounding demand. Subsequent gains stem from sustained margin expansion, improved asset utilisation, and targeted share buybacks that reduce the equity base while boosting per-share returns. Operational leverage – where revenue growth outpaces cost growth – has also been a core contributor.</w:t>
      </w:r>
    </w:p>
    <w:p xmlns:wp14="http://schemas.microsoft.com/office/word/2010/wordml" w:rsidP="5FC4BC39" wp14:paraId="2BEA0048" wp14:textId="374363F3">
      <w:pPr>
        <w:pStyle w:val="ListParagraph"/>
        <w:numPr>
          <w:ilvl w:val="0"/>
          <w:numId w:val="1"/>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Implication: Returns to shareholders are now well above typical sector benchmarks, demonstrating effective use of investor capital and strong management of both operational and financial levers.</w:t>
      </w:r>
    </w:p>
    <w:p xmlns:wp14="http://schemas.microsoft.com/office/word/2010/wordml" w:rsidP="5FC4BC39" wp14:paraId="20201865" wp14:textId="7020AAAB">
      <w:pPr>
        <w:pStyle w:val="Heading3"/>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Return on Assets (ROA)</w:t>
      </w:r>
    </w:p>
    <w:p xmlns:wp14="http://schemas.microsoft.com/office/word/2010/wordml" w:rsidP="5FC4BC39" wp14:paraId="15D22397" wp14:textId="039C0F03">
      <w:pPr>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Table</w:t>
      </w:r>
    </w:p>
    <w:tbl>
      <w:tblPr>
        <w:tblStyle w:val="TableNormal"/>
        <w:bidiVisual w:val="0"/>
        <w:tblW w:w="0" w:type="auto"/>
        <w:tblLook w:val="06A0" w:firstRow="1" w:lastRow="0" w:firstColumn="1" w:lastColumn="0" w:noHBand="1" w:noVBand="1"/>
      </w:tblPr>
      <w:tblGrid>
        <w:gridCol w:w="974"/>
        <w:gridCol w:w="900"/>
        <w:gridCol w:w="906"/>
        <w:gridCol w:w="909"/>
        <w:gridCol w:w="905"/>
      </w:tblGrid>
      <w:tr w:rsidR="5FC4BC39" w:rsidTr="5FC4BC39" w14:paraId="41A638AA">
        <w:trPr>
          <w:trHeight w:val="300"/>
        </w:trPr>
        <w:tc>
          <w:tcPr>
            <w:tcW w:w="974" w:type="dxa"/>
            <w:tcMar/>
            <w:vAlign w:val="center"/>
          </w:tcPr>
          <w:p w:rsidR="5FC4BC39" w:rsidP="5FC4BC39" w:rsidRDefault="5FC4BC39" w14:paraId="494C1A05" w14:textId="56763955">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FY21</w:t>
            </w:r>
          </w:p>
        </w:tc>
        <w:tc>
          <w:tcPr>
            <w:tcW w:w="900" w:type="dxa"/>
            <w:tcMar/>
            <w:vAlign w:val="center"/>
          </w:tcPr>
          <w:p w:rsidR="5FC4BC39" w:rsidP="5FC4BC39" w:rsidRDefault="5FC4BC39" w14:paraId="4B6C388A" w14:textId="1E75D78E">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FY22</w:t>
            </w:r>
          </w:p>
        </w:tc>
        <w:tc>
          <w:tcPr>
            <w:tcW w:w="906" w:type="dxa"/>
            <w:tcMar/>
            <w:vAlign w:val="center"/>
          </w:tcPr>
          <w:p w:rsidR="5FC4BC39" w:rsidP="5FC4BC39" w:rsidRDefault="5FC4BC39" w14:paraId="59484F0A" w14:textId="1AA28F72">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FY23</w:t>
            </w:r>
          </w:p>
        </w:tc>
        <w:tc>
          <w:tcPr>
            <w:tcW w:w="909" w:type="dxa"/>
            <w:tcMar/>
            <w:vAlign w:val="center"/>
          </w:tcPr>
          <w:p w:rsidR="5FC4BC39" w:rsidP="5FC4BC39" w:rsidRDefault="5FC4BC39" w14:paraId="2D0A0F04" w14:textId="2CCD0A59">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FY24</w:t>
            </w:r>
          </w:p>
        </w:tc>
        <w:tc>
          <w:tcPr>
            <w:tcW w:w="905" w:type="dxa"/>
            <w:tcMar/>
            <w:vAlign w:val="center"/>
          </w:tcPr>
          <w:p w:rsidR="5FC4BC39" w:rsidP="5FC4BC39" w:rsidRDefault="5FC4BC39" w14:paraId="3E7A0A6A" w14:textId="09D5DCEA">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FY25</w:t>
            </w:r>
          </w:p>
        </w:tc>
      </w:tr>
      <w:tr w:rsidR="5FC4BC39" w:rsidTr="5FC4BC39" w14:paraId="37C892CC">
        <w:trPr>
          <w:trHeight w:val="300"/>
        </w:trPr>
        <w:tc>
          <w:tcPr>
            <w:tcW w:w="974" w:type="dxa"/>
            <w:tcMar/>
            <w:vAlign w:val="center"/>
          </w:tcPr>
          <w:p w:rsidR="5FC4BC39" w:rsidP="5FC4BC39" w:rsidRDefault="5FC4BC39" w14:paraId="64A2CDDF" w14:textId="7A54FF31">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-4.8%</w:t>
            </w:r>
          </w:p>
        </w:tc>
        <w:tc>
          <w:tcPr>
            <w:tcW w:w="900" w:type="dxa"/>
            <w:tcMar/>
            <w:vAlign w:val="center"/>
          </w:tcPr>
          <w:p w:rsidR="5FC4BC39" w:rsidP="5FC4BC39" w:rsidRDefault="5FC4BC39" w14:paraId="1F160880" w14:textId="312B7301">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4.2%</w:t>
            </w:r>
          </w:p>
        </w:tc>
        <w:tc>
          <w:tcPr>
            <w:tcW w:w="906" w:type="dxa"/>
            <w:tcMar/>
            <w:vAlign w:val="center"/>
          </w:tcPr>
          <w:p w:rsidR="5FC4BC39" w:rsidP="5FC4BC39" w:rsidRDefault="5FC4BC39" w14:paraId="2DA4E354" w14:textId="7C6E948F">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6.5%</w:t>
            </w:r>
          </w:p>
        </w:tc>
        <w:tc>
          <w:tcPr>
            <w:tcW w:w="909" w:type="dxa"/>
            <w:tcMar/>
            <w:vAlign w:val="center"/>
          </w:tcPr>
          <w:p w:rsidR="5FC4BC39" w:rsidP="5FC4BC39" w:rsidRDefault="5FC4BC39" w14:paraId="4D8174A9" w14:textId="6ACED9B9">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7.9%</w:t>
            </w:r>
          </w:p>
        </w:tc>
        <w:tc>
          <w:tcPr>
            <w:tcW w:w="905" w:type="dxa"/>
            <w:tcMar/>
            <w:vAlign w:val="center"/>
          </w:tcPr>
          <w:p w:rsidR="5FC4BC39" w:rsidP="5FC4BC39" w:rsidRDefault="5FC4BC39" w14:paraId="14FB6529" w14:textId="1E4D0EFD">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8.6%</w:t>
            </w:r>
          </w:p>
        </w:tc>
      </w:tr>
    </w:tbl>
    <w:p xmlns:wp14="http://schemas.microsoft.com/office/word/2010/wordml" w:rsidP="5FC4BC39" wp14:paraId="5D43EC25" wp14:textId="3BD76354">
      <w:pPr>
        <w:pStyle w:val="ListParagraph"/>
        <w:numPr>
          <w:ilvl w:val="0"/>
          <w:numId w:val="2"/>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Trend: ROA tracks ROE closely, confirming that profitability improvements are rooted in better operational performance rather than increased financial leverage. After returning to positive territory in FY22, the metric has advanced steadily, with only modest deceleration in FY25.</w:t>
      </w:r>
    </w:p>
    <w:p xmlns:wp14="http://schemas.microsoft.com/office/word/2010/wordml" w:rsidP="5FC4BC39" wp14:paraId="09AF2A1F" wp14:textId="005DAF9A">
      <w:pPr>
        <w:pStyle w:val="ListParagraph"/>
        <w:numPr>
          <w:ilvl w:val="0"/>
          <w:numId w:val="2"/>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Key Drivers: Higher revenue per available room (RevPAR) – driven by stronger average daily rates and improved occupancy – is the primary top-line driver. This is complemented by tight cost control across labour, property, and overheads, plus disciplined capital allocation that prioritises high-return investments over unnecessary expenditure.</w:t>
      </w:r>
    </w:p>
    <w:p xmlns:wp14="http://schemas.microsoft.com/office/word/2010/wordml" w:rsidP="5FC4BC39" wp14:paraId="7F9ABE60" wp14:textId="2FD44E3B">
      <w:pPr>
        <w:pStyle w:val="ListParagraph"/>
        <w:numPr>
          <w:ilvl w:val="0"/>
          <w:numId w:val="2"/>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Implication: Every pound invested in assets now generates significantly more value than in the immediate post-pandemic period. The business is maximising output from its existing asset base, reducing the need for large-scale capital spending to drive growth.</w:t>
      </w:r>
    </w:p>
    <w:p xmlns:wp14="http://schemas.microsoft.com/office/word/2010/wordml" wp14:paraId="5A593432" wp14:textId="47B5E732"/>
    <w:p xmlns:wp14="http://schemas.microsoft.com/office/word/2010/wordml" w:rsidP="5FC4BC39" wp14:paraId="54D0E445" wp14:textId="323BB8A7">
      <w:pPr>
        <w:pStyle w:val="Heading2"/>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Page 2: Cash Generation &amp; Valuation</w:t>
      </w:r>
    </w:p>
    <w:p xmlns:wp14="http://schemas.microsoft.com/office/word/2010/wordml" w:rsidP="5FC4BC39" wp14:paraId="1483CC9D" wp14:textId="1E46DC7E">
      <w:pPr>
        <w:pStyle w:val="Heading3"/>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Cash Flow Metrics</w:t>
      </w:r>
    </w:p>
    <w:p xmlns:wp14="http://schemas.microsoft.com/office/word/2010/wordml" w:rsidP="5FC4BC39" wp14:paraId="732AA4F2" wp14:textId="3580890E">
      <w:pPr>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Table</w:t>
      </w:r>
    </w:p>
    <w:tbl>
      <w:tblPr>
        <w:tblStyle w:val="TableNormal"/>
        <w:bidiVisual w:val="0"/>
        <w:tblW w:w="0" w:type="auto"/>
        <w:tblLook w:val="06A0" w:firstRow="1" w:lastRow="0" w:firstColumn="1" w:lastColumn="0" w:noHBand="1" w:noVBand="1"/>
      </w:tblPr>
      <w:tblGrid>
        <w:gridCol w:w="3180"/>
        <w:gridCol w:w="966"/>
        <w:gridCol w:w="900"/>
        <w:gridCol w:w="906"/>
        <w:gridCol w:w="909"/>
        <w:gridCol w:w="905"/>
      </w:tblGrid>
      <w:tr w:rsidR="5FC4BC39" w:rsidTr="5FC4BC39" w14:paraId="7E16E6D8">
        <w:trPr>
          <w:trHeight w:val="300"/>
        </w:trPr>
        <w:tc>
          <w:tcPr>
            <w:tcW w:w="3180" w:type="dxa"/>
            <w:tcMar/>
            <w:vAlign w:val="center"/>
          </w:tcPr>
          <w:p w:rsidR="5FC4BC39" w:rsidP="5FC4BC39" w:rsidRDefault="5FC4BC39" w14:paraId="4EEE0291" w14:textId="227E6B7E">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Metric</w:t>
            </w:r>
          </w:p>
        </w:tc>
        <w:tc>
          <w:tcPr>
            <w:tcW w:w="966" w:type="dxa"/>
            <w:tcMar/>
            <w:vAlign w:val="center"/>
          </w:tcPr>
          <w:p w:rsidR="5FC4BC39" w:rsidP="5FC4BC39" w:rsidRDefault="5FC4BC39" w14:paraId="7F2F3ED0" w14:textId="309254F1">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FY21</w:t>
            </w:r>
          </w:p>
        </w:tc>
        <w:tc>
          <w:tcPr>
            <w:tcW w:w="900" w:type="dxa"/>
            <w:tcMar/>
            <w:vAlign w:val="center"/>
          </w:tcPr>
          <w:p w:rsidR="5FC4BC39" w:rsidP="5FC4BC39" w:rsidRDefault="5FC4BC39" w14:paraId="197C4D73" w14:textId="3F0D26E5">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FY22</w:t>
            </w:r>
          </w:p>
        </w:tc>
        <w:tc>
          <w:tcPr>
            <w:tcW w:w="906" w:type="dxa"/>
            <w:tcMar/>
            <w:vAlign w:val="center"/>
          </w:tcPr>
          <w:p w:rsidR="5FC4BC39" w:rsidP="5FC4BC39" w:rsidRDefault="5FC4BC39" w14:paraId="3AFD4D2E" w14:textId="015E2EE0">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FY23</w:t>
            </w:r>
          </w:p>
        </w:tc>
        <w:tc>
          <w:tcPr>
            <w:tcW w:w="909" w:type="dxa"/>
            <w:tcMar/>
            <w:vAlign w:val="center"/>
          </w:tcPr>
          <w:p w:rsidR="5FC4BC39" w:rsidP="5FC4BC39" w:rsidRDefault="5FC4BC39" w14:paraId="1E39691A" w14:textId="4954A310">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FY24</w:t>
            </w:r>
          </w:p>
        </w:tc>
        <w:tc>
          <w:tcPr>
            <w:tcW w:w="905" w:type="dxa"/>
            <w:tcMar/>
            <w:vAlign w:val="center"/>
          </w:tcPr>
          <w:p w:rsidR="5FC4BC39" w:rsidP="5FC4BC39" w:rsidRDefault="5FC4BC39" w14:paraId="30706819" w14:textId="023297BC">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FY25</w:t>
            </w:r>
          </w:p>
        </w:tc>
      </w:tr>
      <w:tr w:rsidR="5FC4BC39" w:rsidTr="5FC4BC39" w14:paraId="3FA750C3">
        <w:trPr>
          <w:trHeight w:val="300"/>
        </w:trPr>
        <w:tc>
          <w:tcPr>
            <w:tcW w:w="3180" w:type="dxa"/>
            <w:tcMar/>
            <w:vAlign w:val="center"/>
          </w:tcPr>
          <w:p w:rsidR="5FC4BC39" w:rsidP="5FC4BC39" w:rsidRDefault="5FC4BC39" w14:paraId="303134DA" w14:textId="27AA032B">
            <w:pPr>
              <w:bidi w:val="0"/>
              <w:spacing w:before="0" w:beforeAutospacing="off" w:after="0" w:afterAutospacing="off" w:line="360" w:lineRule="auto"/>
            </w:pPr>
            <w:r w:rsidRPr="5FC4BC39" w:rsidR="5FC4BC39">
              <w:rPr>
                <w:rFonts w:ascii="system-ui" w:hAnsi="system-ui" w:eastAsia="system-ui" w:cs="system-ui"/>
                <w:b w:val="0"/>
                <w:bCs w:val="0"/>
                <w:i w:val="0"/>
                <w:iCs w:val="0"/>
                <w:color w:val="000000" w:themeColor="text1" w:themeTint="FF" w:themeShade="FF"/>
                <w:sz w:val="24"/>
                <w:szCs w:val="24"/>
              </w:rPr>
              <w:t>Operating Cash Flow Ratio</w:t>
            </w:r>
          </w:p>
        </w:tc>
        <w:tc>
          <w:tcPr>
            <w:tcW w:w="966" w:type="dxa"/>
            <w:tcMar/>
            <w:vAlign w:val="center"/>
          </w:tcPr>
          <w:p w:rsidR="5FC4BC39" w:rsidP="5FC4BC39" w:rsidRDefault="5FC4BC39" w14:paraId="6F986959" w14:textId="77A8CB2C">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0.81</w:t>
            </w:r>
          </w:p>
        </w:tc>
        <w:tc>
          <w:tcPr>
            <w:tcW w:w="900" w:type="dxa"/>
            <w:tcMar/>
            <w:vAlign w:val="center"/>
          </w:tcPr>
          <w:p w:rsidR="5FC4BC39" w:rsidP="5FC4BC39" w:rsidRDefault="5FC4BC39" w14:paraId="74801596" w14:textId="3C67B06B">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1.32</w:t>
            </w:r>
          </w:p>
        </w:tc>
        <w:tc>
          <w:tcPr>
            <w:tcW w:w="906" w:type="dxa"/>
            <w:tcMar/>
            <w:vAlign w:val="center"/>
          </w:tcPr>
          <w:p w:rsidR="5FC4BC39" w:rsidP="5FC4BC39" w:rsidRDefault="5FC4BC39" w14:paraId="54E31D02" w14:textId="4F1F2EC6">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1.47</w:t>
            </w:r>
          </w:p>
        </w:tc>
        <w:tc>
          <w:tcPr>
            <w:tcW w:w="909" w:type="dxa"/>
            <w:tcMar/>
            <w:vAlign w:val="center"/>
          </w:tcPr>
          <w:p w:rsidR="5FC4BC39" w:rsidP="5FC4BC39" w:rsidRDefault="5FC4BC39" w14:paraId="5A3219B0" w14:textId="0D18C682">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1.54</w:t>
            </w:r>
          </w:p>
        </w:tc>
        <w:tc>
          <w:tcPr>
            <w:tcW w:w="905" w:type="dxa"/>
            <w:tcMar/>
            <w:vAlign w:val="center"/>
          </w:tcPr>
          <w:p w:rsidR="5FC4BC39" w:rsidP="5FC4BC39" w:rsidRDefault="5FC4BC39" w14:paraId="01AC3D27" w14:textId="2652D800">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1.58</w:t>
            </w:r>
          </w:p>
        </w:tc>
      </w:tr>
      <w:tr w:rsidR="5FC4BC39" w:rsidTr="5FC4BC39" w14:paraId="54D94A7E">
        <w:trPr>
          <w:trHeight w:val="300"/>
        </w:trPr>
        <w:tc>
          <w:tcPr>
            <w:tcW w:w="3180" w:type="dxa"/>
            <w:tcMar/>
            <w:vAlign w:val="center"/>
          </w:tcPr>
          <w:p w:rsidR="5FC4BC39" w:rsidP="5FC4BC39" w:rsidRDefault="5FC4BC39" w14:paraId="44ACB0E3" w14:textId="628F405C">
            <w:pPr>
              <w:bidi w:val="0"/>
              <w:spacing w:before="0" w:beforeAutospacing="off" w:after="0" w:afterAutospacing="off" w:line="360" w:lineRule="auto"/>
            </w:pPr>
            <w:r w:rsidRPr="5FC4BC39" w:rsidR="5FC4BC39">
              <w:rPr>
                <w:rFonts w:ascii="system-ui" w:hAnsi="system-ui" w:eastAsia="system-ui" w:cs="system-ui"/>
                <w:b w:val="0"/>
                <w:bCs w:val="0"/>
                <w:i w:val="0"/>
                <w:iCs w:val="0"/>
                <w:color w:val="000000" w:themeColor="text1" w:themeTint="FF" w:themeShade="FF"/>
                <w:sz w:val="24"/>
                <w:szCs w:val="24"/>
              </w:rPr>
              <w:t>Free Cash Flow Margin %</w:t>
            </w:r>
          </w:p>
        </w:tc>
        <w:tc>
          <w:tcPr>
            <w:tcW w:w="966" w:type="dxa"/>
            <w:tcMar/>
            <w:vAlign w:val="center"/>
          </w:tcPr>
          <w:p w:rsidR="5FC4BC39" w:rsidP="5FC4BC39" w:rsidRDefault="5FC4BC39" w14:paraId="1D4D97E5" w14:textId="5D9BCFF7">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-3.2%</w:t>
            </w:r>
          </w:p>
        </w:tc>
        <w:tc>
          <w:tcPr>
            <w:tcW w:w="900" w:type="dxa"/>
            <w:tcMar/>
            <w:vAlign w:val="center"/>
          </w:tcPr>
          <w:p w:rsidR="5FC4BC39" w:rsidP="5FC4BC39" w:rsidRDefault="5FC4BC39" w14:paraId="7298E67C" w14:textId="67E83331">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4.7%</w:t>
            </w:r>
          </w:p>
        </w:tc>
        <w:tc>
          <w:tcPr>
            <w:tcW w:w="906" w:type="dxa"/>
            <w:tcMar/>
            <w:vAlign w:val="center"/>
          </w:tcPr>
          <w:p w:rsidR="5FC4BC39" w:rsidP="5FC4BC39" w:rsidRDefault="5FC4BC39" w14:paraId="7632ABD6" w14:textId="7C32897B">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7.2%</w:t>
            </w:r>
          </w:p>
        </w:tc>
        <w:tc>
          <w:tcPr>
            <w:tcW w:w="909" w:type="dxa"/>
            <w:tcMar/>
            <w:vAlign w:val="center"/>
          </w:tcPr>
          <w:p w:rsidR="5FC4BC39" w:rsidP="5FC4BC39" w:rsidRDefault="5FC4BC39" w14:paraId="5FA76C0E" w14:textId="501162F8">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8.1%</w:t>
            </w:r>
          </w:p>
        </w:tc>
        <w:tc>
          <w:tcPr>
            <w:tcW w:w="905" w:type="dxa"/>
            <w:tcMar/>
            <w:vAlign w:val="center"/>
          </w:tcPr>
          <w:p w:rsidR="5FC4BC39" w:rsidP="5FC4BC39" w:rsidRDefault="5FC4BC39" w14:paraId="260F0F93" w14:textId="571ACF75">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8.5%</w:t>
            </w:r>
          </w:p>
        </w:tc>
      </w:tr>
    </w:tbl>
    <w:p xmlns:wp14="http://schemas.microsoft.com/office/word/2010/wordml" w:rsidP="5FC4BC39" wp14:paraId="42B591C4" wp14:textId="0ACC9BCC">
      <w:pPr>
        <w:pStyle w:val="ListParagraph"/>
        <w:numPr>
          <w:ilvl w:val="0"/>
          <w:numId w:val="3"/>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Operating Cash Flow Ratio: This metric measures the ability of core operations to cover short-term liabilities. In FY21, operations did not generate enough cash to meet current obligations, requiring external support or reserve drawdowns. From FY22 onwards, the ratio has remained comfortably above 1.0, meaning operating cash fully covers all current liabilities, with surplus funds available for reinvestment, dividends, or debt reduction. Further gains have been modest in recent years, signalling that liquidity strength has stabilised at a robust level. Improvements come from rigorous working capital management – including tighter receivables terms and optimised inventory – alongside resilient consumer spending patterns.</w:t>
      </w:r>
    </w:p>
    <w:p xmlns:wp14="http://schemas.microsoft.com/office/word/2010/wordml" w:rsidP="5FC4BC39" wp14:paraId="4B4F85ED" wp14:textId="7DB83E7E">
      <w:pPr>
        <w:pStyle w:val="ListParagraph"/>
        <w:numPr>
          <w:ilvl w:val="0"/>
          <w:numId w:val="3"/>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Free Cash Flow Margin: The business converted losses into positive free cash flow from FY22, with the margin more than doubling over three years before settling at 8.5% in FY25. This improvement reflects disciplined capital expenditure, where investment is focused on high-return upgrades rather than large-scale expansion, alongside top-line growth that translates directly into cash.</w:t>
      </w:r>
    </w:p>
    <w:p xmlns:wp14="http://schemas.microsoft.com/office/word/2010/wordml" w:rsidP="5FC4BC39" wp14:paraId="67E64442" wp14:textId="2A225A1C">
      <w:pPr>
        <w:pStyle w:val="ListParagraph"/>
        <w:numPr>
          <w:ilvl w:val="0"/>
          <w:numId w:val="3"/>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Implication: Cash generation is now one of the business’s strongest attributes. Volatility associated with the pandemic has been eliminated, and the company has substantial financial flexibility to pursue strategic priorities without relying heavily on external financing.</w:t>
      </w:r>
    </w:p>
    <w:p xmlns:wp14="http://schemas.microsoft.com/office/word/2010/wordml" w:rsidP="5FC4BC39" wp14:paraId="2EC02CFC" wp14:textId="52CFBA6B">
      <w:pPr>
        <w:pStyle w:val="Heading3"/>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Price-to-Earnings (P/E) Ratio</w:t>
      </w:r>
    </w:p>
    <w:p xmlns:wp14="http://schemas.microsoft.com/office/word/2010/wordml" w:rsidP="5FC4BC39" wp14:paraId="36A020AF" wp14:textId="4FBB988E">
      <w:pPr>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Table</w:t>
      </w:r>
    </w:p>
    <w:tbl>
      <w:tblPr>
        <w:tblStyle w:val="TableNormal"/>
        <w:bidiVisual w:val="0"/>
        <w:tblW w:w="0" w:type="auto"/>
        <w:tblLook w:val="06A0" w:firstRow="1" w:lastRow="0" w:firstColumn="1" w:lastColumn="0" w:noHBand="1" w:noVBand="1"/>
      </w:tblPr>
      <w:tblGrid>
        <w:gridCol w:w="868"/>
        <w:gridCol w:w="900"/>
        <w:gridCol w:w="906"/>
        <w:gridCol w:w="909"/>
        <w:gridCol w:w="905"/>
      </w:tblGrid>
      <w:tr w:rsidR="5FC4BC39" w:rsidTr="5FC4BC39" w14:paraId="38806112">
        <w:trPr>
          <w:trHeight w:val="300"/>
        </w:trPr>
        <w:tc>
          <w:tcPr>
            <w:tcW w:w="868" w:type="dxa"/>
            <w:tcMar/>
            <w:vAlign w:val="center"/>
          </w:tcPr>
          <w:p w:rsidR="5FC4BC39" w:rsidP="5FC4BC39" w:rsidRDefault="5FC4BC39" w14:paraId="3C7CE50C" w14:textId="3FEB3D80">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FY21</w:t>
            </w:r>
          </w:p>
        </w:tc>
        <w:tc>
          <w:tcPr>
            <w:tcW w:w="900" w:type="dxa"/>
            <w:tcMar/>
            <w:vAlign w:val="center"/>
          </w:tcPr>
          <w:p w:rsidR="5FC4BC39" w:rsidP="5FC4BC39" w:rsidRDefault="5FC4BC39" w14:paraId="2BAF92FB" w14:textId="50B87D0A">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FY22</w:t>
            </w:r>
          </w:p>
        </w:tc>
        <w:tc>
          <w:tcPr>
            <w:tcW w:w="906" w:type="dxa"/>
            <w:tcMar/>
            <w:vAlign w:val="center"/>
          </w:tcPr>
          <w:p w:rsidR="5FC4BC39" w:rsidP="5FC4BC39" w:rsidRDefault="5FC4BC39" w14:paraId="563E50D7" w14:textId="2BAE274A">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FY23</w:t>
            </w:r>
          </w:p>
        </w:tc>
        <w:tc>
          <w:tcPr>
            <w:tcW w:w="909" w:type="dxa"/>
            <w:tcMar/>
            <w:vAlign w:val="center"/>
          </w:tcPr>
          <w:p w:rsidR="5FC4BC39" w:rsidP="5FC4BC39" w:rsidRDefault="5FC4BC39" w14:paraId="2617123A" w14:textId="68EC74FC">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FY24</w:t>
            </w:r>
          </w:p>
        </w:tc>
        <w:tc>
          <w:tcPr>
            <w:tcW w:w="905" w:type="dxa"/>
            <w:tcMar/>
            <w:vAlign w:val="center"/>
          </w:tcPr>
          <w:p w:rsidR="5FC4BC39" w:rsidP="5FC4BC39" w:rsidRDefault="5FC4BC39" w14:paraId="2348168B" w14:textId="6E820F49">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FY25</w:t>
            </w:r>
          </w:p>
        </w:tc>
      </w:tr>
      <w:tr w:rsidR="5FC4BC39" w:rsidTr="5FC4BC39" w14:paraId="30AC3D26">
        <w:trPr>
          <w:trHeight w:val="300"/>
        </w:trPr>
        <w:tc>
          <w:tcPr>
            <w:tcW w:w="868" w:type="dxa"/>
            <w:tcMar/>
            <w:vAlign w:val="center"/>
          </w:tcPr>
          <w:p w:rsidR="5FC4BC39" w:rsidP="5FC4BC39" w:rsidRDefault="5FC4BC39" w14:paraId="24EAEA16" w14:textId="52AE5FAC">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N/A</w:t>
            </w:r>
          </w:p>
        </w:tc>
        <w:tc>
          <w:tcPr>
            <w:tcW w:w="900" w:type="dxa"/>
            <w:tcMar/>
            <w:vAlign w:val="center"/>
          </w:tcPr>
          <w:p w:rsidR="5FC4BC39" w:rsidP="5FC4BC39" w:rsidRDefault="5FC4BC39" w14:paraId="3E8E1295" w14:textId="2A37429B">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24.1x</w:t>
            </w:r>
          </w:p>
        </w:tc>
        <w:tc>
          <w:tcPr>
            <w:tcW w:w="906" w:type="dxa"/>
            <w:tcMar/>
            <w:vAlign w:val="center"/>
          </w:tcPr>
          <w:p w:rsidR="5FC4BC39" w:rsidP="5FC4BC39" w:rsidRDefault="5FC4BC39" w14:paraId="0B3D6C4F" w14:textId="281287E3">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19.8x</w:t>
            </w:r>
          </w:p>
        </w:tc>
        <w:tc>
          <w:tcPr>
            <w:tcW w:w="909" w:type="dxa"/>
            <w:tcMar/>
            <w:vAlign w:val="center"/>
          </w:tcPr>
          <w:p w:rsidR="5FC4BC39" w:rsidP="5FC4BC39" w:rsidRDefault="5FC4BC39" w14:paraId="441D8549" w14:textId="0DFA056A">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17.3x</w:t>
            </w:r>
          </w:p>
        </w:tc>
        <w:tc>
          <w:tcPr>
            <w:tcW w:w="905" w:type="dxa"/>
            <w:tcMar/>
            <w:vAlign w:val="center"/>
          </w:tcPr>
          <w:p w:rsidR="5FC4BC39" w:rsidP="5FC4BC39" w:rsidRDefault="5FC4BC39" w14:paraId="4E3E146E" w14:textId="0CEF3A0E">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16.5x</w:t>
            </w:r>
          </w:p>
        </w:tc>
      </w:tr>
    </w:tbl>
    <w:p xmlns:wp14="http://schemas.microsoft.com/office/word/2010/wordml" w:rsidP="5FC4BC39" wp14:paraId="479F7289" wp14:textId="23598DAB">
      <w:pPr>
        <w:pStyle w:val="ListParagraph"/>
        <w:numPr>
          <w:ilvl w:val="0"/>
          <w:numId w:val="4"/>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Trend: No meaningful valuation could be calculated in FY21 due to net losses. Post-recovery, the P/E ratio has compressed consistently, even as profitability has grown strongly.</w:t>
      </w:r>
    </w:p>
    <w:p xmlns:wp14="http://schemas.microsoft.com/office/word/2010/wordml" w:rsidP="5FC4BC39" wp14:paraId="45D6505C" wp14:textId="4A18F818">
      <w:pPr>
        <w:pStyle w:val="ListParagraph"/>
        <w:numPr>
          <w:ilvl w:val="0"/>
          <w:numId w:val="4"/>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Key Drivers: Earnings have expanded faster than the share price has appreciated, bringing the valuation more in line with underlying performance. While the ratio still trades at a premium to the broader UK equity market, it has converged toward the average for high-quality hospitality peers, reducing relative overvaluation.</w:t>
      </w:r>
    </w:p>
    <w:p xmlns:wp14="http://schemas.microsoft.com/office/word/2010/wordml" w:rsidP="5FC4BC39" wp14:paraId="6A27F7D4" wp14:textId="0700457C">
      <w:pPr>
        <w:pStyle w:val="ListParagraph"/>
        <w:numPr>
          <w:ilvl w:val="0"/>
          <w:numId w:val="4"/>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Implication: The market has not yet fully re-rated the business to reflect its restored profitability and cash strength, creating potential upside for investors. The compression also signals that the share price is becoming more grounded in fundamental performance rather than sentiment-driven premium pricing.</w:t>
      </w:r>
    </w:p>
    <w:p xmlns:wp14="http://schemas.microsoft.com/office/word/2010/wordml" w:rsidP="5FC4BC39" wp14:paraId="262F0C56" wp14:textId="3972D5DC">
      <w:pPr>
        <w:pStyle w:val="Heading3"/>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Overall Conclusion</w:t>
      </w:r>
    </w:p>
    <w:p xmlns:wp14="http://schemas.microsoft.com/office/word/2010/wordml" w:rsidP="5FC4BC39" wp14:paraId="014B52F4" wp14:textId="45C7F5F2">
      <w:pPr>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Over the five-year period, the business has transitioned from a pandemic-impacted loss-making entity to a profitable, cash-generative market leader. All core metrics confirm a sustainable improvement in performance, supported by operational excellence, prudent financial management, and favourable sector demand dynamics. While the pace of improvement has moderated in the most recent fiscal year, this reflects a stabilisation at elevated performance levels rather than a weakening in underlying fundamentals.</w:t>
      </w:r>
    </w:p>
    <w:p xmlns:wp14="http://schemas.microsoft.com/office/word/2010/wordml" w:rsidP="5FC4BC39" wp14:paraId="554AD786" wp14:textId="64C294E5">
      <w:pPr>
        <w:pStyle w:val="Heading1"/>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Financial Performance Summary: FY21–FY25</w:t>
      </w:r>
    </w:p>
    <w:p xmlns:wp14="http://schemas.microsoft.com/office/word/2010/wordml" w:rsidP="5FC4BC39" wp14:paraId="6322B493" wp14:textId="7303EAE3">
      <w:pPr>
        <w:pStyle w:val="Heading2"/>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Hospitality Sector – Five-Year Trend Analysis</w:t>
      </w:r>
    </w:p>
    <w:p xmlns:wp14="http://schemas.microsoft.com/office/word/2010/wordml" wp14:paraId="2E8ADF43" wp14:textId="3CD5EC6E"/>
    <w:p xmlns:wp14="http://schemas.microsoft.com/office/word/2010/wordml" w:rsidP="5FC4BC39" wp14:paraId="5FD2CFD3" wp14:textId="7F9C7F92">
      <w:pPr>
        <w:pStyle w:val="Heading2"/>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Page 1: Core Performance &amp; Profitability Metrics</w:t>
      </w:r>
    </w:p>
    <w:p xmlns:wp14="http://schemas.microsoft.com/office/word/2010/wordml" w:rsidP="5FC4BC39" wp14:paraId="5D833335" wp14:textId="7BD6D463">
      <w:pPr>
        <w:pStyle w:val="Heading3"/>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Overview</w:t>
      </w:r>
    </w:p>
    <w:p xmlns:wp14="http://schemas.microsoft.com/office/word/2010/wordml" w:rsidP="5FC4BC39" wp14:paraId="25EF0CA5" wp14:textId="3B379C30">
      <w:pPr>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This five-year review covers the period from the post-COVID-19 recovery through to sustained operational and financial strength. The business has completed a full turnaround from pandemic-related losses, delivering consistent, broad-based improvements across profitability, asset efficiency, cash generation, and valuation metrics. All trends reflect a strategy focused on revenue quality, cost discipline, capital efficiency, and balance sheet resilience.</w:t>
      </w:r>
    </w:p>
    <w:p xmlns:wp14="http://schemas.microsoft.com/office/word/2010/wordml" w:rsidP="5FC4BC39" wp14:paraId="60F369E9" wp14:textId="572FC4E0">
      <w:pPr>
        <w:pStyle w:val="Heading3"/>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Return on Equity (ROE)</w:t>
      </w:r>
    </w:p>
    <w:p xmlns:wp14="http://schemas.microsoft.com/office/word/2010/wordml" w:rsidP="5FC4BC39" wp14:paraId="53A78948" wp14:textId="1C59CE7A">
      <w:pPr>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Table</w:t>
      </w:r>
    </w:p>
    <w:tbl>
      <w:tblPr>
        <w:tblStyle w:val="TableNormal"/>
        <w:bidiVisual w:val="0"/>
        <w:tblW w:w="0" w:type="auto"/>
        <w:tblLook w:val="06A0" w:firstRow="1" w:lastRow="0" w:firstColumn="1" w:lastColumn="0" w:noHBand="1" w:noVBand="1"/>
      </w:tblPr>
      <w:tblGrid>
        <w:gridCol w:w="1078"/>
        <w:gridCol w:w="927"/>
        <w:gridCol w:w="965"/>
        <w:gridCol w:w="955"/>
        <w:gridCol w:w="997"/>
      </w:tblGrid>
      <w:tr w:rsidR="5FC4BC39" w:rsidTr="5FC4BC39" w14:paraId="64711053">
        <w:trPr>
          <w:trHeight w:val="300"/>
        </w:trPr>
        <w:tc>
          <w:tcPr>
            <w:tcW w:w="1078" w:type="dxa"/>
            <w:tcMar/>
            <w:vAlign w:val="center"/>
          </w:tcPr>
          <w:p w:rsidR="5FC4BC39" w:rsidP="5FC4BC39" w:rsidRDefault="5FC4BC39" w14:paraId="0818B671" w14:textId="43370955">
            <w:pPr>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FY21</w:t>
            </w:r>
          </w:p>
        </w:tc>
        <w:tc>
          <w:tcPr>
            <w:tcW w:w="927" w:type="dxa"/>
            <w:tcMar/>
            <w:vAlign w:val="center"/>
          </w:tcPr>
          <w:p w:rsidR="5FC4BC39" w:rsidP="5FC4BC39" w:rsidRDefault="5FC4BC39" w14:paraId="08DABF58" w14:textId="21E46515">
            <w:pPr>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FY22</w:t>
            </w:r>
          </w:p>
        </w:tc>
        <w:tc>
          <w:tcPr>
            <w:tcW w:w="965" w:type="dxa"/>
            <w:tcMar/>
            <w:vAlign w:val="center"/>
          </w:tcPr>
          <w:p w:rsidR="5FC4BC39" w:rsidP="5FC4BC39" w:rsidRDefault="5FC4BC39" w14:paraId="4B21E1EE" w14:textId="7C513FC1">
            <w:pPr>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FY23</w:t>
            </w:r>
          </w:p>
        </w:tc>
        <w:tc>
          <w:tcPr>
            <w:tcW w:w="955" w:type="dxa"/>
            <w:tcMar/>
            <w:vAlign w:val="center"/>
          </w:tcPr>
          <w:p w:rsidR="5FC4BC39" w:rsidP="5FC4BC39" w:rsidRDefault="5FC4BC39" w14:paraId="7C99E694" w14:textId="3837655F">
            <w:pPr>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FY24</w:t>
            </w:r>
          </w:p>
        </w:tc>
        <w:tc>
          <w:tcPr>
            <w:tcW w:w="997" w:type="dxa"/>
            <w:tcMar/>
            <w:vAlign w:val="center"/>
          </w:tcPr>
          <w:p w:rsidR="5FC4BC39" w:rsidP="5FC4BC39" w:rsidRDefault="5FC4BC39" w14:paraId="63C54599" w14:textId="490BC662">
            <w:pPr>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FY25</w:t>
            </w:r>
          </w:p>
        </w:tc>
      </w:tr>
      <w:tr w:rsidR="5FC4BC39" w:rsidTr="5FC4BC39" w14:paraId="02E30D4C">
        <w:trPr>
          <w:trHeight w:val="300"/>
        </w:trPr>
        <w:tc>
          <w:tcPr>
            <w:tcW w:w="1078" w:type="dxa"/>
            <w:tcMar/>
            <w:vAlign w:val="center"/>
          </w:tcPr>
          <w:p w:rsidR="5FC4BC39" w:rsidP="5FC4BC39" w:rsidRDefault="5FC4BC39" w14:paraId="1543FE52" w14:textId="071E0FF5">
            <w:pPr>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-12.4%</w:t>
            </w:r>
          </w:p>
        </w:tc>
        <w:tc>
          <w:tcPr>
            <w:tcW w:w="927" w:type="dxa"/>
            <w:tcMar/>
            <w:vAlign w:val="center"/>
          </w:tcPr>
          <w:p w:rsidR="5FC4BC39" w:rsidP="5FC4BC39" w:rsidRDefault="5FC4BC39" w14:paraId="3AB42DB9" w14:textId="1DC4CA31">
            <w:pPr>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10.1%</w:t>
            </w:r>
          </w:p>
        </w:tc>
        <w:tc>
          <w:tcPr>
            <w:tcW w:w="965" w:type="dxa"/>
            <w:tcMar/>
            <w:vAlign w:val="center"/>
          </w:tcPr>
          <w:p w:rsidR="5FC4BC39" w:rsidP="5FC4BC39" w:rsidRDefault="5FC4BC39" w14:paraId="40D5CA4A" w14:textId="6116C5C4">
            <w:pPr>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15.3%</w:t>
            </w:r>
          </w:p>
        </w:tc>
        <w:tc>
          <w:tcPr>
            <w:tcW w:w="955" w:type="dxa"/>
            <w:tcMar/>
            <w:vAlign w:val="center"/>
          </w:tcPr>
          <w:p w:rsidR="5FC4BC39" w:rsidP="5FC4BC39" w:rsidRDefault="5FC4BC39" w14:paraId="789B38F5" w14:textId="57871D3F">
            <w:pPr>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18.7%</w:t>
            </w:r>
          </w:p>
        </w:tc>
        <w:tc>
          <w:tcPr>
            <w:tcW w:w="997" w:type="dxa"/>
            <w:tcMar/>
            <w:vAlign w:val="center"/>
          </w:tcPr>
          <w:p w:rsidR="5FC4BC39" w:rsidP="5FC4BC39" w:rsidRDefault="5FC4BC39" w14:paraId="5BBDB75D" w14:textId="50E357D7">
            <w:pPr>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20.2%</w:t>
            </w:r>
          </w:p>
        </w:tc>
      </w:tr>
    </w:tbl>
    <w:p xmlns:wp14="http://schemas.microsoft.com/office/word/2010/wordml" w:rsidP="5FC4BC39" wp14:paraId="6FDA27BC" wp14:textId="7FF6855E">
      <w:pPr>
        <w:pStyle w:val="ListParagraph"/>
        <w:numPr>
          <w:ilvl w:val="0"/>
          <w:numId w:val="5"/>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Trend: The business moved from a double-digit loss in FY21 to consistent double-digit returns, rising steadily to a multi-year high of 20.2% in FY25. Growth has slowed only marginally in the latest year, indicating a maturing but still expanding profitability profile.</w:t>
      </w:r>
    </w:p>
    <w:p xmlns:wp14="http://schemas.microsoft.com/office/word/2010/wordml" w:rsidP="5FC4BC39" wp14:paraId="7E106542" wp14:textId="4B80EE9F">
      <w:pPr>
        <w:pStyle w:val="ListParagraph"/>
        <w:numPr>
          <w:ilvl w:val="0"/>
          <w:numId w:val="5"/>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Key Drivers: The initial recovery was driven by the removal of pandemic restrictions and rebounding demand. Subsequent gains stem from sustained margin expansion, improved asset utilisation, and targeted share buybacks that reduce the equity base while boosting per-share returns. Operational leverage – where revenue growth outpaces cost growth – has also been a core contributor.</w:t>
      </w:r>
    </w:p>
    <w:p xmlns:wp14="http://schemas.microsoft.com/office/word/2010/wordml" w:rsidP="5FC4BC39" wp14:paraId="16F9DB89" wp14:textId="03497201">
      <w:pPr>
        <w:pStyle w:val="ListParagraph"/>
        <w:numPr>
          <w:ilvl w:val="0"/>
          <w:numId w:val="5"/>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Implication: Returns to shareholders are now well above typical sector benchmarks, demonstrating effective use of investor capital and strong management of both operational and financial levers.</w:t>
      </w:r>
    </w:p>
    <w:p xmlns:wp14="http://schemas.microsoft.com/office/word/2010/wordml" w:rsidP="5FC4BC39" wp14:paraId="392B3ECF" wp14:textId="36D0CB0D">
      <w:pPr>
        <w:pStyle w:val="Heading3"/>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Return on Assets (ROA)</w:t>
      </w:r>
    </w:p>
    <w:p xmlns:wp14="http://schemas.microsoft.com/office/word/2010/wordml" w:rsidP="5FC4BC39" wp14:paraId="5A0CC24C" wp14:textId="2510D2A7">
      <w:pPr>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Table</w:t>
      </w:r>
    </w:p>
    <w:tbl>
      <w:tblPr>
        <w:tblStyle w:val="TableNormal"/>
        <w:bidiVisual w:val="0"/>
        <w:tblW w:w="0" w:type="auto"/>
        <w:tblLook w:val="06A0" w:firstRow="1" w:lastRow="0" w:firstColumn="1" w:lastColumn="0" w:noHBand="1" w:noVBand="1"/>
      </w:tblPr>
      <w:tblGrid>
        <w:gridCol w:w="974"/>
        <w:gridCol w:w="900"/>
        <w:gridCol w:w="906"/>
        <w:gridCol w:w="909"/>
        <w:gridCol w:w="905"/>
      </w:tblGrid>
      <w:tr w:rsidR="5FC4BC39" w:rsidTr="5FC4BC39" w14:paraId="5CCA112D">
        <w:trPr>
          <w:trHeight w:val="300"/>
        </w:trPr>
        <w:tc>
          <w:tcPr>
            <w:tcW w:w="974" w:type="dxa"/>
            <w:tcMar/>
            <w:vAlign w:val="center"/>
          </w:tcPr>
          <w:p w:rsidR="5FC4BC39" w:rsidP="5FC4BC39" w:rsidRDefault="5FC4BC39" w14:paraId="4A67D768" w14:textId="514D42EA">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FY21</w:t>
            </w:r>
          </w:p>
        </w:tc>
        <w:tc>
          <w:tcPr>
            <w:tcW w:w="900" w:type="dxa"/>
            <w:tcMar/>
            <w:vAlign w:val="center"/>
          </w:tcPr>
          <w:p w:rsidR="5FC4BC39" w:rsidP="5FC4BC39" w:rsidRDefault="5FC4BC39" w14:paraId="7A2DB294" w14:textId="7EE035B4">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FY22</w:t>
            </w:r>
          </w:p>
        </w:tc>
        <w:tc>
          <w:tcPr>
            <w:tcW w:w="906" w:type="dxa"/>
            <w:tcMar/>
            <w:vAlign w:val="center"/>
          </w:tcPr>
          <w:p w:rsidR="5FC4BC39" w:rsidP="5FC4BC39" w:rsidRDefault="5FC4BC39" w14:paraId="0549A249" w14:textId="1D4C8370">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FY23</w:t>
            </w:r>
          </w:p>
        </w:tc>
        <w:tc>
          <w:tcPr>
            <w:tcW w:w="909" w:type="dxa"/>
            <w:tcMar/>
            <w:vAlign w:val="center"/>
          </w:tcPr>
          <w:p w:rsidR="5FC4BC39" w:rsidP="5FC4BC39" w:rsidRDefault="5FC4BC39" w14:paraId="05F9894E" w14:textId="7770428B">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FY24</w:t>
            </w:r>
          </w:p>
        </w:tc>
        <w:tc>
          <w:tcPr>
            <w:tcW w:w="905" w:type="dxa"/>
            <w:tcMar/>
            <w:vAlign w:val="center"/>
          </w:tcPr>
          <w:p w:rsidR="5FC4BC39" w:rsidP="5FC4BC39" w:rsidRDefault="5FC4BC39" w14:paraId="6B1A0965" w14:textId="1119A80D">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FY25</w:t>
            </w:r>
          </w:p>
        </w:tc>
      </w:tr>
      <w:tr w:rsidR="5FC4BC39" w:rsidTr="5FC4BC39" w14:paraId="0A6D2BA1">
        <w:trPr>
          <w:trHeight w:val="300"/>
        </w:trPr>
        <w:tc>
          <w:tcPr>
            <w:tcW w:w="974" w:type="dxa"/>
            <w:tcMar/>
            <w:vAlign w:val="center"/>
          </w:tcPr>
          <w:p w:rsidR="5FC4BC39" w:rsidP="5FC4BC39" w:rsidRDefault="5FC4BC39" w14:paraId="51CDA8CD" w14:textId="44097230">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-4.8%</w:t>
            </w:r>
          </w:p>
        </w:tc>
        <w:tc>
          <w:tcPr>
            <w:tcW w:w="900" w:type="dxa"/>
            <w:tcMar/>
            <w:vAlign w:val="center"/>
          </w:tcPr>
          <w:p w:rsidR="5FC4BC39" w:rsidP="5FC4BC39" w:rsidRDefault="5FC4BC39" w14:paraId="1A40A845" w14:textId="6DD9835B">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4.2%</w:t>
            </w:r>
          </w:p>
        </w:tc>
        <w:tc>
          <w:tcPr>
            <w:tcW w:w="906" w:type="dxa"/>
            <w:tcMar/>
            <w:vAlign w:val="center"/>
          </w:tcPr>
          <w:p w:rsidR="5FC4BC39" w:rsidP="5FC4BC39" w:rsidRDefault="5FC4BC39" w14:paraId="1B1B6FB5" w14:textId="6023B9E2">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6.5%</w:t>
            </w:r>
          </w:p>
        </w:tc>
        <w:tc>
          <w:tcPr>
            <w:tcW w:w="909" w:type="dxa"/>
            <w:tcMar/>
            <w:vAlign w:val="center"/>
          </w:tcPr>
          <w:p w:rsidR="5FC4BC39" w:rsidP="5FC4BC39" w:rsidRDefault="5FC4BC39" w14:paraId="5CB33EDE" w14:textId="533083EF">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7.9%</w:t>
            </w:r>
          </w:p>
        </w:tc>
        <w:tc>
          <w:tcPr>
            <w:tcW w:w="905" w:type="dxa"/>
            <w:tcMar/>
            <w:vAlign w:val="center"/>
          </w:tcPr>
          <w:p w:rsidR="5FC4BC39" w:rsidP="5FC4BC39" w:rsidRDefault="5FC4BC39" w14:paraId="6D47375E" w14:textId="355A659A">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8.6%</w:t>
            </w:r>
          </w:p>
        </w:tc>
      </w:tr>
    </w:tbl>
    <w:p xmlns:wp14="http://schemas.microsoft.com/office/word/2010/wordml" w:rsidP="5FC4BC39" wp14:paraId="521109B6" wp14:textId="57D45F44">
      <w:pPr>
        <w:pStyle w:val="ListParagraph"/>
        <w:numPr>
          <w:ilvl w:val="0"/>
          <w:numId w:val="6"/>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Trend: ROA tracks ROE closely, confirming that profitability improvements are rooted in better operational performance rather than increased financial leverage. After returning to positive territory in FY22, the metric has advanced steadily, with only modest deceleration in FY25.</w:t>
      </w:r>
    </w:p>
    <w:p xmlns:wp14="http://schemas.microsoft.com/office/word/2010/wordml" w:rsidP="5FC4BC39" wp14:paraId="0E958A74" wp14:textId="329B6E54">
      <w:pPr>
        <w:pStyle w:val="ListParagraph"/>
        <w:numPr>
          <w:ilvl w:val="0"/>
          <w:numId w:val="6"/>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Key Drivers: Higher revenue per available room (RevPAR) – driven by stronger average daily rates and improved occupancy – is the primary top-line driver. This is complemented by tight cost control across labour, property, and overheads, plus disciplined capital allocation that prioritises high-return investments over unnecessary expenditure.</w:t>
      </w:r>
    </w:p>
    <w:p xmlns:wp14="http://schemas.microsoft.com/office/word/2010/wordml" w:rsidP="5FC4BC39" wp14:paraId="215BFD39" wp14:textId="5C183B32">
      <w:pPr>
        <w:pStyle w:val="ListParagraph"/>
        <w:numPr>
          <w:ilvl w:val="0"/>
          <w:numId w:val="6"/>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Implication: Every pound invested in assets now generates significantly more value than in the immediate post-pandemic period. The business is maximising output from its existing asset base, reducing the need for large-scale capital spending to drive growth.</w:t>
      </w:r>
    </w:p>
    <w:p xmlns:wp14="http://schemas.microsoft.com/office/word/2010/wordml" wp14:paraId="1DF6463F" wp14:textId="58B109B3"/>
    <w:p xmlns:wp14="http://schemas.microsoft.com/office/word/2010/wordml" w:rsidP="5FC4BC39" wp14:paraId="33890A2C" wp14:textId="672ED3D8">
      <w:pPr>
        <w:pStyle w:val="Heading2"/>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Page 2: Cash Generation &amp; Valuation</w:t>
      </w:r>
    </w:p>
    <w:p xmlns:wp14="http://schemas.microsoft.com/office/word/2010/wordml" w:rsidP="5FC4BC39" wp14:paraId="40FE7B7F" wp14:textId="1AB32989">
      <w:pPr>
        <w:pStyle w:val="Heading3"/>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Cash Flow Metrics</w:t>
      </w:r>
    </w:p>
    <w:p xmlns:wp14="http://schemas.microsoft.com/office/word/2010/wordml" w:rsidP="5FC4BC39" wp14:paraId="0B30DBFF" wp14:textId="29BA0511">
      <w:pPr>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Table</w:t>
      </w:r>
    </w:p>
    <w:tbl>
      <w:tblPr>
        <w:tblStyle w:val="TableNormal"/>
        <w:bidiVisual w:val="0"/>
        <w:tblW w:w="0" w:type="auto"/>
        <w:tblLook w:val="06A0" w:firstRow="1" w:lastRow="0" w:firstColumn="1" w:lastColumn="0" w:noHBand="1" w:noVBand="1"/>
      </w:tblPr>
      <w:tblGrid>
        <w:gridCol w:w="3180"/>
        <w:gridCol w:w="966"/>
        <w:gridCol w:w="900"/>
        <w:gridCol w:w="906"/>
        <w:gridCol w:w="909"/>
        <w:gridCol w:w="905"/>
      </w:tblGrid>
      <w:tr w:rsidR="5FC4BC39" w:rsidTr="5FC4BC39" w14:paraId="66A2A5C5">
        <w:trPr>
          <w:trHeight w:val="300"/>
        </w:trPr>
        <w:tc>
          <w:tcPr>
            <w:tcW w:w="3180" w:type="dxa"/>
            <w:tcMar/>
            <w:vAlign w:val="center"/>
          </w:tcPr>
          <w:p w:rsidR="5FC4BC39" w:rsidP="5FC4BC39" w:rsidRDefault="5FC4BC39" w14:paraId="4EB47452" w14:textId="5AAF3738">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Metric</w:t>
            </w:r>
          </w:p>
        </w:tc>
        <w:tc>
          <w:tcPr>
            <w:tcW w:w="966" w:type="dxa"/>
            <w:tcMar/>
            <w:vAlign w:val="center"/>
          </w:tcPr>
          <w:p w:rsidR="5FC4BC39" w:rsidP="5FC4BC39" w:rsidRDefault="5FC4BC39" w14:paraId="45EDE131" w14:textId="5ED26B84">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FY21</w:t>
            </w:r>
          </w:p>
        </w:tc>
        <w:tc>
          <w:tcPr>
            <w:tcW w:w="900" w:type="dxa"/>
            <w:tcMar/>
            <w:vAlign w:val="center"/>
          </w:tcPr>
          <w:p w:rsidR="5FC4BC39" w:rsidP="5FC4BC39" w:rsidRDefault="5FC4BC39" w14:paraId="7F66F936" w14:textId="555C8DC0">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FY22</w:t>
            </w:r>
          </w:p>
        </w:tc>
        <w:tc>
          <w:tcPr>
            <w:tcW w:w="906" w:type="dxa"/>
            <w:tcMar/>
            <w:vAlign w:val="center"/>
          </w:tcPr>
          <w:p w:rsidR="5FC4BC39" w:rsidP="5FC4BC39" w:rsidRDefault="5FC4BC39" w14:paraId="1273B366" w14:textId="043BD8CE">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FY23</w:t>
            </w:r>
          </w:p>
        </w:tc>
        <w:tc>
          <w:tcPr>
            <w:tcW w:w="909" w:type="dxa"/>
            <w:tcMar/>
            <w:vAlign w:val="center"/>
          </w:tcPr>
          <w:p w:rsidR="5FC4BC39" w:rsidP="5FC4BC39" w:rsidRDefault="5FC4BC39" w14:paraId="6B313FB1" w14:textId="6CD16B68">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FY24</w:t>
            </w:r>
          </w:p>
        </w:tc>
        <w:tc>
          <w:tcPr>
            <w:tcW w:w="905" w:type="dxa"/>
            <w:tcMar/>
            <w:vAlign w:val="center"/>
          </w:tcPr>
          <w:p w:rsidR="5FC4BC39" w:rsidP="5FC4BC39" w:rsidRDefault="5FC4BC39" w14:paraId="68B9A8C4" w14:textId="41EAA7A0">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FY25</w:t>
            </w:r>
          </w:p>
        </w:tc>
      </w:tr>
      <w:tr w:rsidR="5FC4BC39" w:rsidTr="5FC4BC39" w14:paraId="46997781">
        <w:trPr>
          <w:trHeight w:val="300"/>
        </w:trPr>
        <w:tc>
          <w:tcPr>
            <w:tcW w:w="3180" w:type="dxa"/>
            <w:tcMar/>
            <w:vAlign w:val="center"/>
          </w:tcPr>
          <w:p w:rsidR="5FC4BC39" w:rsidP="5FC4BC39" w:rsidRDefault="5FC4BC39" w14:paraId="4E8B0A52" w14:textId="65C2F45F">
            <w:pPr>
              <w:bidi w:val="0"/>
              <w:spacing w:before="0" w:beforeAutospacing="off" w:after="0" w:afterAutospacing="off" w:line="360" w:lineRule="auto"/>
            </w:pPr>
            <w:r w:rsidRPr="5FC4BC39" w:rsidR="5FC4BC39">
              <w:rPr>
                <w:rFonts w:ascii="system-ui" w:hAnsi="system-ui" w:eastAsia="system-ui" w:cs="system-ui"/>
                <w:b w:val="0"/>
                <w:bCs w:val="0"/>
                <w:i w:val="0"/>
                <w:iCs w:val="0"/>
                <w:color w:val="000000" w:themeColor="text1" w:themeTint="FF" w:themeShade="FF"/>
                <w:sz w:val="24"/>
                <w:szCs w:val="24"/>
              </w:rPr>
              <w:t>Operating Cash Flow Ratio</w:t>
            </w:r>
          </w:p>
        </w:tc>
        <w:tc>
          <w:tcPr>
            <w:tcW w:w="966" w:type="dxa"/>
            <w:tcMar/>
            <w:vAlign w:val="center"/>
          </w:tcPr>
          <w:p w:rsidR="5FC4BC39" w:rsidP="5FC4BC39" w:rsidRDefault="5FC4BC39" w14:paraId="40DD11A5" w14:textId="5F386FB6">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0.81</w:t>
            </w:r>
          </w:p>
        </w:tc>
        <w:tc>
          <w:tcPr>
            <w:tcW w:w="900" w:type="dxa"/>
            <w:tcMar/>
            <w:vAlign w:val="center"/>
          </w:tcPr>
          <w:p w:rsidR="5FC4BC39" w:rsidP="5FC4BC39" w:rsidRDefault="5FC4BC39" w14:paraId="4853771E" w14:textId="3BE9C3F8">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1.32</w:t>
            </w:r>
          </w:p>
        </w:tc>
        <w:tc>
          <w:tcPr>
            <w:tcW w:w="906" w:type="dxa"/>
            <w:tcMar/>
            <w:vAlign w:val="center"/>
          </w:tcPr>
          <w:p w:rsidR="5FC4BC39" w:rsidP="5FC4BC39" w:rsidRDefault="5FC4BC39" w14:paraId="4EE4C231" w14:textId="00146F73">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1.47</w:t>
            </w:r>
          </w:p>
        </w:tc>
        <w:tc>
          <w:tcPr>
            <w:tcW w:w="909" w:type="dxa"/>
            <w:tcMar/>
            <w:vAlign w:val="center"/>
          </w:tcPr>
          <w:p w:rsidR="5FC4BC39" w:rsidP="5FC4BC39" w:rsidRDefault="5FC4BC39" w14:paraId="00D33F3E" w14:textId="2BD8F801">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1.54</w:t>
            </w:r>
          </w:p>
        </w:tc>
        <w:tc>
          <w:tcPr>
            <w:tcW w:w="905" w:type="dxa"/>
            <w:tcMar/>
            <w:vAlign w:val="center"/>
          </w:tcPr>
          <w:p w:rsidR="5FC4BC39" w:rsidP="5FC4BC39" w:rsidRDefault="5FC4BC39" w14:paraId="74E70536" w14:textId="0484B09B">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1.58</w:t>
            </w:r>
          </w:p>
        </w:tc>
      </w:tr>
      <w:tr w:rsidR="5FC4BC39" w:rsidTr="5FC4BC39" w14:paraId="0072070F">
        <w:trPr>
          <w:trHeight w:val="300"/>
        </w:trPr>
        <w:tc>
          <w:tcPr>
            <w:tcW w:w="3180" w:type="dxa"/>
            <w:tcMar/>
            <w:vAlign w:val="center"/>
          </w:tcPr>
          <w:p w:rsidR="5FC4BC39" w:rsidP="5FC4BC39" w:rsidRDefault="5FC4BC39" w14:paraId="036E6615" w14:textId="51ADE786">
            <w:pPr>
              <w:bidi w:val="0"/>
              <w:spacing w:before="0" w:beforeAutospacing="off" w:after="0" w:afterAutospacing="off" w:line="360" w:lineRule="auto"/>
            </w:pPr>
            <w:r w:rsidRPr="5FC4BC39" w:rsidR="5FC4BC39">
              <w:rPr>
                <w:rFonts w:ascii="system-ui" w:hAnsi="system-ui" w:eastAsia="system-ui" w:cs="system-ui"/>
                <w:b w:val="0"/>
                <w:bCs w:val="0"/>
                <w:i w:val="0"/>
                <w:iCs w:val="0"/>
                <w:color w:val="000000" w:themeColor="text1" w:themeTint="FF" w:themeShade="FF"/>
                <w:sz w:val="24"/>
                <w:szCs w:val="24"/>
              </w:rPr>
              <w:t>Free Cash Flow Margin %</w:t>
            </w:r>
          </w:p>
        </w:tc>
        <w:tc>
          <w:tcPr>
            <w:tcW w:w="966" w:type="dxa"/>
            <w:tcMar/>
            <w:vAlign w:val="center"/>
          </w:tcPr>
          <w:p w:rsidR="5FC4BC39" w:rsidP="5FC4BC39" w:rsidRDefault="5FC4BC39" w14:paraId="72C14599" w14:textId="381F425F">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-3.2%</w:t>
            </w:r>
          </w:p>
        </w:tc>
        <w:tc>
          <w:tcPr>
            <w:tcW w:w="900" w:type="dxa"/>
            <w:tcMar/>
            <w:vAlign w:val="center"/>
          </w:tcPr>
          <w:p w:rsidR="5FC4BC39" w:rsidP="5FC4BC39" w:rsidRDefault="5FC4BC39" w14:paraId="3332F5CA" w14:textId="1E1F3982">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4.7%</w:t>
            </w:r>
          </w:p>
        </w:tc>
        <w:tc>
          <w:tcPr>
            <w:tcW w:w="906" w:type="dxa"/>
            <w:tcMar/>
            <w:vAlign w:val="center"/>
          </w:tcPr>
          <w:p w:rsidR="5FC4BC39" w:rsidP="5FC4BC39" w:rsidRDefault="5FC4BC39" w14:paraId="2B23ED60" w14:textId="767CA7BD">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7.2%</w:t>
            </w:r>
          </w:p>
        </w:tc>
        <w:tc>
          <w:tcPr>
            <w:tcW w:w="909" w:type="dxa"/>
            <w:tcMar/>
            <w:vAlign w:val="center"/>
          </w:tcPr>
          <w:p w:rsidR="5FC4BC39" w:rsidP="5FC4BC39" w:rsidRDefault="5FC4BC39" w14:paraId="0FFAB5C3" w14:textId="6B6A5107">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8.1%</w:t>
            </w:r>
          </w:p>
        </w:tc>
        <w:tc>
          <w:tcPr>
            <w:tcW w:w="905" w:type="dxa"/>
            <w:tcMar/>
            <w:vAlign w:val="center"/>
          </w:tcPr>
          <w:p w:rsidR="5FC4BC39" w:rsidP="5FC4BC39" w:rsidRDefault="5FC4BC39" w14:paraId="5DDE4FE9" w14:textId="1D2F47A6">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8.5%</w:t>
            </w:r>
          </w:p>
        </w:tc>
      </w:tr>
    </w:tbl>
    <w:p xmlns:wp14="http://schemas.microsoft.com/office/word/2010/wordml" w:rsidP="5FC4BC39" wp14:paraId="62D0BEE4" wp14:textId="045913C3">
      <w:pPr>
        <w:pStyle w:val="ListParagraph"/>
        <w:numPr>
          <w:ilvl w:val="0"/>
          <w:numId w:val="7"/>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Operating Cash Flow Ratio: This metric measures the ability of core operations to cover short-term liabilities. In FY21, operations did not generate enough cash to meet current obligations, requiring external support or reserve drawdowns. From FY22 onwards, the ratio has remained comfortably above 1.0, meaning operating cash fully covers all current liabilities, with surplus funds available for reinvestment, dividends, or debt reduction. Further gains have been modest in recent years, signalling that liquidity strength has stabilised at a robust level. Improvements come from rigorous working capital management – including tighter receivables terms and optimised inventory – alongside resilient consumer spending patterns.</w:t>
      </w:r>
    </w:p>
    <w:p xmlns:wp14="http://schemas.microsoft.com/office/word/2010/wordml" w:rsidP="5FC4BC39" wp14:paraId="1AC4DABC" wp14:textId="5778F145">
      <w:pPr>
        <w:pStyle w:val="ListParagraph"/>
        <w:numPr>
          <w:ilvl w:val="0"/>
          <w:numId w:val="7"/>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Free Cash Flow Margin: The business converted losses into positive free cash flow from FY22, with the margin more than doubling over three years before settling at 8.5% in FY25. This improvement reflects disciplined capital expenditure, where investment is focused on high-return upgrades rather than large-scale expansion, alongside top-line growth that translates directly into cash.</w:t>
      </w:r>
    </w:p>
    <w:p xmlns:wp14="http://schemas.microsoft.com/office/word/2010/wordml" w:rsidP="5FC4BC39" wp14:paraId="54FC8426" wp14:textId="3CACBF15">
      <w:pPr>
        <w:pStyle w:val="ListParagraph"/>
        <w:numPr>
          <w:ilvl w:val="0"/>
          <w:numId w:val="7"/>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Implication: Cash generation is now one of the business’s strongest attributes. Volatility associated with the pandemic has been eliminated, and the company has substantial financial flexibility to pursue strategic priorities without relying heavily on external financing.</w:t>
      </w:r>
    </w:p>
    <w:p xmlns:wp14="http://schemas.microsoft.com/office/word/2010/wordml" w:rsidP="5FC4BC39" wp14:paraId="3A8AF55A" wp14:textId="74657FE0">
      <w:pPr>
        <w:pStyle w:val="Heading3"/>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Price-to-Earnings (P/E) Ratio</w:t>
      </w:r>
    </w:p>
    <w:p xmlns:wp14="http://schemas.microsoft.com/office/word/2010/wordml" w:rsidP="5FC4BC39" wp14:paraId="2F871DDC" wp14:textId="21774693">
      <w:pPr>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Table</w:t>
      </w:r>
    </w:p>
    <w:tbl>
      <w:tblPr>
        <w:tblStyle w:val="TableNormal"/>
        <w:bidiVisual w:val="0"/>
        <w:tblW w:w="0" w:type="auto"/>
        <w:tblLook w:val="06A0" w:firstRow="1" w:lastRow="0" w:firstColumn="1" w:lastColumn="0" w:noHBand="1" w:noVBand="1"/>
      </w:tblPr>
      <w:tblGrid>
        <w:gridCol w:w="868"/>
        <w:gridCol w:w="900"/>
        <w:gridCol w:w="906"/>
        <w:gridCol w:w="909"/>
        <w:gridCol w:w="905"/>
      </w:tblGrid>
      <w:tr w:rsidR="5FC4BC39" w:rsidTr="5FC4BC39" w14:paraId="0A387266">
        <w:trPr>
          <w:trHeight w:val="300"/>
        </w:trPr>
        <w:tc>
          <w:tcPr>
            <w:tcW w:w="868" w:type="dxa"/>
            <w:tcMar/>
            <w:vAlign w:val="center"/>
          </w:tcPr>
          <w:p w:rsidR="5FC4BC39" w:rsidP="5FC4BC39" w:rsidRDefault="5FC4BC39" w14:paraId="620C6F78" w14:textId="3FB24724">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FY21</w:t>
            </w:r>
          </w:p>
        </w:tc>
        <w:tc>
          <w:tcPr>
            <w:tcW w:w="900" w:type="dxa"/>
            <w:tcMar/>
            <w:vAlign w:val="center"/>
          </w:tcPr>
          <w:p w:rsidR="5FC4BC39" w:rsidP="5FC4BC39" w:rsidRDefault="5FC4BC39" w14:paraId="290C8739" w14:textId="7570FD98">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FY22</w:t>
            </w:r>
          </w:p>
        </w:tc>
        <w:tc>
          <w:tcPr>
            <w:tcW w:w="906" w:type="dxa"/>
            <w:tcMar/>
            <w:vAlign w:val="center"/>
          </w:tcPr>
          <w:p w:rsidR="5FC4BC39" w:rsidP="5FC4BC39" w:rsidRDefault="5FC4BC39" w14:paraId="6B78A1AC" w14:textId="3478AF2C">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FY23</w:t>
            </w:r>
          </w:p>
        </w:tc>
        <w:tc>
          <w:tcPr>
            <w:tcW w:w="909" w:type="dxa"/>
            <w:tcMar/>
            <w:vAlign w:val="center"/>
          </w:tcPr>
          <w:p w:rsidR="5FC4BC39" w:rsidP="5FC4BC39" w:rsidRDefault="5FC4BC39" w14:paraId="478AD3BA" w14:textId="7B11F2ED">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FY24</w:t>
            </w:r>
          </w:p>
        </w:tc>
        <w:tc>
          <w:tcPr>
            <w:tcW w:w="905" w:type="dxa"/>
            <w:tcMar/>
            <w:vAlign w:val="center"/>
          </w:tcPr>
          <w:p w:rsidR="5FC4BC39" w:rsidP="5FC4BC39" w:rsidRDefault="5FC4BC39" w14:paraId="22FFEB82" w14:textId="355C5B59">
            <w:pPr>
              <w:bidi w:val="0"/>
              <w:spacing w:before="0" w:beforeAutospacing="off" w:after="0" w:afterAutospacing="off" w:line="360" w:lineRule="auto"/>
              <w:jc w:val="center"/>
            </w:pPr>
            <w:r w:rsidRPr="5FC4BC39" w:rsidR="5FC4BC39">
              <w:rPr>
                <w:rFonts w:ascii="system-ui" w:hAnsi="system-ui" w:eastAsia="system-ui" w:cs="system-ui"/>
                <w:b w:val="1"/>
                <w:bCs w:val="1"/>
                <w:i w:val="0"/>
                <w:iCs w:val="0"/>
                <w:color w:val="000000" w:themeColor="text1" w:themeTint="FF" w:themeShade="FF"/>
                <w:sz w:val="24"/>
                <w:szCs w:val="24"/>
              </w:rPr>
              <w:t>FY25</w:t>
            </w:r>
          </w:p>
        </w:tc>
      </w:tr>
      <w:tr w:rsidR="5FC4BC39" w:rsidTr="5FC4BC39" w14:paraId="2F3DF37D">
        <w:trPr>
          <w:trHeight w:val="300"/>
        </w:trPr>
        <w:tc>
          <w:tcPr>
            <w:tcW w:w="868" w:type="dxa"/>
            <w:tcMar/>
            <w:vAlign w:val="center"/>
          </w:tcPr>
          <w:p w:rsidR="5FC4BC39" w:rsidP="5FC4BC39" w:rsidRDefault="5FC4BC39" w14:paraId="4EFA7AA2" w14:textId="71E6D0A0">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N/A</w:t>
            </w:r>
          </w:p>
        </w:tc>
        <w:tc>
          <w:tcPr>
            <w:tcW w:w="900" w:type="dxa"/>
            <w:tcMar/>
            <w:vAlign w:val="center"/>
          </w:tcPr>
          <w:p w:rsidR="5FC4BC39" w:rsidP="5FC4BC39" w:rsidRDefault="5FC4BC39" w14:paraId="023E532E" w14:textId="4FF0650E">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24.1x</w:t>
            </w:r>
          </w:p>
        </w:tc>
        <w:tc>
          <w:tcPr>
            <w:tcW w:w="906" w:type="dxa"/>
            <w:tcMar/>
            <w:vAlign w:val="center"/>
          </w:tcPr>
          <w:p w:rsidR="5FC4BC39" w:rsidP="5FC4BC39" w:rsidRDefault="5FC4BC39" w14:paraId="176B94E8" w14:textId="78C7499E">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19.8x</w:t>
            </w:r>
          </w:p>
        </w:tc>
        <w:tc>
          <w:tcPr>
            <w:tcW w:w="909" w:type="dxa"/>
            <w:tcMar/>
            <w:vAlign w:val="center"/>
          </w:tcPr>
          <w:p w:rsidR="5FC4BC39" w:rsidP="5FC4BC39" w:rsidRDefault="5FC4BC39" w14:paraId="30CDD369" w14:textId="1699CF5B">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17.3x</w:t>
            </w:r>
          </w:p>
        </w:tc>
        <w:tc>
          <w:tcPr>
            <w:tcW w:w="905" w:type="dxa"/>
            <w:tcMar/>
            <w:vAlign w:val="center"/>
          </w:tcPr>
          <w:p w:rsidR="5FC4BC39" w:rsidP="5FC4BC39" w:rsidRDefault="5FC4BC39" w14:paraId="01C430BB" w14:textId="1D47646B">
            <w:pPr>
              <w:bidi w:val="0"/>
              <w:spacing w:before="0" w:beforeAutospacing="off" w:after="0" w:afterAutospacing="off" w:line="360" w:lineRule="auto"/>
              <w:jc w:val="right"/>
            </w:pPr>
            <w:r w:rsidRPr="5FC4BC39" w:rsidR="5FC4BC39">
              <w:rPr>
                <w:rFonts w:ascii="system-ui" w:hAnsi="system-ui" w:eastAsia="system-ui" w:cs="system-ui"/>
                <w:b w:val="0"/>
                <w:bCs w:val="0"/>
                <w:i w:val="0"/>
                <w:iCs w:val="0"/>
                <w:color w:val="000000" w:themeColor="text1" w:themeTint="FF" w:themeShade="FF"/>
                <w:sz w:val="24"/>
                <w:szCs w:val="24"/>
              </w:rPr>
              <w:t>16.5x</w:t>
            </w:r>
          </w:p>
        </w:tc>
      </w:tr>
    </w:tbl>
    <w:p xmlns:wp14="http://schemas.microsoft.com/office/word/2010/wordml" w:rsidP="5FC4BC39" wp14:paraId="2743BD70" wp14:textId="58E6D5F3">
      <w:pPr>
        <w:pStyle w:val="ListParagraph"/>
        <w:numPr>
          <w:ilvl w:val="0"/>
          <w:numId w:val="8"/>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Trend: No meaningful valuation could be calculated in FY21 due to net losses. Post-recovery, the P/E ratio has compressed consistently, even as profitability has grown strongly.</w:t>
      </w:r>
    </w:p>
    <w:p xmlns:wp14="http://schemas.microsoft.com/office/word/2010/wordml" w:rsidP="5FC4BC39" wp14:paraId="0A87A613" wp14:textId="60E08ACE">
      <w:pPr>
        <w:pStyle w:val="ListParagraph"/>
        <w:numPr>
          <w:ilvl w:val="0"/>
          <w:numId w:val="8"/>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Key Drivers: Earnings have expanded faster than the share price has appreciated, bringing the valuation more in line with underlying performance. While the ratio still trades at a premium to the broader UK equity market, it has converged toward the average for high-quality hospitality peers, reducing relative overvaluation.</w:t>
      </w:r>
    </w:p>
    <w:p xmlns:wp14="http://schemas.microsoft.com/office/word/2010/wordml" w:rsidP="5FC4BC39" wp14:paraId="30D08C0C" wp14:textId="7F4730B5">
      <w:pPr>
        <w:pStyle w:val="ListParagraph"/>
        <w:numPr>
          <w:ilvl w:val="0"/>
          <w:numId w:val="8"/>
        </w:numPr>
        <w:bidi w:val="0"/>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5FC4BC39" w:rsidR="6A6E8C74">
        <w:rPr>
          <w:rFonts w:ascii="system-ui" w:hAnsi="system-ui" w:eastAsia="system-ui" w:cs="system-ui"/>
          <w:b w:val="0"/>
          <w:bCs w:val="0"/>
          <w:i w:val="0"/>
          <w:iCs w:val="0"/>
          <w:noProof w:val="0"/>
          <w:color w:val="000000" w:themeColor="text1" w:themeTint="FF" w:themeShade="FF"/>
          <w:sz w:val="24"/>
          <w:szCs w:val="24"/>
          <w:lang w:val="en-US"/>
        </w:rPr>
        <w:t>Implication: The market has not yet fully re-rated the business to reflect its restored profitability and cash strength, creating potential upside for investors. The compression also signals that the share price is becoming more grounded in fundamental performance rather than sentiment-driven premium pricing.</w:t>
      </w:r>
    </w:p>
    <w:p xmlns:wp14="http://schemas.microsoft.com/office/word/2010/wordml" w:rsidP="5FC4BC39" wp14:paraId="3F1AAA70" wp14:textId="1A97BE6F">
      <w:pPr>
        <w:pStyle w:val="Heading3"/>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Overall Conclusion</w:t>
      </w:r>
    </w:p>
    <w:p xmlns:wp14="http://schemas.microsoft.com/office/word/2010/wordml" w:rsidP="5FC4BC39" wp14:paraId="5C780296" wp14:textId="2C768EE5">
      <w:pPr>
        <w:bidi w:val="0"/>
        <w:spacing w:before="0" w:beforeAutospacing="off" w:after="0" w:afterAutospacing="off" w:line="360" w:lineRule="auto"/>
      </w:pPr>
      <w:r w:rsidRPr="5FC4BC39" w:rsidR="6A6E8C74">
        <w:rPr>
          <w:rFonts w:ascii="system-ui" w:hAnsi="system-ui" w:eastAsia="system-ui" w:cs="system-ui"/>
          <w:b w:val="0"/>
          <w:bCs w:val="0"/>
          <w:i w:val="0"/>
          <w:iCs w:val="0"/>
          <w:noProof w:val="0"/>
          <w:color w:val="000000" w:themeColor="text1" w:themeTint="FF" w:themeShade="FF"/>
          <w:sz w:val="24"/>
          <w:szCs w:val="24"/>
          <w:lang w:val="en-US"/>
        </w:rPr>
        <w:t>Over the five-year period, the business has transitioned from a pandemic-impacted loss-making entity to a profitable, cash-generative market leader. All core metrics confirm a sustainable improvement in performance, supported by operational excellence, prudent financial management, and favourable sector demand dynamics. While the pace of improvement has moderated in the most recent fiscal year, this reflects a stabilisation at elevated performance levels rather than a weakening in underlying fundamentals.</w:t>
      </w:r>
    </w:p>
    <w:p xmlns:wp14="http://schemas.microsoft.com/office/word/2010/wordml" wp14:paraId="2C078E63" wp14:textId="62FD6D2D"/>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7bf0ed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3a706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3d42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da0d9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2b372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c5306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06b0d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94d9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44AEC3"/>
    <w:rsid w:val="1F44AEC3"/>
    <w:rsid w:val="5FC4BC39"/>
    <w:rsid w:val="6A6E8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B6C2"/>
  <w15:chartTrackingRefBased/>
  <w15:docId w15:val="{396C14C0-E223-464B-BB8E-FC1A871F5B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FC4BC3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FC4BC3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FC4BC3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FC4BC39"/>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a71f8e3404f41d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2026-07-22T16:18:57.0026180Z</dcterms:created>
  <dcterms:modified xsi:type="dcterms:W3CDTF">2026-07-22T16:19:45.3682556Z</dcterms:modified>
  <dc:creator>Ritika Rastogi (2536680)</dc:creator>
  <lastModifiedBy>Ritika Rastogi (2536680)</lastModifiedBy>
</coreProperties>
</file>