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020303" w14:textId="77777777" w:rsidR="00C70781" w:rsidRPr="00550464" w:rsidRDefault="00C70781" w:rsidP="00C70781">
      <w:pPr>
        <w:spacing w:line="480" w:lineRule="auto"/>
        <w:rPr>
          <w:rFonts w:ascii="Times" w:hAnsi="Times"/>
        </w:rPr>
      </w:pPr>
      <w:bookmarkStart w:id="0" w:name="_GoBack"/>
      <w:bookmarkEnd w:id="0"/>
      <w:r w:rsidRPr="00550464">
        <w:rPr>
          <w:rFonts w:ascii="Times" w:hAnsi="Times"/>
        </w:rPr>
        <w:t xml:space="preserve">The Ara Pacis was commissioned by the Senate at the return of Augustus from his campaigns in Spain and Gaul (13B.C.). Four years later by the work of multiple sculptors the white marbled altar of peace was finished and commemorated on the fields of Mars (9B.C.), with entrances via the East and West walls and then </w:t>
      </w:r>
      <w:r w:rsidRPr="00AA44D4">
        <w:rPr>
          <w:rFonts w:ascii="Times" w:hAnsi="Times"/>
        </w:rPr>
        <w:t>friezes</w:t>
      </w:r>
      <w:r w:rsidRPr="00550464">
        <w:rPr>
          <w:rFonts w:ascii="Times" w:hAnsi="Times"/>
        </w:rPr>
        <w:t xml:space="preserve"> decorating externally and internally within the structure with an altar within the middle of the 18ft walled structure.</w:t>
      </w:r>
    </w:p>
    <w:p w14:paraId="5C3A37A5" w14:textId="77777777" w:rsidR="00C70781" w:rsidRPr="00550464" w:rsidRDefault="00C70781" w:rsidP="00C70781">
      <w:pPr>
        <w:spacing w:line="480" w:lineRule="auto"/>
        <w:rPr>
          <w:rFonts w:ascii="Times" w:hAnsi="Times"/>
        </w:rPr>
      </w:pPr>
    </w:p>
    <w:p w14:paraId="40759F91" w14:textId="64BF987E" w:rsidR="00C70781" w:rsidRPr="00550464" w:rsidRDefault="00C70781" w:rsidP="00C70781">
      <w:pPr>
        <w:spacing w:line="480" w:lineRule="auto"/>
        <w:rPr>
          <w:rFonts w:ascii="Times" w:hAnsi="Times"/>
        </w:rPr>
      </w:pPr>
      <w:r w:rsidRPr="00550464">
        <w:rPr>
          <w:rFonts w:ascii="Times" w:hAnsi="Times"/>
        </w:rPr>
        <w:t xml:space="preserve">The </w:t>
      </w:r>
      <w:r w:rsidRPr="00AA44D4">
        <w:rPr>
          <w:rFonts w:ascii="Times" w:hAnsi="Times"/>
        </w:rPr>
        <w:t>Friezes</w:t>
      </w:r>
      <w:r w:rsidRPr="00550464">
        <w:rPr>
          <w:rFonts w:ascii="Times" w:hAnsi="Times"/>
          <w:i/>
        </w:rPr>
        <w:t xml:space="preserve"> </w:t>
      </w:r>
      <w:r w:rsidRPr="00550464">
        <w:rPr>
          <w:rFonts w:ascii="Times" w:hAnsi="Times"/>
        </w:rPr>
        <w:t xml:space="preserve">were used to promote Augustan themes, in celebrating peace among the empire. On the East external wall the </w:t>
      </w:r>
      <w:r w:rsidRPr="00AA44D4">
        <w:rPr>
          <w:rFonts w:ascii="Times" w:hAnsi="Times"/>
        </w:rPr>
        <w:t>frieze</w:t>
      </w:r>
      <w:r w:rsidRPr="00550464">
        <w:rPr>
          <w:rFonts w:ascii="Times" w:hAnsi="Times"/>
          <w:i/>
        </w:rPr>
        <w:t xml:space="preserve"> </w:t>
      </w:r>
      <w:r w:rsidRPr="00550464">
        <w:rPr>
          <w:rFonts w:ascii="Times" w:hAnsi="Times"/>
        </w:rPr>
        <w:t>is depicting</w:t>
      </w:r>
      <w:r>
        <w:rPr>
          <w:rFonts w:ascii="Times" w:hAnsi="Times"/>
        </w:rPr>
        <w:t>,</w:t>
      </w:r>
      <w:r w:rsidRPr="00550464">
        <w:rPr>
          <w:rFonts w:ascii="Times" w:hAnsi="Times"/>
        </w:rPr>
        <w:t xml:space="preserve"> </w:t>
      </w:r>
      <w:r>
        <w:rPr>
          <w:rFonts w:ascii="Times" w:hAnsi="Times"/>
        </w:rPr>
        <w:t xml:space="preserve">according to Bernard </w:t>
      </w:r>
      <w:proofErr w:type="spellStart"/>
      <w:r>
        <w:rPr>
          <w:rFonts w:ascii="Times" w:hAnsi="Times"/>
        </w:rPr>
        <w:t>Ashmole</w:t>
      </w:r>
      <w:proofErr w:type="spellEnd"/>
      <w:r>
        <w:rPr>
          <w:rFonts w:ascii="Times" w:hAnsi="Times"/>
        </w:rPr>
        <w:t>,</w:t>
      </w:r>
      <w:r w:rsidRPr="00550464">
        <w:rPr>
          <w:rFonts w:ascii="Times" w:hAnsi="Times"/>
        </w:rPr>
        <w:t xml:space="preserve"> the scene of Earth with her children air and water however, it is stated</w:t>
      </w:r>
      <w:r>
        <w:rPr>
          <w:rFonts w:ascii="Times" w:hAnsi="Times"/>
        </w:rPr>
        <w:t xml:space="preserve"> by others</w:t>
      </w:r>
      <w:r w:rsidRPr="00550464">
        <w:rPr>
          <w:rFonts w:ascii="Times" w:hAnsi="Times"/>
        </w:rPr>
        <w:t xml:space="preserve"> that the image depicted is actually </w:t>
      </w:r>
      <w:proofErr w:type="spellStart"/>
      <w:r>
        <w:rPr>
          <w:rFonts w:ascii="Times" w:hAnsi="Times"/>
        </w:rPr>
        <w:t>Pax</w:t>
      </w:r>
      <w:proofErr w:type="spellEnd"/>
      <w:r>
        <w:rPr>
          <w:rFonts w:ascii="Times" w:hAnsi="Times"/>
        </w:rPr>
        <w:t xml:space="preserve">. The main issue with both statements is that neither side is certain who the iconography surrounding the goddess is about, as there </w:t>
      </w:r>
      <w:r w:rsidR="002375D2">
        <w:rPr>
          <w:rFonts w:ascii="Times" w:hAnsi="Times"/>
        </w:rPr>
        <w:t>are</w:t>
      </w:r>
      <w:r>
        <w:rPr>
          <w:rFonts w:ascii="Times" w:hAnsi="Times"/>
        </w:rPr>
        <w:t xml:space="preserve"> no specific symbols to identify the deity within the carving</w:t>
      </w:r>
      <w:r>
        <w:rPr>
          <w:rStyle w:val="FootnoteReference"/>
          <w:rFonts w:ascii="Times" w:hAnsi="Times"/>
        </w:rPr>
        <w:footnoteReference w:id="1"/>
      </w:r>
      <w:r w:rsidRPr="00550464">
        <w:rPr>
          <w:rFonts w:ascii="Times" w:hAnsi="Times"/>
        </w:rPr>
        <w:t xml:space="preserve">. On the western side of the external </w:t>
      </w:r>
      <w:r w:rsidRPr="001013FB">
        <w:rPr>
          <w:rFonts w:ascii="Times" w:hAnsi="Times"/>
        </w:rPr>
        <w:t>frieze</w:t>
      </w:r>
      <w:r w:rsidRPr="00550464">
        <w:rPr>
          <w:rFonts w:ascii="Times" w:hAnsi="Times"/>
          <w:i/>
        </w:rPr>
        <w:t xml:space="preserve"> </w:t>
      </w:r>
      <w:r w:rsidRPr="00550464">
        <w:rPr>
          <w:rFonts w:ascii="Times" w:hAnsi="Times"/>
        </w:rPr>
        <w:t xml:space="preserve">the image of Aeneas, according to scholars, is depicted as he </w:t>
      </w:r>
      <w:r>
        <w:rPr>
          <w:rFonts w:ascii="Times" w:hAnsi="Times"/>
        </w:rPr>
        <w:t>offers sacrifice</w:t>
      </w:r>
      <w:r w:rsidRPr="00550464">
        <w:rPr>
          <w:rFonts w:ascii="Times" w:hAnsi="Times"/>
        </w:rPr>
        <w:t xml:space="preserve"> to the Gods on his first arrival in Italy. </w:t>
      </w:r>
      <w:r>
        <w:rPr>
          <w:rFonts w:ascii="Times" w:hAnsi="Times"/>
        </w:rPr>
        <w:t>However,</w:t>
      </w:r>
      <w:r w:rsidRPr="00550464">
        <w:rPr>
          <w:rFonts w:ascii="Times" w:hAnsi="Times"/>
        </w:rPr>
        <w:t xml:space="preserve"> depicted on the North and Southern </w:t>
      </w:r>
      <w:r w:rsidRPr="001013FB">
        <w:rPr>
          <w:rFonts w:ascii="Times" w:hAnsi="Times"/>
        </w:rPr>
        <w:t>friezes</w:t>
      </w:r>
      <w:r w:rsidRPr="00550464">
        <w:rPr>
          <w:rFonts w:ascii="Times" w:hAnsi="Times"/>
          <w:i/>
        </w:rPr>
        <w:t xml:space="preserve"> </w:t>
      </w:r>
      <w:r w:rsidRPr="00550464">
        <w:rPr>
          <w:rFonts w:ascii="Times" w:hAnsi="Times"/>
        </w:rPr>
        <w:t xml:space="preserve">are the images of Romulus and Remus feeding from the she-wolf who raised them. If Aeneas was the man depicted sacrificing to the Gods then there is an overlap in </w:t>
      </w:r>
      <w:r>
        <w:rPr>
          <w:rFonts w:ascii="Times" w:hAnsi="Times"/>
        </w:rPr>
        <w:t xml:space="preserve">the </w:t>
      </w:r>
      <w:r w:rsidRPr="00550464">
        <w:rPr>
          <w:rFonts w:ascii="Times" w:hAnsi="Times"/>
        </w:rPr>
        <w:t>founding myth of Rome</w:t>
      </w:r>
      <w:r>
        <w:rPr>
          <w:rFonts w:ascii="Times" w:hAnsi="Times"/>
        </w:rPr>
        <w:t>,</w:t>
      </w:r>
      <w:r w:rsidRPr="00550464">
        <w:rPr>
          <w:rFonts w:ascii="Times" w:hAnsi="Times"/>
        </w:rPr>
        <w:t xml:space="preserve"> it could be argued that both </w:t>
      </w:r>
      <w:r>
        <w:rPr>
          <w:rFonts w:ascii="Times" w:hAnsi="Times"/>
        </w:rPr>
        <w:t xml:space="preserve">origin stories </w:t>
      </w:r>
      <w:r w:rsidRPr="00550464">
        <w:rPr>
          <w:rFonts w:ascii="Times" w:hAnsi="Times"/>
        </w:rPr>
        <w:t xml:space="preserve">were </w:t>
      </w:r>
      <w:r>
        <w:rPr>
          <w:rFonts w:ascii="Times" w:hAnsi="Times"/>
        </w:rPr>
        <w:t xml:space="preserve">commonly believed, </w:t>
      </w:r>
      <w:r w:rsidRPr="00550464">
        <w:rPr>
          <w:rFonts w:ascii="Times" w:hAnsi="Times"/>
        </w:rPr>
        <w:t xml:space="preserve">and that symbolising both was a way to promote the founding glory and great nation of Rome. On the other side of the external wall art is the ceremony of Augustus in which he and his family are potentially decreeing the Altar itself upon his arrival back in Italy. </w:t>
      </w:r>
    </w:p>
    <w:p w14:paraId="7B77435B" w14:textId="77777777" w:rsidR="00C70781" w:rsidRPr="00550464" w:rsidRDefault="00C70781" w:rsidP="00C70781">
      <w:pPr>
        <w:spacing w:line="480" w:lineRule="auto"/>
        <w:rPr>
          <w:rFonts w:ascii="Times" w:hAnsi="Times"/>
        </w:rPr>
      </w:pPr>
    </w:p>
    <w:p w14:paraId="295FF76A" w14:textId="0F861A7C" w:rsidR="00C70781" w:rsidRPr="00550464" w:rsidRDefault="00C70781" w:rsidP="00C70781">
      <w:pPr>
        <w:spacing w:line="480" w:lineRule="auto"/>
        <w:rPr>
          <w:rFonts w:ascii="Times" w:hAnsi="Times"/>
        </w:rPr>
      </w:pPr>
      <w:r w:rsidRPr="00550464">
        <w:rPr>
          <w:rFonts w:ascii="Times" w:hAnsi="Times"/>
        </w:rPr>
        <w:t>The Ara Pacis is</w:t>
      </w:r>
      <w:r>
        <w:rPr>
          <w:rFonts w:ascii="Times" w:hAnsi="Times"/>
        </w:rPr>
        <w:t>,</w:t>
      </w:r>
      <w:r w:rsidRPr="00550464">
        <w:rPr>
          <w:rFonts w:ascii="Times" w:hAnsi="Times"/>
        </w:rPr>
        <w:t xml:space="preserve"> as mentioned above</w:t>
      </w:r>
      <w:r>
        <w:rPr>
          <w:rFonts w:ascii="Times" w:hAnsi="Times"/>
        </w:rPr>
        <w:t>,</w:t>
      </w:r>
      <w:r w:rsidRPr="00550464">
        <w:rPr>
          <w:rFonts w:ascii="Times" w:hAnsi="Times"/>
        </w:rPr>
        <w:t xml:space="preserve"> covered in </w:t>
      </w:r>
      <w:r w:rsidRPr="00AA44D4">
        <w:rPr>
          <w:rFonts w:ascii="Times" w:hAnsi="Times"/>
        </w:rPr>
        <w:t>friezes</w:t>
      </w:r>
      <w:r w:rsidRPr="00550464">
        <w:rPr>
          <w:rFonts w:ascii="Times" w:hAnsi="Times"/>
          <w:i/>
        </w:rPr>
        <w:t xml:space="preserve"> </w:t>
      </w:r>
      <w:r w:rsidRPr="00550464">
        <w:rPr>
          <w:rFonts w:ascii="Times" w:hAnsi="Times"/>
        </w:rPr>
        <w:t>that are detailed and hand worked by many sculptors. However, the work carried out by the sculptors is very likely to not have been by Roman sculptors, as “</w:t>
      </w:r>
      <w:r w:rsidRPr="00550464">
        <w:rPr>
          <w:rFonts w:ascii="Times" w:hAnsi="Times"/>
          <w:i/>
        </w:rPr>
        <w:t xml:space="preserve">good-quality marble did not reach Rome in any quantity until </w:t>
      </w:r>
      <w:r w:rsidRPr="00550464">
        <w:rPr>
          <w:rFonts w:ascii="Times" w:hAnsi="Times"/>
          <w:i/>
        </w:rPr>
        <w:lastRenderedPageBreak/>
        <w:t>the 20s B.C; the Ara Pacis is one of the first examples of its use on a monumental scale for sculpture”</w:t>
      </w:r>
      <w:r w:rsidR="00B229B9">
        <w:rPr>
          <w:rFonts w:ascii="Times" w:hAnsi="Times"/>
        </w:rPr>
        <w:t>,</w:t>
      </w:r>
      <w:r w:rsidRPr="00550464">
        <w:rPr>
          <w:rFonts w:ascii="Times" w:hAnsi="Times"/>
        </w:rPr>
        <w:t xml:space="preserve"> so as stated by Amanda </w:t>
      </w:r>
      <w:r>
        <w:rPr>
          <w:rFonts w:ascii="Times" w:hAnsi="Times"/>
        </w:rPr>
        <w:t>Claridge. T</w:t>
      </w:r>
      <w:r w:rsidRPr="00550464">
        <w:rPr>
          <w:rFonts w:ascii="Times" w:hAnsi="Times"/>
        </w:rPr>
        <w:t>h</w:t>
      </w:r>
      <w:r>
        <w:rPr>
          <w:rFonts w:ascii="Times" w:hAnsi="Times"/>
        </w:rPr>
        <w:t xml:space="preserve">e realism of </w:t>
      </w:r>
      <w:r w:rsidRPr="00550464">
        <w:rPr>
          <w:rFonts w:ascii="Times" w:hAnsi="Times"/>
        </w:rPr>
        <w:t xml:space="preserve">first Generation sculptors to create something on </w:t>
      </w:r>
      <w:r>
        <w:rPr>
          <w:rFonts w:ascii="Times" w:hAnsi="Times"/>
        </w:rPr>
        <w:t>such a</w:t>
      </w:r>
      <w:r w:rsidRPr="00550464">
        <w:rPr>
          <w:rFonts w:ascii="Times" w:hAnsi="Times"/>
        </w:rPr>
        <w:t xml:space="preserve"> scale</w:t>
      </w:r>
      <w:r>
        <w:rPr>
          <w:rFonts w:ascii="Times" w:hAnsi="Times"/>
        </w:rPr>
        <w:t xml:space="preserve"> and</w:t>
      </w:r>
      <w:r w:rsidRPr="00550464">
        <w:rPr>
          <w:rFonts w:ascii="Times" w:hAnsi="Times"/>
        </w:rPr>
        <w:t xml:space="preserve"> to that detail </w:t>
      </w:r>
      <w:r>
        <w:rPr>
          <w:rFonts w:ascii="Times" w:hAnsi="Times"/>
        </w:rPr>
        <w:t>was</w:t>
      </w:r>
      <w:r w:rsidRPr="00550464">
        <w:rPr>
          <w:rFonts w:ascii="Times" w:hAnsi="Times"/>
        </w:rPr>
        <w:t xml:space="preserve"> very unlikely and that the Greeks, who traditionally worked with White marble would have been responsible in the sculpting of the altar</w:t>
      </w:r>
      <w:r>
        <w:rPr>
          <w:rFonts w:ascii="Times" w:hAnsi="Times"/>
        </w:rPr>
        <w:t>. This could have caused controversy</w:t>
      </w:r>
      <w:r w:rsidRPr="00550464">
        <w:rPr>
          <w:rFonts w:ascii="Times" w:hAnsi="Times"/>
        </w:rPr>
        <w:t xml:space="preserve"> as many Romans </w:t>
      </w:r>
      <w:r w:rsidRPr="00550464">
        <w:rPr>
          <w:rFonts w:ascii="Times" w:hAnsi="Times"/>
          <w:i/>
        </w:rPr>
        <w:t>“Would prefer to see a ‘local’ rather than a Gree</w:t>
      </w:r>
      <w:r>
        <w:rPr>
          <w:rFonts w:ascii="Times" w:hAnsi="Times"/>
          <w:i/>
        </w:rPr>
        <w:t>k at work on a monument in Rome”</w:t>
      </w:r>
      <w:r w:rsidR="006C5B41">
        <w:rPr>
          <w:rFonts w:ascii="Times" w:hAnsi="Times"/>
        </w:rPr>
        <w:t xml:space="preserve"> as Roman people w</w:t>
      </w:r>
      <w:r w:rsidRPr="00550464">
        <w:rPr>
          <w:rFonts w:ascii="Times" w:hAnsi="Times"/>
        </w:rPr>
        <w:t>ere a very proud nation and wouldn’t want their patriotic imagery damaged.</w:t>
      </w:r>
      <w:r>
        <w:rPr>
          <w:rStyle w:val="FootnoteReference"/>
          <w:rFonts w:ascii="Times" w:hAnsi="Times"/>
        </w:rPr>
        <w:footnoteReference w:id="2"/>
      </w:r>
    </w:p>
    <w:p w14:paraId="61A37300" w14:textId="77777777" w:rsidR="00C70781" w:rsidRPr="00550464" w:rsidRDefault="00C70781" w:rsidP="00C70781">
      <w:pPr>
        <w:spacing w:line="480" w:lineRule="auto"/>
        <w:rPr>
          <w:rFonts w:ascii="Times" w:hAnsi="Times"/>
        </w:rPr>
      </w:pPr>
    </w:p>
    <w:p w14:paraId="567FAA81" w14:textId="3C6C43D9" w:rsidR="00C70781" w:rsidRPr="00550464" w:rsidRDefault="00C70781" w:rsidP="00C70781">
      <w:pPr>
        <w:spacing w:line="480" w:lineRule="auto"/>
        <w:rPr>
          <w:rFonts w:ascii="Times" w:hAnsi="Times"/>
        </w:rPr>
      </w:pPr>
      <w:r w:rsidRPr="00550464">
        <w:rPr>
          <w:rFonts w:ascii="Times" w:hAnsi="Times"/>
        </w:rPr>
        <w:t>The socio-political importance of the Ara Pacis in Rome would have been colossal, the empire achieved Peace under Augustus</w:t>
      </w:r>
      <w:r>
        <w:rPr>
          <w:rFonts w:ascii="Times" w:hAnsi="Times"/>
        </w:rPr>
        <w:t>,</w:t>
      </w:r>
      <w:r w:rsidRPr="00550464">
        <w:rPr>
          <w:rFonts w:ascii="Times" w:hAnsi="Times"/>
        </w:rPr>
        <w:t xml:space="preserve"> a great feat considering the scale of Roman empire </w:t>
      </w:r>
      <w:r>
        <w:rPr>
          <w:rFonts w:ascii="Times" w:hAnsi="Times"/>
        </w:rPr>
        <w:t>was</w:t>
      </w:r>
      <w:r w:rsidRPr="00550464">
        <w:rPr>
          <w:rFonts w:ascii="Times" w:hAnsi="Times"/>
        </w:rPr>
        <w:t xml:space="preserve"> spanning thousands </w:t>
      </w:r>
      <w:r>
        <w:rPr>
          <w:rFonts w:ascii="Times" w:hAnsi="Times"/>
        </w:rPr>
        <w:t xml:space="preserve">of miles </w:t>
      </w:r>
      <w:r w:rsidRPr="00550464">
        <w:rPr>
          <w:rFonts w:ascii="Times" w:hAnsi="Times"/>
        </w:rPr>
        <w:t>over land and water</w:t>
      </w:r>
      <w:r>
        <w:rPr>
          <w:rFonts w:ascii="Times" w:hAnsi="Times"/>
        </w:rPr>
        <w:t>. Together with that, that century had been full of hostilities and mostly Civil wars; peace was a virtue to be welcomed by the people of Rome</w:t>
      </w:r>
      <w:r w:rsidRPr="00550464">
        <w:rPr>
          <w:rFonts w:ascii="Times" w:hAnsi="Times"/>
        </w:rPr>
        <w:t xml:space="preserve">. The carving of Aeneas holds a great importance to the socio-political effect on Ancient Rome – Augustan propaganda is being promoted greatly within </w:t>
      </w:r>
      <w:r>
        <w:rPr>
          <w:rFonts w:ascii="Times" w:hAnsi="Times"/>
        </w:rPr>
        <w:t xml:space="preserve">the </w:t>
      </w:r>
      <w:r w:rsidRPr="00AA44D4">
        <w:rPr>
          <w:rFonts w:ascii="Times" w:hAnsi="Times"/>
        </w:rPr>
        <w:t>frieze</w:t>
      </w:r>
      <w:r w:rsidRPr="00550464">
        <w:rPr>
          <w:rFonts w:ascii="Times" w:hAnsi="Times"/>
        </w:rPr>
        <w:t>, in book 6 of the Aeneid Virgil’s epic poem, dedicated to Augustus’ reign and heritage to the founding father of Rome; it portrays multiple themes of pro-Augustan propaganda. Virgil states how the family of Caesar are “</w:t>
      </w:r>
      <w:r w:rsidRPr="00550464">
        <w:rPr>
          <w:rFonts w:ascii="Times" w:hAnsi="Times"/>
          <w:i/>
        </w:rPr>
        <w:t xml:space="preserve">the sons of Iulus” </w:t>
      </w:r>
      <w:r w:rsidRPr="00550464">
        <w:rPr>
          <w:rFonts w:ascii="Times" w:hAnsi="Times"/>
        </w:rPr>
        <w:t>Aeneas’ son and heir</w:t>
      </w:r>
      <w:r>
        <w:rPr>
          <w:rStyle w:val="FootnoteReference"/>
          <w:rFonts w:ascii="Times" w:hAnsi="Times"/>
        </w:rPr>
        <w:footnoteReference w:id="3"/>
      </w:r>
      <w:r w:rsidRPr="00550464">
        <w:rPr>
          <w:rFonts w:ascii="Times" w:hAnsi="Times"/>
        </w:rPr>
        <w:t xml:space="preserve">. Hence the imagery of Aeneas featuring on the walls of the Ara Pacis would have allowed the people of Rome to associate the two figures and highlight the legacy of Augustus and prove his right to rule, </w:t>
      </w:r>
      <w:r w:rsidR="00BC7790">
        <w:rPr>
          <w:rFonts w:ascii="Times" w:hAnsi="Times"/>
        </w:rPr>
        <w:t xml:space="preserve">as </w:t>
      </w:r>
      <w:r w:rsidRPr="00550464">
        <w:rPr>
          <w:rFonts w:ascii="Times" w:hAnsi="Times"/>
        </w:rPr>
        <w:t xml:space="preserve">an Emperor was not too far from a king. But, the establishment of peace proved that the Emperor was more than competent to rule. Furthermore, after </w:t>
      </w:r>
      <w:r>
        <w:rPr>
          <w:rFonts w:ascii="Times" w:hAnsi="Times"/>
        </w:rPr>
        <w:t>his</w:t>
      </w:r>
      <w:r w:rsidRPr="00550464">
        <w:rPr>
          <w:rFonts w:ascii="Times" w:hAnsi="Times"/>
        </w:rPr>
        <w:t xml:space="preserve"> death </w:t>
      </w:r>
      <w:r>
        <w:rPr>
          <w:rFonts w:ascii="Times" w:hAnsi="Times"/>
        </w:rPr>
        <w:t xml:space="preserve">Julius </w:t>
      </w:r>
      <w:r w:rsidRPr="00550464">
        <w:rPr>
          <w:rFonts w:ascii="Times" w:hAnsi="Times"/>
        </w:rPr>
        <w:t xml:space="preserve">Caesar was deified, so when Virgil refers to him in the Aeneid as the </w:t>
      </w:r>
      <w:r w:rsidRPr="00550464">
        <w:rPr>
          <w:rFonts w:ascii="Times" w:hAnsi="Times"/>
          <w:i/>
        </w:rPr>
        <w:t xml:space="preserve">“son of a god” </w:t>
      </w:r>
      <w:r w:rsidRPr="00550464">
        <w:rPr>
          <w:rFonts w:ascii="Times" w:hAnsi="Times"/>
        </w:rPr>
        <w:t>it reflects the divine right of rule for Augustus</w:t>
      </w:r>
      <w:r>
        <w:rPr>
          <w:rFonts w:ascii="Times" w:hAnsi="Times"/>
        </w:rPr>
        <w:t xml:space="preserve"> with his uncle being a God and Aeneas’ heritage being Demi-God </w:t>
      </w:r>
      <w:r>
        <w:rPr>
          <w:rFonts w:ascii="Times" w:hAnsi="Times"/>
        </w:rPr>
        <w:lastRenderedPageBreak/>
        <w:t>son of Venus</w:t>
      </w:r>
      <w:r>
        <w:rPr>
          <w:rStyle w:val="FootnoteReference"/>
          <w:rFonts w:ascii="Times" w:hAnsi="Times"/>
        </w:rPr>
        <w:footnoteReference w:id="4"/>
      </w:r>
      <w:r w:rsidRPr="00550464">
        <w:rPr>
          <w:rFonts w:ascii="Times" w:hAnsi="Times"/>
        </w:rPr>
        <w:t xml:space="preserve">. When looking at the internal wall of the Ara Pacis </w:t>
      </w:r>
      <w:r w:rsidR="00BC7790">
        <w:rPr>
          <w:rFonts w:ascii="Times" w:hAnsi="Times"/>
        </w:rPr>
        <w:t xml:space="preserve">it </w:t>
      </w:r>
      <w:r w:rsidRPr="00550464">
        <w:rPr>
          <w:rFonts w:ascii="Times" w:hAnsi="Times"/>
        </w:rPr>
        <w:t>has Swans decorated among it, the symbolism is to reflect the cult of Apollo, of whom supported Augustus and could be perceived as reflecting his divinity as a ruler.</w:t>
      </w:r>
    </w:p>
    <w:p w14:paraId="7ABCF917" w14:textId="77777777" w:rsidR="00C70781" w:rsidRPr="00550464" w:rsidRDefault="00C70781" w:rsidP="00C70781">
      <w:pPr>
        <w:spacing w:line="480" w:lineRule="auto"/>
        <w:rPr>
          <w:rFonts w:ascii="Times" w:hAnsi="Times"/>
        </w:rPr>
      </w:pPr>
    </w:p>
    <w:p w14:paraId="3EACEC94" w14:textId="09BE8F86" w:rsidR="00C70781" w:rsidRDefault="00C70781" w:rsidP="00C70781">
      <w:pPr>
        <w:spacing w:line="480" w:lineRule="auto"/>
        <w:rPr>
          <w:rFonts w:ascii="Times" w:hAnsi="Times"/>
        </w:rPr>
      </w:pPr>
      <w:r w:rsidRPr="00550464">
        <w:rPr>
          <w:rFonts w:ascii="Times" w:hAnsi="Times"/>
        </w:rPr>
        <w:t>The political importance of the Ara Pacis in the Modern world was prominent around 19</w:t>
      </w:r>
      <w:r w:rsidR="00BC7790">
        <w:rPr>
          <w:rFonts w:ascii="Times" w:hAnsi="Times"/>
        </w:rPr>
        <w:t>3</w:t>
      </w:r>
      <w:r w:rsidRPr="00550464">
        <w:rPr>
          <w:rFonts w:ascii="Times" w:hAnsi="Times"/>
        </w:rPr>
        <w:t xml:space="preserve">6/7 when Mussolini </w:t>
      </w:r>
      <w:r>
        <w:rPr>
          <w:rFonts w:ascii="Times" w:hAnsi="Times"/>
        </w:rPr>
        <w:t>assembled</w:t>
      </w:r>
      <w:r w:rsidRPr="00550464">
        <w:rPr>
          <w:rFonts w:ascii="Times" w:hAnsi="Times"/>
        </w:rPr>
        <w:t xml:space="preserve"> it and put it with his collection of Roman artefacts. He used the Roman ruins found to help inspire h</w:t>
      </w:r>
      <w:r w:rsidR="000B23DF">
        <w:rPr>
          <w:rFonts w:ascii="Times" w:hAnsi="Times"/>
        </w:rPr>
        <w:t>is Fascist Italy. He used them</w:t>
      </w:r>
      <w:r w:rsidRPr="00550464">
        <w:rPr>
          <w:rFonts w:ascii="Times" w:hAnsi="Times"/>
        </w:rPr>
        <w:t xml:space="preserve"> to inspire the fantasy of forging a new Roman Empire and promote Fascism</w:t>
      </w:r>
      <w:r>
        <w:rPr>
          <w:rFonts w:ascii="Times" w:hAnsi="Times"/>
        </w:rPr>
        <w:t xml:space="preserve"> within his time as leader valuing the Ara Pacis as a powerful symbol of his nations predecessors and their greatness as a nation.</w:t>
      </w:r>
    </w:p>
    <w:p w14:paraId="0AFCC21C" w14:textId="444A8724" w:rsidR="00C70781" w:rsidRPr="00D85528" w:rsidRDefault="00C70781" w:rsidP="00C70781">
      <w:pPr>
        <w:spacing w:line="480" w:lineRule="auto"/>
        <w:rPr>
          <w:rFonts w:ascii="Times" w:eastAsia="Times New Roman" w:hAnsi="Times" w:cs="Times New Roman"/>
          <w:color w:val="333333"/>
          <w:szCs w:val="26"/>
          <w:shd w:val="clear" w:color="auto" w:fill="FFFFFF"/>
          <w:lang w:eastAsia="en-GB"/>
        </w:rPr>
      </w:pPr>
      <w:r>
        <w:rPr>
          <w:rFonts w:ascii="Times" w:hAnsi="Times"/>
        </w:rPr>
        <w:t xml:space="preserve">The social importance of the Ara Pacis in the Modern world is reflected in the museum which now holds the Ara Pacis. Within the transfer from Mussolini’s’ to the new, an uproar was sparked </w:t>
      </w:r>
      <w:r w:rsidRPr="0039716F">
        <w:rPr>
          <w:rFonts w:ascii="Times" w:hAnsi="Times"/>
        </w:rPr>
        <w:t xml:space="preserve">due to the architectural design of </w:t>
      </w:r>
      <w:r>
        <w:rPr>
          <w:rFonts w:ascii="Times" w:hAnsi="Times"/>
        </w:rPr>
        <w:t>Richard Meir. Holding within</w:t>
      </w:r>
      <w:r w:rsidRPr="0039716F">
        <w:rPr>
          <w:rFonts w:ascii="Times" w:hAnsi="Times"/>
        </w:rPr>
        <w:t xml:space="preserve"> a historically valued artefact</w:t>
      </w:r>
      <w:r>
        <w:rPr>
          <w:rFonts w:ascii="Times" w:hAnsi="Times"/>
        </w:rPr>
        <w:t xml:space="preserve"> of two thousand years old</w:t>
      </w:r>
      <w:r w:rsidRPr="00D85528">
        <w:rPr>
          <w:rFonts w:ascii="Times" w:hAnsi="Times"/>
        </w:rPr>
        <w:t xml:space="preserve">, the New York Times reporter Nicolai </w:t>
      </w:r>
      <w:proofErr w:type="spellStart"/>
      <w:r w:rsidRPr="00D85528">
        <w:rPr>
          <w:rFonts w:ascii="Times" w:hAnsi="Times"/>
        </w:rPr>
        <w:t>Ouroussoff</w:t>
      </w:r>
      <w:proofErr w:type="spellEnd"/>
      <w:r w:rsidRPr="00D85528">
        <w:rPr>
          <w:rFonts w:ascii="Times" w:hAnsi="Times"/>
        </w:rPr>
        <w:t xml:space="preserve"> defines the building with this statement; “</w:t>
      </w:r>
      <w:r w:rsidRPr="001E60F6">
        <w:rPr>
          <w:rFonts w:ascii="Times" w:eastAsia="Times New Roman" w:hAnsi="Times" w:cs="Times New Roman"/>
          <w:i/>
          <w:color w:val="333333"/>
          <w:szCs w:val="26"/>
          <w:shd w:val="clear" w:color="auto" w:fill="FFFFFF"/>
          <w:lang w:eastAsia="en-GB"/>
        </w:rPr>
        <w:t>in its relationship to the glories of the city around it, the building is as clueless as its Fascist predecessors</w:t>
      </w:r>
      <w:r w:rsidRPr="00D85528">
        <w:rPr>
          <w:rFonts w:ascii="Times" w:eastAsia="Times New Roman" w:hAnsi="Times" w:cs="Times New Roman"/>
          <w:color w:val="333333"/>
          <w:szCs w:val="26"/>
          <w:shd w:val="clear" w:color="auto" w:fill="FFFFFF"/>
          <w:lang w:eastAsia="en-GB"/>
        </w:rPr>
        <w:t>”</w:t>
      </w:r>
      <w:r w:rsidRPr="0039716F">
        <w:rPr>
          <w:rFonts w:ascii="Times" w:eastAsia="Times New Roman" w:hAnsi="Times" w:cs="Times New Roman"/>
          <w:color w:val="333333"/>
          <w:szCs w:val="26"/>
          <w:shd w:val="clear" w:color="auto" w:fill="FFFFFF"/>
          <w:lang w:eastAsia="en-GB"/>
        </w:rPr>
        <w:t xml:space="preserve"> showing how </w:t>
      </w:r>
      <w:r>
        <w:rPr>
          <w:rFonts w:ascii="Times" w:eastAsia="Times New Roman" w:hAnsi="Times" w:cs="Times New Roman"/>
          <w:color w:val="333333"/>
          <w:szCs w:val="26"/>
          <w:shd w:val="clear" w:color="auto" w:fill="FFFFFF"/>
          <w:lang w:eastAsia="en-GB"/>
        </w:rPr>
        <w:t xml:space="preserve">Italian and outer </w:t>
      </w:r>
      <w:r w:rsidRPr="0039716F">
        <w:rPr>
          <w:rFonts w:ascii="Times" w:eastAsia="Times New Roman" w:hAnsi="Times" w:cs="Times New Roman"/>
          <w:color w:val="333333"/>
          <w:szCs w:val="26"/>
          <w:shd w:val="clear" w:color="auto" w:fill="FFFFFF"/>
          <w:lang w:eastAsia="en-GB"/>
        </w:rPr>
        <w:t xml:space="preserve">society views the </w:t>
      </w:r>
      <w:r>
        <w:rPr>
          <w:rFonts w:ascii="Times" w:eastAsia="Times New Roman" w:hAnsi="Times" w:cs="Times New Roman"/>
          <w:color w:val="333333"/>
          <w:szCs w:val="26"/>
          <w:shd w:val="clear" w:color="auto" w:fill="FFFFFF"/>
          <w:lang w:eastAsia="en-GB"/>
        </w:rPr>
        <w:t>Ara Pacis</w:t>
      </w:r>
      <w:r w:rsidRPr="0039716F">
        <w:rPr>
          <w:rFonts w:ascii="Times" w:eastAsia="Times New Roman" w:hAnsi="Times" w:cs="Times New Roman"/>
          <w:color w:val="333333"/>
          <w:szCs w:val="26"/>
          <w:shd w:val="clear" w:color="auto" w:fill="FFFFFF"/>
          <w:lang w:eastAsia="en-GB"/>
        </w:rPr>
        <w:t xml:space="preserve"> worth commemorating and that the building </w:t>
      </w:r>
      <w:r>
        <w:rPr>
          <w:rFonts w:ascii="Times" w:eastAsia="Times New Roman" w:hAnsi="Times" w:cs="Times New Roman"/>
          <w:color w:val="333333"/>
          <w:szCs w:val="26"/>
          <w:shd w:val="clear" w:color="auto" w:fill="FFFFFF"/>
          <w:lang w:eastAsia="en-GB"/>
        </w:rPr>
        <w:t xml:space="preserve">designed to hold it is a </w:t>
      </w:r>
      <w:r w:rsidRPr="0039716F">
        <w:rPr>
          <w:rFonts w:ascii="Times" w:eastAsia="Times New Roman" w:hAnsi="Times" w:cs="Times New Roman"/>
          <w:color w:val="333333"/>
          <w:szCs w:val="26"/>
          <w:shd w:val="clear" w:color="auto" w:fill="FFFFFF"/>
          <w:lang w:eastAsia="en-GB"/>
        </w:rPr>
        <w:t xml:space="preserve">shamble and almost disrespectful </w:t>
      </w:r>
      <w:r>
        <w:rPr>
          <w:rFonts w:ascii="Times" w:eastAsia="Times New Roman" w:hAnsi="Times" w:cs="Times New Roman"/>
          <w:color w:val="333333"/>
          <w:szCs w:val="26"/>
          <w:shd w:val="clear" w:color="auto" w:fill="FFFFFF"/>
          <w:lang w:eastAsia="en-GB"/>
        </w:rPr>
        <w:t>to lineage of Italy</w:t>
      </w:r>
      <w:r>
        <w:rPr>
          <w:rStyle w:val="FootnoteReference"/>
          <w:rFonts w:ascii="Times" w:eastAsia="Times New Roman" w:hAnsi="Times" w:cs="Times New Roman"/>
          <w:color w:val="333333"/>
          <w:szCs w:val="26"/>
          <w:shd w:val="clear" w:color="auto" w:fill="FFFFFF"/>
          <w:lang w:eastAsia="en-GB"/>
        </w:rPr>
        <w:footnoteReference w:id="5"/>
      </w:r>
      <w:r>
        <w:rPr>
          <w:rFonts w:ascii="Times" w:eastAsia="Times New Roman" w:hAnsi="Times" w:cs="Times New Roman"/>
          <w:color w:val="333333"/>
          <w:szCs w:val="26"/>
          <w:shd w:val="clear" w:color="auto" w:fill="FFFFFF"/>
          <w:lang w:eastAsia="en-GB"/>
        </w:rPr>
        <w:t>. The government official</w:t>
      </w:r>
      <w:r w:rsidR="000B23DF">
        <w:rPr>
          <w:rFonts w:ascii="Times" w:eastAsia="Times New Roman" w:hAnsi="Times" w:cs="Times New Roman"/>
          <w:color w:val="333333"/>
          <w:szCs w:val="26"/>
          <w:shd w:val="clear" w:color="auto" w:fill="FFFFFF"/>
          <w:lang w:eastAsia="en-GB"/>
        </w:rPr>
        <w:t>,</w:t>
      </w:r>
      <w:r>
        <w:rPr>
          <w:rFonts w:ascii="Times" w:eastAsia="Times New Roman" w:hAnsi="Times" w:cs="Times New Roman"/>
          <w:color w:val="333333"/>
          <w:szCs w:val="26"/>
          <w:shd w:val="clear" w:color="auto" w:fill="FFFFFF"/>
          <w:lang w:eastAsia="en-GB"/>
        </w:rPr>
        <w:t xml:space="preserve"> Mayor of Italy, Gianni </w:t>
      </w:r>
      <w:proofErr w:type="spellStart"/>
      <w:r>
        <w:rPr>
          <w:rFonts w:ascii="Times" w:eastAsia="Times New Roman" w:hAnsi="Times" w:cs="Times New Roman"/>
          <w:color w:val="333333"/>
          <w:szCs w:val="26"/>
          <w:shd w:val="clear" w:color="auto" w:fill="FFFFFF"/>
          <w:lang w:eastAsia="en-GB"/>
        </w:rPr>
        <w:t>Alemanno</w:t>
      </w:r>
      <w:proofErr w:type="spellEnd"/>
      <w:r>
        <w:rPr>
          <w:rFonts w:ascii="Times" w:eastAsia="Times New Roman" w:hAnsi="Times" w:cs="Times New Roman"/>
          <w:color w:val="333333"/>
          <w:szCs w:val="26"/>
          <w:shd w:val="clear" w:color="auto" w:fill="FFFFFF"/>
          <w:lang w:eastAsia="en-GB"/>
        </w:rPr>
        <w:t xml:space="preserve"> highlighting his distaste with the statement </w:t>
      </w:r>
      <w:r w:rsidRPr="00D85528">
        <w:rPr>
          <w:rFonts w:ascii="Times" w:eastAsia="Times New Roman" w:hAnsi="Times" w:cs="Times New Roman"/>
          <w:i/>
          <w:color w:val="333333"/>
          <w:szCs w:val="26"/>
          <w:shd w:val="clear" w:color="auto" w:fill="FFFFFF"/>
          <w:lang w:eastAsia="en-GB"/>
        </w:rPr>
        <w:t>“Meier’s building is a construction to be scrapped”</w:t>
      </w:r>
      <w:r>
        <w:rPr>
          <w:rFonts w:ascii="Times" w:eastAsia="Times New Roman" w:hAnsi="Times" w:cs="Times New Roman"/>
          <w:color w:val="333333"/>
          <w:szCs w:val="26"/>
          <w:shd w:val="clear" w:color="auto" w:fill="FFFFFF"/>
          <w:lang w:eastAsia="en-GB"/>
        </w:rPr>
        <w:t xml:space="preserve"> showing the overall views of the Altar of Peace being shown as a symbol of heritage and Pride for the Italian people and that even in modern society the imagery and status of this building should be treated with respect and in a manner, that is dignifying</w:t>
      </w:r>
      <w:r>
        <w:rPr>
          <w:rStyle w:val="FootnoteReference"/>
          <w:rFonts w:ascii="Times" w:eastAsia="Times New Roman" w:hAnsi="Times" w:cs="Times New Roman"/>
          <w:color w:val="333333"/>
          <w:szCs w:val="26"/>
          <w:shd w:val="clear" w:color="auto" w:fill="FFFFFF"/>
          <w:lang w:eastAsia="en-GB"/>
        </w:rPr>
        <w:footnoteReference w:id="6"/>
      </w:r>
      <w:r>
        <w:rPr>
          <w:rFonts w:ascii="Times" w:eastAsia="Times New Roman" w:hAnsi="Times" w:cs="Times New Roman"/>
          <w:color w:val="333333"/>
          <w:szCs w:val="26"/>
          <w:shd w:val="clear" w:color="auto" w:fill="FFFFFF"/>
          <w:lang w:eastAsia="en-GB"/>
        </w:rPr>
        <w:t>.</w:t>
      </w:r>
    </w:p>
    <w:p w14:paraId="1DAF6592" w14:textId="77777777" w:rsidR="00C70781" w:rsidRDefault="00C70781" w:rsidP="00C70781">
      <w:pPr>
        <w:spacing w:line="480" w:lineRule="auto"/>
        <w:rPr>
          <w:rFonts w:ascii="Times" w:hAnsi="Times"/>
        </w:rPr>
      </w:pPr>
      <w:r>
        <w:rPr>
          <w:rFonts w:ascii="Times" w:hAnsi="Times"/>
        </w:rPr>
        <w:lastRenderedPageBreak/>
        <w:t>In conclusion, the Ara Pacis is a symbol of peace, filled with pro-Augustan imagery and value which promote the glory of his lineage and his capability as a ruler, even though he has left the republic it proved to him as competent as the Republic never achieved such a feat. Also, the Ara Pacis is deemed highly for Fascist Italy and the Modern-day society as the symbolism and nature of it all is defining 2,000 years later.</w:t>
      </w:r>
    </w:p>
    <w:p w14:paraId="6CD84AC2" w14:textId="1CA15F10" w:rsidR="00AB2530" w:rsidRDefault="00AB2530"/>
    <w:p w14:paraId="75C8A799" w14:textId="77777777" w:rsidR="00AB2530" w:rsidRDefault="00AB2530">
      <w:r>
        <w:br w:type="page"/>
      </w:r>
    </w:p>
    <w:p w14:paraId="2DD2A107" w14:textId="77777777" w:rsidR="00AB2530" w:rsidRPr="00CD109F" w:rsidRDefault="00AB2530" w:rsidP="00AB2530">
      <w:pPr>
        <w:spacing w:line="480" w:lineRule="auto"/>
        <w:rPr>
          <w:rFonts w:ascii="Times" w:hAnsi="Times"/>
          <w:sz w:val="28"/>
          <w:u w:val="single"/>
        </w:rPr>
      </w:pPr>
      <w:r w:rsidRPr="00CD109F">
        <w:rPr>
          <w:rFonts w:ascii="Times" w:hAnsi="Times"/>
          <w:sz w:val="28"/>
          <w:u w:val="single"/>
        </w:rPr>
        <w:lastRenderedPageBreak/>
        <w:t xml:space="preserve">Bibliography </w:t>
      </w:r>
    </w:p>
    <w:p w14:paraId="04785A8B" w14:textId="77777777" w:rsidR="00AB2530" w:rsidRDefault="00AB2530" w:rsidP="00AB2530">
      <w:pPr>
        <w:spacing w:line="480" w:lineRule="auto"/>
        <w:rPr>
          <w:rFonts w:ascii="Times" w:hAnsi="Times"/>
          <w:sz w:val="28"/>
        </w:rPr>
      </w:pPr>
      <w:r>
        <w:rPr>
          <w:rFonts w:ascii="Times" w:hAnsi="Times"/>
          <w:sz w:val="28"/>
        </w:rPr>
        <w:t>Ancient sources</w:t>
      </w:r>
    </w:p>
    <w:p w14:paraId="18364789" w14:textId="77777777" w:rsidR="00AB2530" w:rsidRPr="005E52F9" w:rsidRDefault="00AB2530" w:rsidP="00AB2530">
      <w:pPr>
        <w:rPr>
          <w:rFonts w:ascii="Times" w:hAnsi="Times"/>
        </w:rPr>
      </w:pPr>
      <w:r w:rsidRPr="005E52F9">
        <w:rPr>
          <w:rFonts w:ascii="Times" w:hAnsi="Times"/>
        </w:rPr>
        <w:t xml:space="preserve">Virgil, </w:t>
      </w:r>
      <w:r w:rsidRPr="005E52F9">
        <w:rPr>
          <w:rFonts w:ascii="Times" w:hAnsi="Times"/>
          <w:i/>
        </w:rPr>
        <w:t xml:space="preserve">The Aeneid. </w:t>
      </w:r>
      <w:r w:rsidRPr="005E52F9">
        <w:rPr>
          <w:rFonts w:ascii="Times" w:hAnsi="Times"/>
        </w:rPr>
        <w:t>D. West (trans). 2003. London, Penguin Books Ltd.: The Penguin Group</w:t>
      </w:r>
    </w:p>
    <w:p w14:paraId="75631FB8" w14:textId="77777777" w:rsidR="00AB2530" w:rsidRDefault="00AB2530" w:rsidP="00AB2530">
      <w:pPr>
        <w:spacing w:line="480" w:lineRule="auto"/>
        <w:rPr>
          <w:rFonts w:ascii="Times" w:hAnsi="Times"/>
          <w:sz w:val="28"/>
        </w:rPr>
      </w:pPr>
    </w:p>
    <w:p w14:paraId="76C4C496" w14:textId="77777777" w:rsidR="00AB2530" w:rsidRDefault="00AB2530" w:rsidP="00AB2530">
      <w:pPr>
        <w:spacing w:line="480" w:lineRule="auto"/>
        <w:rPr>
          <w:rFonts w:ascii="Times" w:hAnsi="Times"/>
          <w:sz w:val="28"/>
        </w:rPr>
      </w:pPr>
      <w:r>
        <w:rPr>
          <w:rFonts w:ascii="Times" w:hAnsi="Times"/>
          <w:sz w:val="28"/>
        </w:rPr>
        <w:t>Journals</w:t>
      </w:r>
    </w:p>
    <w:p w14:paraId="75B69A50" w14:textId="77777777" w:rsidR="00AB2530" w:rsidRDefault="00AB2530" w:rsidP="00AB2530">
      <w:pPr>
        <w:spacing w:line="480" w:lineRule="auto"/>
        <w:rPr>
          <w:rFonts w:ascii="Times" w:hAnsi="Times"/>
        </w:rPr>
      </w:pPr>
      <w:proofErr w:type="spellStart"/>
      <w:r>
        <w:rPr>
          <w:rFonts w:ascii="Times" w:hAnsi="Times"/>
        </w:rPr>
        <w:t>Galinsky</w:t>
      </w:r>
      <w:proofErr w:type="spellEnd"/>
      <w:r>
        <w:rPr>
          <w:rFonts w:ascii="Times" w:hAnsi="Times"/>
        </w:rPr>
        <w:t xml:space="preserve">, K. 1992. </w:t>
      </w:r>
      <w:r>
        <w:rPr>
          <w:rFonts w:ascii="Times" w:hAnsi="Times"/>
          <w:i/>
        </w:rPr>
        <w:t xml:space="preserve">Venus, Polysemy, and the Ara Pacis Augusta. </w:t>
      </w:r>
      <w:r>
        <w:rPr>
          <w:rFonts w:ascii="Times" w:hAnsi="Times"/>
        </w:rPr>
        <w:t xml:space="preserve">American Journal of Archaeology Available at: </w:t>
      </w:r>
      <w:hyperlink r:id="rId6" w:history="1">
        <w:r w:rsidRPr="00D91854">
          <w:rPr>
            <w:rStyle w:val="Hyperlink"/>
            <w:rFonts w:ascii="Times" w:hAnsi="Times"/>
          </w:rPr>
          <w:t>http://www.jstor.org/stable/506068</w:t>
        </w:r>
      </w:hyperlink>
      <w:r>
        <w:rPr>
          <w:rFonts w:ascii="Times" w:hAnsi="Times"/>
        </w:rPr>
        <w:t xml:space="preserve"> </w:t>
      </w:r>
    </w:p>
    <w:p w14:paraId="794AD796" w14:textId="77777777" w:rsidR="00AB2530" w:rsidRDefault="00AB2530" w:rsidP="00AB2530">
      <w:pPr>
        <w:spacing w:line="480" w:lineRule="auto"/>
        <w:rPr>
          <w:rFonts w:ascii="Times" w:hAnsi="Times"/>
        </w:rPr>
      </w:pPr>
      <w:r>
        <w:rPr>
          <w:rFonts w:ascii="Times" w:hAnsi="Times"/>
        </w:rPr>
        <w:t xml:space="preserve">Scott, K. 1932. </w:t>
      </w:r>
      <w:r>
        <w:rPr>
          <w:rFonts w:ascii="Times" w:hAnsi="Times"/>
          <w:i/>
        </w:rPr>
        <w:t xml:space="preserve">Mussolini and the Roman Empire. </w:t>
      </w:r>
      <w:r>
        <w:rPr>
          <w:rFonts w:ascii="Times" w:hAnsi="Times"/>
        </w:rPr>
        <w:t xml:space="preserve">The Classical Journal, vol. 27, No. 9, pp 645-657 Available at: </w:t>
      </w:r>
      <w:hyperlink r:id="rId7" w:history="1">
        <w:r w:rsidRPr="00D91854">
          <w:rPr>
            <w:rStyle w:val="Hyperlink"/>
            <w:rFonts w:ascii="Times" w:hAnsi="Times"/>
          </w:rPr>
          <w:t>http://www.jstor.org/stable/3290234</w:t>
        </w:r>
      </w:hyperlink>
      <w:r>
        <w:rPr>
          <w:rFonts w:ascii="Times" w:hAnsi="Times"/>
        </w:rPr>
        <w:t xml:space="preserve">   </w:t>
      </w:r>
    </w:p>
    <w:p w14:paraId="473D7E51" w14:textId="77777777" w:rsidR="00AB2530" w:rsidRPr="00574867" w:rsidRDefault="00AB2530" w:rsidP="00AB2530">
      <w:pPr>
        <w:spacing w:line="480" w:lineRule="auto"/>
        <w:rPr>
          <w:rFonts w:ascii="Times" w:hAnsi="Times"/>
        </w:rPr>
      </w:pPr>
    </w:p>
    <w:p w14:paraId="1D23C7C3" w14:textId="77777777" w:rsidR="00AB2530" w:rsidRDefault="00AB2530" w:rsidP="00AB2530">
      <w:pPr>
        <w:spacing w:line="480" w:lineRule="auto"/>
        <w:rPr>
          <w:rFonts w:ascii="Times" w:hAnsi="Times"/>
          <w:sz w:val="28"/>
        </w:rPr>
      </w:pPr>
      <w:r w:rsidRPr="00BC5CF8">
        <w:rPr>
          <w:rFonts w:ascii="Times" w:hAnsi="Times"/>
          <w:sz w:val="28"/>
        </w:rPr>
        <w:t>Modern Authors</w:t>
      </w:r>
    </w:p>
    <w:p w14:paraId="00B3519F" w14:textId="77777777" w:rsidR="00AB2530" w:rsidRPr="00F760D5" w:rsidRDefault="00AB2530" w:rsidP="00AB2530">
      <w:pPr>
        <w:spacing w:line="480" w:lineRule="auto"/>
        <w:rPr>
          <w:rFonts w:ascii="Times" w:hAnsi="Times"/>
        </w:rPr>
      </w:pPr>
      <w:proofErr w:type="spellStart"/>
      <w:r>
        <w:rPr>
          <w:rFonts w:ascii="Times" w:hAnsi="Times"/>
        </w:rPr>
        <w:t>Groenewegen</w:t>
      </w:r>
      <w:proofErr w:type="spellEnd"/>
      <w:r>
        <w:rPr>
          <w:rFonts w:ascii="Times" w:hAnsi="Times"/>
        </w:rPr>
        <w:t xml:space="preserve">-Frankfort, H. A. and </w:t>
      </w:r>
      <w:proofErr w:type="spellStart"/>
      <w:r>
        <w:rPr>
          <w:rFonts w:ascii="Times" w:hAnsi="Times"/>
        </w:rPr>
        <w:t>Ashmole</w:t>
      </w:r>
      <w:proofErr w:type="spellEnd"/>
      <w:r>
        <w:rPr>
          <w:rFonts w:ascii="Times" w:hAnsi="Times"/>
        </w:rPr>
        <w:t xml:space="preserve">, B. 1972.  </w:t>
      </w:r>
      <w:r>
        <w:rPr>
          <w:rFonts w:ascii="Times" w:hAnsi="Times"/>
          <w:i/>
        </w:rPr>
        <w:t>Art of the Ancient World</w:t>
      </w:r>
      <w:r>
        <w:rPr>
          <w:rFonts w:ascii="Times" w:hAnsi="Times"/>
        </w:rPr>
        <w:t xml:space="preserve">. New York: Englewood Cliffs </w:t>
      </w:r>
    </w:p>
    <w:p w14:paraId="7A4EE2B3" w14:textId="77777777" w:rsidR="00AB2530" w:rsidRDefault="00AB2530" w:rsidP="00AB2530">
      <w:pPr>
        <w:spacing w:line="480" w:lineRule="auto"/>
        <w:rPr>
          <w:rFonts w:ascii="Times" w:hAnsi="Times"/>
          <w:sz w:val="28"/>
        </w:rPr>
      </w:pPr>
    </w:p>
    <w:p w14:paraId="3F5BF819" w14:textId="77777777" w:rsidR="00AB2530" w:rsidRPr="00CD109F" w:rsidRDefault="00AB2530" w:rsidP="00AB2530">
      <w:pPr>
        <w:spacing w:line="480" w:lineRule="auto"/>
        <w:rPr>
          <w:rFonts w:ascii="Times" w:hAnsi="Times"/>
          <w:sz w:val="28"/>
        </w:rPr>
      </w:pPr>
      <w:r w:rsidRPr="00CD109F">
        <w:rPr>
          <w:rFonts w:ascii="Times" w:hAnsi="Times"/>
          <w:sz w:val="28"/>
        </w:rPr>
        <w:t xml:space="preserve">Websites </w:t>
      </w:r>
    </w:p>
    <w:p w14:paraId="46499AE4" w14:textId="77777777" w:rsidR="00AB2530" w:rsidRDefault="00AB2530" w:rsidP="00AB2530">
      <w:pPr>
        <w:spacing w:line="480" w:lineRule="auto"/>
        <w:rPr>
          <w:rFonts w:ascii="Times" w:hAnsi="Times"/>
        </w:rPr>
      </w:pPr>
      <w:r>
        <w:rPr>
          <w:rFonts w:ascii="Times" w:hAnsi="Times"/>
        </w:rPr>
        <w:t xml:space="preserve">Claridge, A. (2017). ‘The Ara Pacis’ on JSTOR. Jstor.org. Available at: </w:t>
      </w:r>
      <w:hyperlink r:id="rId8" w:history="1">
        <w:r w:rsidRPr="00D91854">
          <w:rPr>
            <w:rStyle w:val="Hyperlink"/>
            <w:rFonts w:ascii="Times" w:hAnsi="Times"/>
          </w:rPr>
          <w:t>http://www.jstor.org/stable/714178</w:t>
        </w:r>
      </w:hyperlink>
      <w:r>
        <w:rPr>
          <w:rFonts w:ascii="Times" w:hAnsi="Times"/>
        </w:rPr>
        <w:t xml:space="preserve"> </w:t>
      </w:r>
    </w:p>
    <w:p w14:paraId="10C8056E" w14:textId="77777777" w:rsidR="00AB2530" w:rsidRDefault="00AB2530" w:rsidP="00AB2530">
      <w:pPr>
        <w:spacing w:line="480" w:lineRule="auto"/>
        <w:rPr>
          <w:rFonts w:ascii="Times" w:hAnsi="Times"/>
        </w:rPr>
      </w:pPr>
      <w:r>
        <w:rPr>
          <w:rFonts w:ascii="Times" w:hAnsi="Times"/>
        </w:rPr>
        <w:t xml:space="preserve">Nicolai </w:t>
      </w:r>
      <w:proofErr w:type="spellStart"/>
      <w:r>
        <w:rPr>
          <w:rFonts w:ascii="Times" w:hAnsi="Times"/>
        </w:rPr>
        <w:t>Ouroussoff</w:t>
      </w:r>
      <w:proofErr w:type="spellEnd"/>
      <w:r>
        <w:rPr>
          <w:rFonts w:ascii="Times" w:hAnsi="Times"/>
        </w:rPr>
        <w:t xml:space="preserve"> ‘An Oracle of Modernism in Ancient Rome’ </w:t>
      </w:r>
      <w:hyperlink r:id="rId9" w:history="1">
        <w:r w:rsidRPr="00D91854">
          <w:rPr>
            <w:rStyle w:val="Hyperlink"/>
            <w:rFonts w:ascii="Times" w:hAnsi="Times"/>
          </w:rPr>
          <w:t>http://www.nytimes.com/2006/09/25/arts/design/25paci.html</w:t>
        </w:r>
      </w:hyperlink>
      <w:r>
        <w:rPr>
          <w:rFonts w:ascii="Times" w:hAnsi="Times"/>
        </w:rPr>
        <w:t xml:space="preserve"> [Accessed 27th November 2017]</w:t>
      </w:r>
    </w:p>
    <w:p w14:paraId="64851650" w14:textId="77777777" w:rsidR="00AB2530" w:rsidRDefault="00AB2530" w:rsidP="00AB2530">
      <w:pPr>
        <w:spacing w:line="480" w:lineRule="auto"/>
        <w:rPr>
          <w:rFonts w:ascii="Times" w:hAnsi="Times"/>
        </w:rPr>
      </w:pPr>
      <w:r>
        <w:rPr>
          <w:rFonts w:ascii="Times" w:hAnsi="Times"/>
        </w:rPr>
        <w:t xml:space="preserve">Reuters ‘Rome Mayor aims to tear down Richard Meier museum’ </w:t>
      </w:r>
      <w:hyperlink r:id="rId10" w:history="1">
        <w:r w:rsidRPr="00D91854">
          <w:rPr>
            <w:rStyle w:val="Hyperlink"/>
            <w:rFonts w:ascii="Times" w:hAnsi="Times"/>
          </w:rPr>
          <w:t>https://uk.reuters.com/article/uk-italy-architecture/rome-mayor-aims-to-tear-down-richard-meier-museum-idUKL3079925520080430?sp=true</w:t>
        </w:r>
      </w:hyperlink>
      <w:r>
        <w:rPr>
          <w:rFonts w:ascii="Times" w:hAnsi="Times"/>
        </w:rPr>
        <w:t xml:space="preserve"> [Accessed 27</w:t>
      </w:r>
      <w:r w:rsidRPr="00CD109F">
        <w:rPr>
          <w:rFonts w:ascii="Times" w:hAnsi="Times"/>
          <w:vertAlign w:val="superscript"/>
        </w:rPr>
        <w:t>th</w:t>
      </w:r>
      <w:r>
        <w:rPr>
          <w:rFonts w:ascii="Times" w:hAnsi="Times"/>
        </w:rPr>
        <w:t xml:space="preserve"> November 2017] </w:t>
      </w:r>
    </w:p>
    <w:p w14:paraId="2EF5894F" w14:textId="77777777" w:rsidR="00182F59" w:rsidRDefault="00DC57E4"/>
    <w:sectPr w:rsidR="00182F59" w:rsidSect="00C02FF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0E7FE6" w14:textId="77777777" w:rsidR="00DC57E4" w:rsidRDefault="00DC57E4" w:rsidP="00C70781">
      <w:r>
        <w:separator/>
      </w:r>
    </w:p>
  </w:endnote>
  <w:endnote w:type="continuationSeparator" w:id="0">
    <w:p w14:paraId="07693B8B" w14:textId="77777777" w:rsidR="00DC57E4" w:rsidRDefault="00DC57E4" w:rsidP="00C7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A1F1CE" w14:textId="77777777" w:rsidR="00DC57E4" w:rsidRDefault="00DC57E4" w:rsidP="00C70781">
      <w:r>
        <w:separator/>
      </w:r>
    </w:p>
  </w:footnote>
  <w:footnote w:type="continuationSeparator" w:id="0">
    <w:p w14:paraId="4D89BECC" w14:textId="77777777" w:rsidR="00DC57E4" w:rsidRDefault="00DC57E4" w:rsidP="00C70781">
      <w:r>
        <w:continuationSeparator/>
      </w:r>
    </w:p>
  </w:footnote>
  <w:footnote w:id="1">
    <w:p w14:paraId="61404637" w14:textId="77777777" w:rsidR="00C70781" w:rsidRDefault="00C70781" w:rsidP="00C70781">
      <w:pPr>
        <w:pStyle w:val="FootnoteText"/>
      </w:pPr>
      <w:r>
        <w:rPr>
          <w:rStyle w:val="FootnoteReference"/>
        </w:rPr>
        <w:footnoteRef/>
      </w:r>
      <w:r>
        <w:t xml:space="preserve"> </w:t>
      </w:r>
      <w:proofErr w:type="spellStart"/>
      <w:r>
        <w:t>Ashmole</w:t>
      </w:r>
      <w:proofErr w:type="spellEnd"/>
      <w:r>
        <w:t>, 1971: 447-448</w:t>
      </w:r>
    </w:p>
  </w:footnote>
  <w:footnote w:id="2">
    <w:p w14:paraId="79D284FE" w14:textId="1FF2230F" w:rsidR="00C70781" w:rsidRPr="00C23C99" w:rsidRDefault="00C70781" w:rsidP="00C70781">
      <w:pPr>
        <w:pStyle w:val="FootnoteText"/>
      </w:pPr>
      <w:r>
        <w:rPr>
          <w:rStyle w:val="FootnoteReference"/>
        </w:rPr>
        <w:footnoteRef/>
      </w:r>
      <w:r w:rsidR="007C6E7C">
        <w:t xml:space="preserve"> A. Claridge, 1999: 528-530</w:t>
      </w:r>
    </w:p>
  </w:footnote>
  <w:footnote w:id="3">
    <w:p w14:paraId="1C44FC63" w14:textId="77777777" w:rsidR="00C70781" w:rsidRDefault="00C70781" w:rsidP="00C70781">
      <w:pPr>
        <w:pStyle w:val="FootnoteText"/>
      </w:pPr>
      <w:r>
        <w:rPr>
          <w:rStyle w:val="FootnoteReference"/>
        </w:rPr>
        <w:footnoteRef/>
      </w:r>
      <w:r>
        <w:t xml:space="preserve"> </w:t>
      </w:r>
      <w:proofErr w:type="spellStart"/>
      <w:r>
        <w:t>Virg</w:t>
      </w:r>
      <w:proofErr w:type="spellEnd"/>
      <w:r>
        <w:t xml:space="preserve">. </w:t>
      </w:r>
      <w:proofErr w:type="spellStart"/>
      <w:r>
        <w:rPr>
          <w:i/>
        </w:rPr>
        <w:t>Aen</w:t>
      </w:r>
      <w:proofErr w:type="spellEnd"/>
      <w:r>
        <w:rPr>
          <w:i/>
        </w:rPr>
        <w:t>.</w:t>
      </w:r>
      <w:r>
        <w:t xml:space="preserve"> 6.789-790</w:t>
      </w:r>
    </w:p>
  </w:footnote>
  <w:footnote w:id="4">
    <w:p w14:paraId="1D931C09" w14:textId="77777777" w:rsidR="00C70781" w:rsidRDefault="00C70781" w:rsidP="00C70781">
      <w:pPr>
        <w:pStyle w:val="FootnoteText"/>
      </w:pPr>
      <w:r>
        <w:rPr>
          <w:rStyle w:val="FootnoteReference"/>
        </w:rPr>
        <w:footnoteRef/>
      </w:r>
      <w:r>
        <w:t xml:space="preserve"> </w:t>
      </w:r>
      <w:proofErr w:type="spellStart"/>
      <w:r>
        <w:t>Virg</w:t>
      </w:r>
      <w:proofErr w:type="spellEnd"/>
      <w:r>
        <w:t xml:space="preserve">. </w:t>
      </w:r>
      <w:proofErr w:type="spellStart"/>
      <w:r>
        <w:rPr>
          <w:i/>
        </w:rPr>
        <w:t>Aen</w:t>
      </w:r>
      <w:proofErr w:type="spellEnd"/>
      <w:r>
        <w:rPr>
          <w:i/>
        </w:rPr>
        <w:t>.</w:t>
      </w:r>
      <w:r>
        <w:t xml:space="preserve"> 6.792</w:t>
      </w:r>
    </w:p>
  </w:footnote>
  <w:footnote w:id="5">
    <w:p w14:paraId="2FA75658" w14:textId="77777777" w:rsidR="00C70781" w:rsidRDefault="00C70781" w:rsidP="00C70781">
      <w:pPr>
        <w:pStyle w:val="FootnoteText"/>
      </w:pPr>
      <w:r>
        <w:rPr>
          <w:rStyle w:val="FootnoteReference"/>
        </w:rPr>
        <w:footnoteRef/>
      </w:r>
      <w:r>
        <w:t xml:space="preserve"> </w:t>
      </w:r>
      <w:proofErr w:type="spellStart"/>
      <w:r>
        <w:t>Ouroussoff</w:t>
      </w:r>
      <w:proofErr w:type="spellEnd"/>
      <w:r>
        <w:t xml:space="preserve"> 2006.</w:t>
      </w:r>
    </w:p>
  </w:footnote>
  <w:footnote w:id="6">
    <w:p w14:paraId="41A835FA" w14:textId="77777777" w:rsidR="00C70781" w:rsidRDefault="00C70781" w:rsidP="00C70781">
      <w:pPr>
        <w:pStyle w:val="FootnoteText"/>
      </w:pPr>
      <w:r>
        <w:rPr>
          <w:rStyle w:val="FootnoteReference"/>
        </w:rPr>
        <w:footnoteRef/>
      </w:r>
      <w:r>
        <w:t xml:space="preserve"> </w:t>
      </w:r>
      <w:proofErr w:type="spellStart"/>
      <w:r>
        <w:t>reuters</w:t>
      </w:r>
      <w:proofErr w:type="spellEnd"/>
      <w:r>
        <w:t>, 2008.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A2MzQ1MTE0NTc1tTRS0lEKTi0uzszPAykwrAUAGLB6HiwAAAA="/>
  </w:docVars>
  <w:rsids>
    <w:rsidRoot w:val="00C70781"/>
    <w:rsid w:val="000B23DF"/>
    <w:rsid w:val="00111E26"/>
    <w:rsid w:val="002375D2"/>
    <w:rsid w:val="00306EBD"/>
    <w:rsid w:val="006C5B41"/>
    <w:rsid w:val="007677A7"/>
    <w:rsid w:val="007A341D"/>
    <w:rsid w:val="007C4B92"/>
    <w:rsid w:val="007C6E7C"/>
    <w:rsid w:val="00A4203B"/>
    <w:rsid w:val="00AB2530"/>
    <w:rsid w:val="00B229B9"/>
    <w:rsid w:val="00BC7790"/>
    <w:rsid w:val="00C02FF2"/>
    <w:rsid w:val="00C70781"/>
    <w:rsid w:val="00CE3B83"/>
    <w:rsid w:val="00DC5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8A60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7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70781"/>
  </w:style>
  <w:style w:type="character" w:customStyle="1" w:styleId="FootnoteTextChar">
    <w:name w:val="Footnote Text Char"/>
    <w:basedOn w:val="DefaultParagraphFont"/>
    <w:link w:val="FootnoteText"/>
    <w:uiPriority w:val="99"/>
    <w:rsid w:val="00C70781"/>
  </w:style>
  <w:style w:type="character" w:styleId="FootnoteReference">
    <w:name w:val="footnote reference"/>
    <w:basedOn w:val="DefaultParagraphFont"/>
    <w:uiPriority w:val="99"/>
    <w:unhideWhenUsed/>
    <w:rsid w:val="00C70781"/>
    <w:rPr>
      <w:vertAlign w:val="superscript"/>
    </w:rPr>
  </w:style>
  <w:style w:type="character" w:styleId="Hyperlink">
    <w:name w:val="Hyperlink"/>
    <w:basedOn w:val="DefaultParagraphFont"/>
    <w:uiPriority w:val="99"/>
    <w:unhideWhenUsed/>
    <w:rsid w:val="00AB2530"/>
    <w:rPr>
      <w:color w:val="0563C1" w:themeColor="hyperlink"/>
      <w:u w:val="single"/>
    </w:rPr>
  </w:style>
  <w:style w:type="character" w:styleId="FollowedHyperlink">
    <w:name w:val="FollowedHyperlink"/>
    <w:basedOn w:val="DefaultParagraphFont"/>
    <w:uiPriority w:val="99"/>
    <w:semiHidden/>
    <w:unhideWhenUsed/>
    <w:rsid w:val="00AB25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714178" TargetMode="External"/><Relationship Id="rId3" Type="http://schemas.openxmlformats.org/officeDocument/2006/relationships/webSettings" Target="webSettings.xml"/><Relationship Id="rId7" Type="http://schemas.openxmlformats.org/officeDocument/2006/relationships/hyperlink" Target="http://www.jstor.org/stable/329023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506068"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uk.reuters.com/article/uk-italy-architecture/rome-mayor-aims-to-tear-down-richard-meier-museum-idUKL3079925520080430?sp=true" TargetMode="External"/><Relationship Id="rId4" Type="http://schemas.openxmlformats.org/officeDocument/2006/relationships/footnotes" Target="footnotes.xml"/><Relationship Id="rId9" Type="http://schemas.openxmlformats.org/officeDocument/2006/relationships/hyperlink" Target="http://www.nytimes.com/2006/09/25/arts/design/25pac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1126</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Calder (1600668)</dc:creator>
  <cp:keywords/>
  <dc:description/>
  <cp:lastModifiedBy>Matt</cp:lastModifiedBy>
  <cp:revision>2</cp:revision>
  <dcterms:created xsi:type="dcterms:W3CDTF">2017-12-21T20:25:00Z</dcterms:created>
  <dcterms:modified xsi:type="dcterms:W3CDTF">2017-12-21T20:25:00Z</dcterms:modified>
</cp:coreProperties>
</file>