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1503702137"/>
        <w:docPartObj>
          <w:docPartGallery w:val="Cover Pages"/>
          <w:docPartUnique/>
        </w:docPartObj>
      </w:sdtPr>
      <w:sdtEndPr>
        <w:rPr>
          <w:sz w:val="20"/>
        </w:rPr>
      </w:sdtEndPr>
      <w:sdtContent>
        <w:p w14:paraId="79DC6A1F" w14:textId="77777777" w:rsidR="001E43EA" w:rsidRDefault="001E43EA">
          <w:pPr>
            <w:pStyle w:val="NoSpacing"/>
            <w:rPr>
              <w:sz w:val="2"/>
            </w:rPr>
          </w:pPr>
        </w:p>
        <w:p w14:paraId="17E01CC1" w14:textId="74FE7C32" w:rsidR="001E43EA" w:rsidRDefault="001E43EA">
          <w:r>
            <w:rPr>
              <w:noProof/>
            </w:rPr>
            <mc:AlternateContent>
              <mc:Choice Requires="wps">
                <w:drawing>
                  <wp:anchor distT="0" distB="0" distL="114300" distR="114300" simplePos="0" relativeHeight="251661312" behindDoc="0" locked="0" layoutInCell="1" allowOverlap="1" wp14:anchorId="1FF3892B" wp14:editId="5CE1FAE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EE1B9" w14:textId="635C9A2A" w:rsidR="00F67BB4" w:rsidRDefault="00F67BB4">
                                <w:pPr>
                                  <w:pStyle w:val="NoSpacing"/>
                                  <w:rPr>
                                    <w:rFonts w:asciiTheme="majorHAnsi" w:eastAsiaTheme="majorEastAsia" w:hAnsiTheme="majorHAnsi" w:cstheme="majorBidi"/>
                                    <w:caps/>
                                    <w:color w:val="8496B0" w:themeColor="text2" w:themeTint="99"/>
                                    <w:sz w:val="68"/>
                                    <w:szCs w:val="68"/>
                                  </w:rPr>
                                </w:pPr>
                                <w:r w:rsidRPr="00312A0B">
                                  <w:rPr>
                                    <w:rFonts w:asciiTheme="majorHAnsi" w:eastAsiaTheme="majorEastAsia" w:hAnsiTheme="majorHAnsi" w:cstheme="majorBidi"/>
                                    <w:caps/>
                                    <w:color w:val="8496B0" w:themeColor="text2" w:themeTint="99"/>
                                    <w:sz w:val="68"/>
                                    <w:szCs w:val="68"/>
                                  </w:rPr>
                                  <w:t>Combustion and Emissions Study: Modelling Fuels and NOx</w:t>
                                </w:r>
                              </w:p>
                              <w:p w14:paraId="64464927" w14:textId="4B794D71" w:rsidR="00F67BB4" w:rsidRDefault="00F67BB4">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Powertrain and Sustainability (M6X01206)</w:t>
                                    </w:r>
                                  </w:sdtContent>
                                </w:sdt>
                                <w:r>
                                  <w:rPr>
                                    <w:noProof/>
                                  </w:rPr>
                                  <w:t xml:space="preserve"> </w:t>
                                </w:r>
                              </w:p>
                              <w:p w14:paraId="777139ED" w14:textId="77777777" w:rsidR="00F67BB4" w:rsidRDefault="00F67B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F3892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429EE1B9" w14:textId="635C9A2A" w:rsidR="00F67BB4" w:rsidRDefault="00F67BB4">
                          <w:pPr>
                            <w:pStyle w:val="NoSpacing"/>
                            <w:rPr>
                              <w:rFonts w:asciiTheme="majorHAnsi" w:eastAsiaTheme="majorEastAsia" w:hAnsiTheme="majorHAnsi" w:cstheme="majorBidi"/>
                              <w:caps/>
                              <w:color w:val="8496B0" w:themeColor="text2" w:themeTint="99"/>
                              <w:sz w:val="68"/>
                              <w:szCs w:val="68"/>
                            </w:rPr>
                          </w:pPr>
                          <w:r w:rsidRPr="00312A0B">
                            <w:rPr>
                              <w:rFonts w:asciiTheme="majorHAnsi" w:eastAsiaTheme="majorEastAsia" w:hAnsiTheme="majorHAnsi" w:cstheme="majorBidi"/>
                              <w:caps/>
                              <w:color w:val="8496B0" w:themeColor="text2" w:themeTint="99"/>
                              <w:sz w:val="68"/>
                              <w:szCs w:val="68"/>
                            </w:rPr>
                            <w:t>Combustion and Emissions Study: Modelling Fuels and NOx</w:t>
                          </w:r>
                        </w:p>
                        <w:p w14:paraId="64464927" w14:textId="4B794D71" w:rsidR="00F67BB4" w:rsidRDefault="00F67BB4">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Powertrain and Sustainability (M6X01206)</w:t>
                              </w:r>
                            </w:sdtContent>
                          </w:sdt>
                          <w:r>
                            <w:rPr>
                              <w:noProof/>
                            </w:rPr>
                            <w:t xml:space="preserve"> </w:t>
                          </w:r>
                        </w:p>
                        <w:p w14:paraId="777139ED" w14:textId="77777777" w:rsidR="00F67BB4" w:rsidRDefault="00F67BB4"/>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26DB8383" wp14:editId="61EF792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D5942" w14:textId="77777777" w:rsidR="00F67BB4" w:rsidRDefault="00F67BB4">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A5F66C" w14:textId="77777777" w:rsidR="00F67BB4" w:rsidRDefault="00F67BB4">
                                    <w:pPr>
                                      <w:pStyle w:val="NoSpacing"/>
                                      <w:jc w:val="right"/>
                                      <w:rPr>
                                        <w:color w:val="5B9BD5" w:themeColor="accent1"/>
                                        <w:sz w:val="36"/>
                                        <w:szCs w:val="36"/>
                                      </w:rPr>
                                    </w:pPr>
                                    <w:r>
                                      <w:rPr>
                                        <w:color w:val="5B9BD5" w:themeColor="accent1"/>
                                        <w:sz w:val="36"/>
                                        <w:szCs w:val="36"/>
                                      </w:rPr>
                                      <w:t>BEng Motorcycle Engineering (4 Year Course)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6DB838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48D5942" w14:textId="77777777" w:rsidR="00F67BB4" w:rsidRDefault="00F67BB4">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A5F66C" w14:textId="77777777" w:rsidR="00F67BB4" w:rsidRDefault="00F67BB4">
                              <w:pPr>
                                <w:pStyle w:val="NoSpacing"/>
                                <w:jc w:val="right"/>
                                <w:rPr>
                                  <w:color w:val="5B9BD5" w:themeColor="accent1"/>
                                  <w:sz w:val="36"/>
                                  <w:szCs w:val="36"/>
                                </w:rPr>
                              </w:pPr>
                              <w:r>
                                <w:rPr>
                                  <w:color w:val="5B9BD5" w:themeColor="accent1"/>
                                  <w:sz w:val="36"/>
                                  <w:szCs w:val="36"/>
                                </w:rPr>
                                <w:t>BEng Motorcycle Engineering (4 Year Course)</w:t>
                              </w:r>
                            </w:p>
                          </w:sdtContent>
                        </w:sdt>
                      </w:txbxContent>
                    </v:textbox>
                    <w10:wrap anchorx="page" anchory="margin"/>
                  </v:shape>
                </w:pict>
              </mc:Fallback>
            </mc:AlternateContent>
          </w:r>
        </w:p>
        <w:p w14:paraId="6CBD1A15" w14:textId="185E7902" w:rsidR="001E43EA" w:rsidRDefault="00B61572" w:rsidP="00312A0B">
          <w:pPr>
            <w:spacing w:line="259" w:lineRule="auto"/>
          </w:pPr>
          <w:r w:rsidRPr="00B61572">
            <w:drawing>
              <wp:anchor distT="0" distB="0" distL="114300" distR="114300" simplePos="0" relativeHeight="251668480" behindDoc="0" locked="0" layoutInCell="1" allowOverlap="1" wp14:anchorId="7B550BAD" wp14:editId="67A23486">
                <wp:simplePos x="0" y="0"/>
                <wp:positionH relativeFrom="margin">
                  <wp:align>right</wp:align>
                </wp:positionH>
                <wp:positionV relativeFrom="paragraph">
                  <wp:posOffset>2174422</wp:posOffset>
                </wp:positionV>
                <wp:extent cx="5427134" cy="4909335"/>
                <wp:effectExtent l="0" t="0" r="254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7134" cy="49093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E43EA">
            <w:br w:type="page"/>
          </w:r>
        </w:p>
        <w:bookmarkStart w:id="0" w:name="_GoBack" w:displacedByCustomXml="next"/>
        <w:bookmarkEnd w:id="0" w:displacedByCustomXml="next"/>
      </w:sdtContent>
    </w:sdt>
    <w:sdt>
      <w:sdtPr>
        <w:rPr>
          <w:rFonts w:ascii="Arial" w:eastAsiaTheme="minorHAnsi" w:hAnsi="Arial" w:cstheme="minorBidi"/>
          <w:color w:val="auto"/>
          <w:sz w:val="20"/>
          <w:szCs w:val="22"/>
          <w:lang w:val="en-GB"/>
        </w:rPr>
        <w:id w:val="-1570797061"/>
        <w:docPartObj>
          <w:docPartGallery w:val="Table of Contents"/>
          <w:docPartUnique/>
        </w:docPartObj>
      </w:sdtPr>
      <w:sdtEndPr>
        <w:rPr>
          <w:b/>
          <w:bCs/>
          <w:noProof/>
        </w:rPr>
      </w:sdtEndPr>
      <w:sdtContent>
        <w:p w14:paraId="2D9E828E" w14:textId="77777777" w:rsidR="001E43EA" w:rsidRDefault="001E43EA" w:rsidP="00DE74CE">
          <w:pPr>
            <w:pStyle w:val="TOCHeading"/>
            <w:jc w:val="both"/>
          </w:pPr>
          <w:r>
            <w:t>Table of Contents</w:t>
          </w:r>
        </w:p>
        <w:p w14:paraId="39E16917" w14:textId="3A68A168" w:rsidR="00F67BB4" w:rsidRDefault="001E43EA">
          <w:pPr>
            <w:pStyle w:val="TOC1"/>
            <w:tabs>
              <w:tab w:val="left" w:pos="40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9171455" w:history="1">
            <w:r w:rsidR="00F67BB4" w:rsidRPr="008D3D56">
              <w:rPr>
                <w:rStyle w:val="Hyperlink"/>
                <w:noProof/>
              </w:rPr>
              <w:t>1</w:t>
            </w:r>
            <w:r w:rsidR="00F67BB4">
              <w:rPr>
                <w:rFonts w:asciiTheme="minorHAnsi" w:eastAsiaTheme="minorEastAsia" w:hAnsiTheme="minorHAnsi"/>
                <w:noProof/>
                <w:sz w:val="22"/>
                <w:lang w:eastAsia="en-GB"/>
              </w:rPr>
              <w:tab/>
            </w:r>
            <w:r w:rsidR="00F67BB4" w:rsidRPr="008D3D56">
              <w:rPr>
                <w:rStyle w:val="Hyperlink"/>
                <w:noProof/>
              </w:rPr>
              <w:t>Task 1: Methanol:Iso-Octane Blended Fuel</w:t>
            </w:r>
            <w:r w:rsidR="00F67BB4">
              <w:rPr>
                <w:noProof/>
                <w:webHidden/>
              </w:rPr>
              <w:tab/>
            </w:r>
            <w:r w:rsidR="00F67BB4">
              <w:rPr>
                <w:noProof/>
                <w:webHidden/>
              </w:rPr>
              <w:fldChar w:fldCharType="begin"/>
            </w:r>
            <w:r w:rsidR="00F67BB4">
              <w:rPr>
                <w:noProof/>
                <w:webHidden/>
              </w:rPr>
              <w:instrText xml:space="preserve"> PAGEREF _Toc29171455 \h </w:instrText>
            </w:r>
            <w:r w:rsidR="00F67BB4">
              <w:rPr>
                <w:noProof/>
                <w:webHidden/>
              </w:rPr>
            </w:r>
            <w:r w:rsidR="00F67BB4">
              <w:rPr>
                <w:noProof/>
                <w:webHidden/>
              </w:rPr>
              <w:fldChar w:fldCharType="separate"/>
            </w:r>
            <w:r w:rsidR="00F67BB4">
              <w:rPr>
                <w:noProof/>
                <w:webHidden/>
              </w:rPr>
              <w:t>1</w:t>
            </w:r>
            <w:r w:rsidR="00F67BB4">
              <w:rPr>
                <w:noProof/>
                <w:webHidden/>
              </w:rPr>
              <w:fldChar w:fldCharType="end"/>
            </w:r>
          </w:hyperlink>
        </w:p>
        <w:p w14:paraId="17897ACA" w14:textId="37D9847A"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56" w:history="1">
            <w:r w:rsidRPr="008D3D56">
              <w:rPr>
                <w:rStyle w:val="Hyperlink"/>
                <w:noProof/>
              </w:rPr>
              <w:t>1.1</w:t>
            </w:r>
            <w:r>
              <w:rPr>
                <w:rFonts w:asciiTheme="minorHAnsi" w:eastAsiaTheme="minorEastAsia" w:hAnsiTheme="minorHAnsi"/>
                <w:noProof/>
                <w:sz w:val="22"/>
                <w:lang w:eastAsia="en-GB"/>
              </w:rPr>
              <w:tab/>
            </w:r>
            <w:r w:rsidRPr="008D3D56">
              <w:rPr>
                <w:rStyle w:val="Hyperlink"/>
                <w:noProof/>
              </w:rPr>
              <w:t>Mass Percentages</w:t>
            </w:r>
            <w:r>
              <w:rPr>
                <w:noProof/>
                <w:webHidden/>
              </w:rPr>
              <w:tab/>
            </w:r>
            <w:r>
              <w:rPr>
                <w:noProof/>
                <w:webHidden/>
              </w:rPr>
              <w:fldChar w:fldCharType="begin"/>
            </w:r>
            <w:r>
              <w:rPr>
                <w:noProof/>
                <w:webHidden/>
              </w:rPr>
              <w:instrText xml:space="preserve"> PAGEREF _Toc29171456 \h </w:instrText>
            </w:r>
            <w:r>
              <w:rPr>
                <w:noProof/>
                <w:webHidden/>
              </w:rPr>
            </w:r>
            <w:r>
              <w:rPr>
                <w:noProof/>
                <w:webHidden/>
              </w:rPr>
              <w:fldChar w:fldCharType="separate"/>
            </w:r>
            <w:r>
              <w:rPr>
                <w:noProof/>
                <w:webHidden/>
              </w:rPr>
              <w:t>1</w:t>
            </w:r>
            <w:r>
              <w:rPr>
                <w:noProof/>
                <w:webHidden/>
              </w:rPr>
              <w:fldChar w:fldCharType="end"/>
            </w:r>
          </w:hyperlink>
        </w:p>
        <w:p w14:paraId="10384C49" w14:textId="237B4A74"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57" w:history="1">
            <w:r w:rsidRPr="008D3D56">
              <w:rPr>
                <w:rStyle w:val="Hyperlink"/>
                <w:noProof/>
              </w:rPr>
              <w:t>1.2</w:t>
            </w:r>
            <w:r>
              <w:rPr>
                <w:rFonts w:asciiTheme="minorHAnsi" w:eastAsiaTheme="minorEastAsia" w:hAnsiTheme="minorHAnsi"/>
                <w:noProof/>
                <w:sz w:val="22"/>
                <w:lang w:eastAsia="en-GB"/>
              </w:rPr>
              <w:tab/>
            </w:r>
            <w:r w:rsidRPr="008D3D56">
              <w:rPr>
                <w:rStyle w:val="Hyperlink"/>
                <w:noProof/>
              </w:rPr>
              <w:t>Air:Fuel Mass Ratio for Stoichiometric Combustion</w:t>
            </w:r>
            <w:r>
              <w:rPr>
                <w:noProof/>
                <w:webHidden/>
              </w:rPr>
              <w:tab/>
            </w:r>
            <w:r>
              <w:rPr>
                <w:noProof/>
                <w:webHidden/>
              </w:rPr>
              <w:fldChar w:fldCharType="begin"/>
            </w:r>
            <w:r>
              <w:rPr>
                <w:noProof/>
                <w:webHidden/>
              </w:rPr>
              <w:instrText xml:space="preserve"> PAGEREF _Toc29171457 \h </w:instrText>
            </w:r>
            <w:r>
              <w:rPr>
                <w:noProof/>
                <w:webHidden/>
              </w:rPr>
            </w:r>
            <w:r>
              <w:rPr>
                <w:noProof/>
                <w:webHidden/>
              </w:rPr>
              <w:fldChar w:fldCharType="separate"/>
            </w:r>
            <w:r>
              <w:rPr>
                <w:noProof/>
                <w:webHidden/>
              </w:rPr>
              <w:t>1</w:t>
            </w:r>
            <w:r>
              <w:rPr>
                <w:noProof/>
                <w:webHidden/>
              </w:rPr>
              <w:fldChar w:fldCharType="end"/>
            </w:r>
          </w:hyperlink>
        </w:p>
        <w:p w14:paraId="5AD34923" w14:textId="12BE4791"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58" w:history="1">
            <w:r w:rsidRPr="008D3D56">
              <w:rPr>
                <w:rStyle w:val="Hyperlink"/>
                <w:noProof/>
              </w:rPr>
              <w:t>1.2.1</w:t>
            </w:r>
            <w:r>
              <w:rPr>
                <w:rFonts w:asciiTheme="minorHAnsi" w:eastAsiaTheme="minorEastAsia" w:hAnsiTheme="minorHAnsi"/>
                <w:noProof/>
                <w:sz w:val="22"/>
                <w:lang w:eastAsia="en-GB"/>
              </w:rPr>
              <w:tab/>
            </w:r>
            <w:r w:rsidRPr="008D3D56">
              <w:rPr>
                <w:rStyle w:val="Hyperlink"/>
                <w:noProof/>
              </w:rPr>
              <w:t>Balancing the Individual fuel Stoichiometric Combustion Equations</w:t>
            </w:r>
            <w:r>
              <w:rPr>
                <w:noProof/>
                <w:webHidden/>
              </w:rPr>
              <w:tab/>
            </w:r>
            <w:r>
              <w:rPr>
                <w:noProof/>
                <w:webHidden/>
              </w:rPr>
              <w:fldChar w:fldCharType="begin"/>
            </w:r>
            <w:r>
              <w:rPr>
                <w:noProof/>
                <w:webHidden/>
              </w:rPr>
              <w:instrText xml:space="preserve"> PAGEREF _Toc29171458 \h </w:instrText>
            </w:r>
            <w:r>
              <w:rPr>
                <w:noProof/>
                <w:webHidden/>
              </w:rPr>
            </w:r>
            <w:r>
              <w:rPr>
                <w:noProof/>
                <w:webHidden/>
              </w:rPr>
              <w:fldChar w:fldCharType="separate"/>
            </w:r>
            <w:r>
              <w:rPr>
                <w:noProof/>
                <w:webHidden/>
              </w:rPr>
              <w:t>1</w:t>
            </w:r>
            <w:r>
              <w:rPr>
                <w:noProof/>
                <w:webHidden/>
              </w:rPr>
              <w:fldChar w:fldCharType="end"/>
            </w:r>
          </w:hyperlink>
        </w:p>
        <w:p w14:paraId="76A99B87" w14:textId="682A5B04"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59" w:history="1">
            <w:r w:rsidRPr="008D3D56">
              <w:rPr>
                <w:rStyle w:val="Hyperlink"/>
                <w:noProof/>
              </w:rPr>
              <w:t>1.2.2</w:t>
            </w:r>
            <w:r>
              <w:rPr>
                <w:rFonts w:asciiTheme="minorHAnsi" w:eastAsiaTheme="minorEastAsia" w:hAnsiTheme="minorHAnsi"/>
                <w:noProof/>
                <w:sz w:val="22"/>
                <w:lang w:eastAsia="en-GB"/>
              </w:rPr>
              <w:tab/>
            </w:r>
            <w:r w:rsidRPr="008D3D56">
              <w:rPr>
                <w:rStyle w:val="Hyperlink"/>
                <w:noProof/>
              </w:rPr>
              <w:t>Balancing the “multi-part fuel” Stoichiometric Combustion Equations</w:t>
            </w:r>
            <w:r>
              <w:rPr>
                <w:noProof/>
                <w:webHidden/>
              </w:rPr>
              <w:tab/>
            </w:r>
            <w:r>
              <w:rPr>
                <w:noProof/>
                <w:webHidden/>
              </w:rPr>
              <w:fldChar w:fldCharType="begin"/>
            </w:r>
            <w:r>
              <w:rPr>
                <w:noProof/>
                <w:webHidden/>
              </w:rPr>
              <w:instrText xml:space="preserve"> PAGEREF _Toc29171459 \h </w:instrText>
            </w:r>
            <w:r>
              <w:rPr>
                <w:noProof/>
                <w:webHidden/>
              </w:rPr>
            </w:r>
            <w:r>
              <w:rPr>
                <w:noProof/>
                <w:webHidden/>
              </w:rPr>
              <w:fldChar w:fldCharType="separate"/>
            </w:r>
            <w:r>
              <w:rPr>
                <w:noProof/>
                <w:webHidden/>
              </w:rPr>
              <w:t>2</w:t>
            </w:r>
            <w:r>
              <w:rPr>
                <w:noProof/>
                <w:webHidden/>
              </w:rPr>
              <w:fldChar w:fldCharType="end"/>
            </w:r>
          </w:hyperlink>
        </w:p>
        <w:p w14:paraId="63C085BF" w14:textId="28027EB0"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60" w:history="1">
            <w:r w:rsidRPr="008D3D56">
              <w:rPr>
                <w:rStyle w:val="Hyperlink"/>
                <w:noProof/>
              </w:rPr>
              <w:t>1.2.3</w:t>
            </w:r>
            <w:r>
              <w:rPr>
                <w:rFonts w:asciiTheme="minorHAnsi" w:eastAsiaTheme="minorEastAsia" w:hAnsiTheme="minorHAnsi"/>
                <w:noProof/>
                <w:sz w:val="22"/>
                <w:lang w:eastAsia="en-GB"/>
              </w:rPr>
              <w:tab/>
            </w:r>
            <w:r w:rsidRPr="008D3D56">
              <w:rPr>
                <w:rStyle w:val="Hyperlink"/>
                <w:noProof/>
              </w:rPr>
              <w:t>Air Fuel Mass Ratio</w:t>
            </w:r>
            <w:r>
              <w:rPr>
                <w:noProof/>
                <w:webHidden/>
              </w:rPr>
              <w:tab/>
            </w:r>
            <w:r>
              <w:rPr>
                <w:noProof/>
                <w:webHidden/>
              </w:rPr>
              <w:fldChar w:fldCharType="begin"/>
            </w:r>
            <w:r>
              <w:rPr>
                <w:noProof/>
                <w:webHidden/>
              </w:rPr>
              <w:instrText xml:space="preserve"> PAGEREF _Toc29171460 \h </w:instrText>
            </w:r>
            <w:r>
              <w:rPr>
                <w:noProof/>
                <w:webHidden/>
              </w:rPr>
            </w:r>
            <w:r>
              <w:rPr>
                <w:noProof/>
                <w:webHidden/>
              </w:rPr>
              <w:fldChar w:fldCharType="separate"/>
            </w:r>
            <w:r>
              <w:rPr>
                <w:noProof/>
                <w:webHidden/>
              </w:rPr>
              <w:t>2</w:t>
            </w:r>
            <w:r>
              <w:rPr>
                <w:noProof/>
                <w:webHidden/>
              </w:rPr>
              <w:fldChar w:fldCharType="end"/>
            </w:r>
          </w:hyperlink>
        </w:p>
        <w:p w14:paraId="6BD7EC64" w14:textId="08D4FF83"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1" w:history="1">
            <w:r w:rsidRPr="008D3D56">
              <w:rPr>
                <w:rStyle w:val="Hyperlink"/>
                <w:noProof/>
              </w:rPr>
              <w:t>1.3</w:t>
            </w:r>
            <w:r>
              <w:rPr>
                <w:rFonts w:asciiTheme="minorHAnsi" w:eastAsiaTheme="minorEastAsia" w:hAnsiTheme="minorHAnsi"/>
                <w:noProof/>
                <w:sz w:val="22"/>
                <w:lang w:eastAsia="en-GB"/>
              </w:rPr>
              <w:tab/>
            </w:r>
            <w:r w:rsidRPr="008D3D56">
              <w:rPr>
                <w:rStyle w:val="Hyperlink"/>
                <w:noProof/>
              </w:rPr>
              <w:t>Lower Heating Value of Blended Fuel</w:t>
            </w:r>
            <w:r>
              <w:rPr>
                <w:noProof/>
                <w:webHidden/>
              </w:rPr>
              <w:tab/>
            </w:r>
            <w:r>
              <w:rPr>
                <w:noProof/>
                <w:webHidden/>
              </w:rPr>
              <w:fldChar w:fldCharType="begin"/>
            </w:r>
            <w:r>
              <w:rPr>
                <w:noProof/>
                <w:webHidden/>
              </w:rPr>
              <w:instrText xml:space="preserve"> PAGEREF _Toc29171461 \h </w:instrText>
            </w:r>
            <w:r>
              <w:rPr>
                <w:noProof/>
                <w:webHidden/>
              </w:rPr>
            </w:r>
            <w:r>
              <w:rPr>
                <w:noProof/>
                <w:webHidden/>
              </w:rPr>
              <w:fldChar w:fldCharType="separate"/>
            </w:r>
            <w:r>
              <w:rPr>
                <w:noProof/>
                <w:webHidden/>
              </w:rPr>
              <w:t>2</w:t>
            </w:r>
            <w:r>
              <w:rPr>
                <w:noProof/>
                <w:webHidden/>
              </w:rPr>
              <w:fldChar w:fldCharType="end"/>
            </w:r>
          </w:hyperlink>
        </w:p>
        <w:p w14:paraId="5594A9C5" w14:textId="1C280205"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2" w:history="1">
            <w:r w:rsidRPr="008D3D56">
              <w:rPr>
                <w:rStyle w:val="Hyperlink"/>
                <w:noProof/>
              </w:rPr>
              <w:t>1.4</w:t>
            </w:r>
            <w:r>
              <w:rPr>
                <w:rFonts w:asciiTheme="minorHAnsi" w:eastAsiaTheme="minorEastAsia" w:hAnsiTheme="minorHAnsi"/>
                <w:noProof/>
                <w:sz w:val="22"/>
                <w:lang w:eastAsia="en-GB"/>
              </w:rPr>
              <w:tab/>
            </w:r>
            <w:r w:rsidRPr="008D3D56">
              <w:rPr>
                <w:rStyle w:val="Hyperlink"/>
                <w:noProof/>
              </w:rPr>
              <w:t>Enthalpy of Formation</w:t>
            </w:r>
            <w:r>
              <w:rPr>
                <w:noProof/>
                <w:webHidden/>
              </w:rPr>
              <w:tab/>
            </w:r>
            <w:r>
              <w:rPr>
                <w:noProof/>
                <w:webHidden/>
              </w:rPr>
              <w:fldChar w:fldCharType="begin"/>
            </w:r>
            <w:r>
              <w:rPr>
                <w:noProof/>
                <w:webHidden/>
              </w:rPr>
              <w:instrText xml:space="preserve"> PAGEREF _Toc29171462 \h </w:instrText>
            </w:r>
            <w:r>
              <w:rPr>
                <w:noProof/>
                <w:webHidden/>
              </w:rPr>
            </w:r>
            <w:r>
              <w:rPr>
                <w:noProof/>
                <w:webHidden/>
              </w:rPr>
              <w:fldChar w:fldCharType="separate"/>
            </w:r>
            <w:r>
              <w:rPr>
                <w:noProof/>
                <w:webHidden/>
              </w:rPr>
              <w:t>3</w:t>
            </w:r>
            <w:r>
              <w:rPr>
                <w:noProof/>
                <w:webHidden/>
              </w:rPr>
              <w:fldChar w:fldCharType="end"/>
            </w:r>
          </w:hyperlink>
        </w:p>
        <w:p w14:paraId="4341C4B5" w14:textId="521DBEF7"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3" w:history="1">
            <w:r w:rsidRPr="008D3D56">
              <w:rPr>
                <w:rStyle w:val="Hyperlink"/>
                <w:noProof/>
              </w:rPr>
              <w:t>1.5</w:t>
            </w:r>
            <w:r>
              <w:rPr>
                <w:rFonts w:asciiTheme="minorHAnsi" w:eastAsiaTheme="minorEastAsia" w:hAnsiTheme="minorHAnsi"/>
                <w:noProof/>
                <w:sz w:val="22"/>
                <w:lang w:eastAsia="en-GB"/>
              </w:rPr>
              <w:tab/>
            </w:r>
            <w:r w:rsidRPr="008D3D56">
              <w:rPr>
                <w:rStyle w:val="Hyperlink"/>
                <w:noProof/>
              </w:rPr>
              <w:t>Heating Values and the differentiation between them</w:t>
            </w:r>
            <w:r>
              <w:rPr>
                <w:noProof/>
                <w:webHidden/>
              </w:rPr>
              <w:tab/>
            </w:r>
            <w:r>
              <w:rPr>
                <w:noProof/>
                <w:webHidden/>
              </w:rPr>
              <w:fldChar w:fldCharType="begin"/>
            </w:r>
            <w:r>
              <w:rPr>
                <w:noProof/>
                <w:webHidden/>
              </w:rPr>
              <w:instrText xml:space="preserve"> PAGEREF _Toc29171463 \h </w:instrText>
            </w:r>
            <w:r>
              <w:rPr>
                <w:noProof/>
                <w:webHidden/>
              </w:rPr>
            </w:r>
            <w:r>
              <w:rPr>
                <w:noProof/>
                <w:webHidden/>
              </w:rPr>
              <w:fldChar w:fldCharType="separate"/>
            </w:r>
            <w:r>
              <w:rPr>
                <w:noProof/>
                <w:webHidden/>
              </w:rPr>
              <w:t>3</w:t>
            </w:r>
            <w:r>
              <w:rPr>
                <w:noProof/>
                <w:webHidden/>
              </w:rPr>
              <w:fldChar w:fldCharType="end"/>
            </w:r>
          </w:hyperlink>
        </w:p>
        <w:p w14:paraId="4D241AEF" w14:textId="6DBD6975"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4" w:history="1">
            <w:r w:rsidRPr="008D3D56">
              <w:rPr>
                <w:rStyle w:val="Hyperlink"/>
                <w:noProof/>
              </w:rPr>
              <w:t>1.6</w:t>
            </w:r>
            <w:r>
              <w:rPr>
                <w:rFonts w:asciiTheme="minorHAnsi" w:eastAsiaTheme="minorEastAsia" w:hAnsiTheme="minorHAnsi"/>
                <w:noProof/>
                <w:sz w:val="22"/>
                <w:lang w:eastAsia="en-GB"/>
              </w:rPr>
              <w:tab/>
            </w:r>
            <w:r w:rsidRPr="008D3D56">
              <w:rPr>
                <w:rStyle w:val="Hyperlink"/>
                <w:noProof/>
              </w:rPr>
              <w:t>CO</w:t>
            </w:r>
            <w:r w:rsidRPr="008D3D56">
              <w:rPr>
                <w:rStyle w:val="Hyperlink"/>
                <w:noProof/>
                <w:vertAlign w:val="subscript"/>
              </w:rPr>
              <w:t>2</w:t>
            </w:r>
            <w:r w:rsidRPr="008D3D56">
              <w:rPr>
                <w:rStyle w:val="Hyperlink"/>
                <w:noProof/>
              </w:rPr>
              <w:t xml:space="preserve"> Production per Kilogram of Combusted Products</w:t>
            </w:r>
            <w:r>
              <w:rPr>
                <w:noProof/>
                <w:webHidden/>
              </w:rPr>
              <w:tab/>
            </w:r>
            <w:r>
              <w:rPr>
                <w:noProof/>
                <w:webHidden/>
              </w:rPr>
              <w:fldChar w:fldCharType="begin"/>
            </w:r>
            <w:r>
              <w:rPr>
                <w:noProof/>
                <w:webHidden/>
              </w:rPr>
              <w:instrText xml:space="preserve"> PAGEREF _Toc29171464 \h </w:instrText>
            </w:r>
            <w:r>
              <w:rPr>
                <w:noProof/>
                <w:webHidden/>
              </w:rPr>
            </w:r>
            <w:r>
              <w:rPr>
                <w:noProof/>
                <w:webHidden/>
              </w:rPr>
              <w:fldChar w:fldCharType="separate"/>
            </w:r>
            <w:r>
              <w:rPr>
                <w:noProof/>
                <w:webHidden/>
              </w:rPr>
              <w:t>3</w:t>
            </w:r>
            <w:r>
              <w:rPr>
                <w:noProof/>
                <w:webHidden/>
              </w:rPr>
              <w:fldChar w:fldCharType="end"/>
            </w:r>
          </w:hyperlink>
        </w:p>
        <w:p w14:paraId="7D2A3217" w14:textId="1F17CCD8"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5" w:history="1">
            <w:r w:rsidRPr="008D3D56">
              <w:rPr>
                <w:rStyle w:val="Hyperlink"/>
                <w:noProof/>
              </w:rPr>
              <w:t>1.7</w:t>
            </w:r>
            <w:r>
              <w:rPr>
                <w:rFonts w:asciiTheme="minorHAnsi" w:eastAsiaTheme="minorEastAsia" w:hAnsiTheme="minorHAnsi"/>
                <w:noProof/>
                <w:sz w:val="22"/>
                <w:lang w:eastAsia="en-GB"/>
              </w:rPr>
              <w:tab/>
            </w:r>
            <w:r w:rsidRPr="008D3D56">
              <w:rPr>
                <w:rStyle w:val="Hyperlink"/>
                <w:noProof/>
              </w:rPr>
              <w:t>An Ideal Fuel</w:t>
            </w:r>
            <w:r>
              <w:rPr>
                <w:noProof/>
                <w:webHidden/>
              </w:rPr>
              <w:tab/>
            </w:r>
            <w:r>
              <w:rPr>
                <w:noProof/>
                <w:webHidden/>
              </w:rPr>
              <w:fldChar w:fldCharType="begin"/>
            </w:r>
            <w:r>
              <w:rPr>
                <w:noProof/>
                <w:webHidden/>
              </w:rPr>
              <w:instrText xml:space="preserve"> PAGEREF _Toc29171465 \h </w:instrText>
            </w:r>
            <w:r>
              <w:rPr>
                <w:noProof/>
                <w:webHidden/>
              </w:rPr>
            </w:r>
            <w:r>
              <w:rPr>
                <w:noProof/>
                <w:webHidden/>
              </w:rPr>
              <w:fldChar w:fldCharType="separate"/>
            </w:r>
            <w:r>
              <w:rPr>
                <w:noProof/>
                <w:webHidden/>
              </w:rPr>
              <w:t>3</w:t>
            </w:r>
            <w:r>
              <w:rPr>
                <w:noProof/>
                <w:webHidden/>
              </w:rPr>
              <w:fldChar w:fldCharType="end"/>
            </w:r>
          </w:hyperlink>
        </w:p>
        <w:p w14:paraId="56D09271" w14:textId="78616931" w:rsidR="00F67BB4" w:rsidRDefault="00F67BB4">
          <w:pPr>
            <w:pStyle w:val="TOC1"/>
            <w:tabs>
              <w:tab w:val="left" w:pos="400"/>
              <w:tab w:val="right" w:leader="dot" w:pos="9016"/>
            </w:tabs>
            <w:rPr>
              <w:rFonts w:asciiTheme="minorHAnsi" w:eastAsiaTheme="minorEastAsia" w:hAnsiTheme="minorHAnsi"/>
              <w:noProof/>
              <w:sz w:val="22"/>
              <w:lang w:eastAsia="en-GB"/>
            </w:rPr>
          </w:pPr>
          <w:hyperlink w:anchor="_Toc29171466" w:history="1">
            <w:r w:rsidRPr="008D3D56">
              <w:rPr>
                <w:rStyle w:val="Hyperlink"/>
                <w:noProof/>
              </w:rPr>
              <w:t>2</w:t>
            </w:r>
            <w:r>
              <w:rPr>
                <w:rFonts w:asciiTheme="minorHAnsi" w:eastAsiaTheme="minorEastAsia" w:hAnsiTheme="minorHAnsi"/>
                <w:noProof/>
                <w:sz w:val="22"/>
                <w:lang w:eastAsia="en-GB"/>
              </w:rPr>
              <w:tab/>
            </w:r>
            <w:r w:rsidRPr="008D3D56">
              <w:rPr>
                <w:rStyle w:val="Hyperlink"/>
                <w:noProof/>
              </w:rPr>
              <w:t>Task 2: NOx Production Modelling using the Simple Zeldovich Model</w:t>
            </w:r>
            <w:r>
              <w:rPr>
                <w:noProof/>
                <w:webHidden/>
              </w:rPr>
              <w:tab/>
            </w:r>
            <w:r>
              <w:rPr>
                <w:noProof/>
                <w:webHidden/>
              </w:rPr>
              <w:fldChar w:fldCharType="begin"/>
            </w:r>
            <w:r>
              <w:rPr>
                <w:noProof/>
                <w:webHidden/>
              </w:rPr>
              <w:instrText xml:space="preserve"> PAGEREF _Toc29171466 \h </w:instrText>
            </w:r>
            <w:r>
              <w:rPr>
                <w:noProof/>
                <w:webHidden/>
              </w:rPr>
            </w:r>
            <w:r>
              <w:rPr>
                <w:noProof/>
                <w:webHidden/>
              </w:rPr>
              <w:fldChar w:fldCharType="separate"/>
            </w:r>
            <w:r>
              <w:rPr>
                <w:noProof/>
                <w:webHidden/>
              </w:rPr>
              <w:t>4</w:t>
            </w:r>
            <w:r>
              <w:rPr>
                <w:noProof/>
                <w:webHidden/>
              </w:rPr>
              <w:fldChar w:fldCharType="end"/>
            </w:r>
          </w:hyperlink>
        </w:p>
        <w:p w14:paraId="1A8EDD15" w14:textId="49341180"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7" w:history="1">
            <w:r w:rsidRPr="008D3D56">
              <w:rPr>
                <w:rStyle w:val="Hyperlink"/>
                <w:noProof/>
              </w:rPr>
              <w:t>2.1</w:t>
            </w:r>
            <w:r>
              <w:rPr>
                <w:rFonts w:asciiTheme="minorHAnsi" w:eastAsiaTheme="minorEastAsia" w:hAnsiTheme="minorHAnsi"/>
                <w:noProof/>
                <w:sz w:val="22"/>
                <w:lang w:eastAsia="en-GB"/>
              </w:rPr>
              <w:tab/>
            </w:r>
            <w:r w:rsidRPr="008D3D56">
              <w:rPr>
                <w:rStyle w:val="Hyperlink"/>
                <w:noProof/>
              </w:rPr>
              <w:t>NO</w:t>
            </w:r>
            <w:r w:rsidRPr="008D3D56">
              <w:rPr>
                <w:rStyle w:val="Hyperlink"/>
                <w:noProof/>
                <w:vertAlign w:val="subscript"/>
              </w:rPr>
              <w:t xml:space="preserve">x </w:t>
            </w:r>
            <w:r w:rsidRPr="008D3D56">
              <w:rPr>
                <w:rStyle w:val="Hyperlink"/>
                <w:noProof/>
              </w:rPr>
              <w:t>Production in “Leaner” than Stoichiometric conditions</w:t>
            </w:r>
            <w:r>
              <w:rPr>
                <w:noProof/>
                <w:webHidden/>
              </w:rPr>
              <w:tab/>
            </w:r>
            <w:r>
              <w:rPr>
                <w:noProof/>
                <w:webHidden/>
              </w:rPr>
              <w:fldChar w:fldCharType="begin"/>
            </w:r>
            <w:r>
              <w:rPr>
                <w:noProof/>
                <w:webHidden/>
              </w:rPr>
              <w:instrText xml:space="preserve"> PAGEREF _Toc29171467 \h </w:instrText>
            </w:r>
            <w:r>
              <w:rPr>
                <w:noProof/>
                <w:webHidden/>
              </w:rPr>
            </w:r>
            <w:r>
              <w:rPr>
                <w:noProof/>
                <w:webHidden/>
              </w:rPr>
              <w:fldChar w:fldCharType="separate"/>
            </w:r>
            <w:r>
              <w:rPr>
                <w:noProof/>
                <w:webHidden/>
              </w:rPr>
              <w:t>4</w:t>
            </w:r>
            <w:r>
              <w:rPr>
                <w:noProof/>
                <w:webHidden/>
              </w:rPr>
              <w:fldChar w:fldCharType="end"/>
            </w:r>
          </w:hyperlink>
        </w:p>
        <w:p w14:paraId="75C434E9" w14:textId="3B616DC1" w:rsidR="00F67BB4" w:rsidRDefault="00F67BB4">
          <w:pPr>
            <w:pStyle w:val="TOC3"/>
            <w:tabs>
              <w:tab w:val="right" w:leader="dot" w:pos="9016"/>
            </w:tabs>
            <w:rPr>
              <w:rFonts w:asciiTheme="minorHAnsi" w:eastAsiaTheme="minorEastAsia" w:hAnsiTheme="minorHAnsi"/>
              <w:noProof/>
              <w:sz w:val="22"/>
              <w:lang w:eastAsia="en-GB"/>
            </w:rPr>
          </w:pPr>
          <w:hyperlink r:id="rId9" w:anchor="_Toc29171468" w:history="1">
            <w:r w:rsidRPr="008D3D56">
              <w:rPr>
                <w:rStyle w:val="Hyperlink"/>
                <w:noProof/>
              </w:rPr>
              <w:t>A Brief Explanation of Hess’ Law</w:t>
            </w:r>
            <w:r>
              <w:rPr>
                <w:noProof/>
                <w:webHidden/>
              </w:rPr>
              <w:tab/>
            </w:r>
            <w:r>
              <w:rPr>
                <w:noProof/>
                <w:webHidden/>
              </w:rPr>
              <w:fldChar w:fldCharType="begin"/>
            </w:r>
            <w:r>
              <w:rPr>
                <w:noProof/>
                <w:webHidden/>
              </w:rPr>
              <w:instrText xml:space="preserve"> PAGEREF _Toc29171468 \h </w:instrText>
            </w:r>
            <w:r>
              <w:rPr>
                <w:noProof/>
                <w:webHidden/>
              </w:rPr>
            </w:r>
            <w:r>
              <w:rPr>
                <w:noProof/>
                <w:webHidden/>
              </w:rPr>
              <w:fldChar w:fldCharType="separate"/>
            </w:r>
            <w:r>
              <w:rPr>
                <w:noProof/>
                <w:webHidden/>
              </w:rPr>
              <w:t>4</w:t>
            </w:r>
            <w:r>
              <w:rPr>
                <w:noProof/>
                <w:webHidden/>
              </w:rPr>
              <w:fldChar w:fldCharType="end"/>
            </w:r>
          </w:hyperlink>
        </w:p>
        <w:p w14:paraId="032EB706" w14:textId="793644C6"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69" w:history="1">
            <w:r w:rsidRPr="008D3D56">
              <w:rPr>
                <w:rStyle w:val="Hyperlink"/>
                <w:noProof/>
              </w:rPr>
              <w:t>2.2</w:t>
            </w:r>
            <w:r>
              <w:rPr>
                <w:rFonts w:asciiTheme="minorHAnsi" w:eastAsiaTheme="minorEastAsia" w:hAnsiTheme="minorHAnsi"/>
                <w:noProof/>
                <w:sz w:val="22"/>
                <w:lang w:eastAsia="en-GB"/>
              </w:rPr>
              <w:tab/>
            </w:r>
            <w:r w:rsidRPr="008D3D56">
              <w:rPr>
                <w:rStyle w:val="Hyperlink"/>
                <w:noProof/>
              </w:rPr>
              <w:t>Methodology for input values of basic NO</w:t>
            </w:r>
            <w:r w:rsidRPr="008D3D56">
              <w:rPr>
                <w:rStyle w:val="Hyperlink"/>
                <w:noProof/>
                <w:vertAlign w:val="subscript"/>
              </w:rPr>
              <w:t>x</w:t>
            </w:r>
            <w:r w:rsidRPr="008D3D56">
              <w:rPr>
                <w:rStyle w:val="Hyperlink"/>
                <w:noProof/>
              </w:rPr>
              <w:t xml:space="preserve"> estimation model (Zeldovich model)</w:t>
            </w:r>
            <w:r>
              <w:rPr>
                <w:noProof/>
                <w:webHidden/>
              </w:rPr>
              <w:tab/>
            </w:r>
            <w:r>
              <w:rPr>
                <w:noProof/>
                <w:webHidden/>
              </w:rPr>
              <w:fldChar w:fldCharType="begin"/>
            </w:r>
            <w:r>
              <w:rPr>
                <w:noProof/>
                <w:webHidden/>
              </w:rPr>
              <w:instrText xml:space="preserve"> PAGEREF _Toc29171469 \h </w:instrText>
            </w:r>
            <w:r>
              <w:rPr>
                <w:noProof/>
                <w:webHidden/>
              </w:rPr>
            </w:r>
            <w:r>
              <w:rPr>
                <w:noProof/>
                <w:webHidden/>
              </w:rPr>
              <w:fldChar w:fldCharType="separate"/>
            </w:r>
            <w:r>
              <w:rPr>
                <w:noProof/>
                <w:webHidden/>
              </w:rPr>
              <w:t>4</w:t>
            </w:r>
            <w:r>
              <w:rPr>
                <w:noProof/>
                <w:webHidden/>
              </w:rPr>
              <w:fldChar w:fldCharType="end"/>
            </w:r>
          </w:hyperlink>
        </w:p>
        <w:p w14:paraId="323015B5" w14:textId="7953468A"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0" w:history="1">
            <w:r w:rsidRPr="008D3D56">
              <w:rPr>
                <w:rStyle w:val="Hyperlink"/>
                <w:noProof/>
              </w:rPr>
              <w:t>2.2.1</w:t>
            </w:r>
            <w:r>
              <w:rPr>
                <w:rFonts w:asciiTheme="minorHAnsi" w:eastAsiaTheme="minorEastAsia" w:hAnsiTheme="minorHAnsi"/>
                <w:noProof/>
                <w:sz w:val="22"/>
                <w:lang w:eastAsia="en-GB"/>
              </w:rPr>
              <w:tab/>
            </w:r>
            <w:r w:rsidRPr="008D3D56">
              <w:rPr>
                <w:rStyle w:val="Hyperlink"/>
                <w:noProof/>
              </w:rPr>
              <w:t>Components of Combusted products</w:t>
            </w:r>
            <w:r>
              <w:rPr>
                <w:noProof/>
                <w:webHidden/>
              </w:rPr>
              <w:tab/>
            </w:r>
            <w:r>
              <w:rPr>
                <w:noProof/>
                <w:webHidden/>
              </w:rPr>
              <w:fldChar w:fldCharType="begin"/>
            </w:r>
            <w:r>
              <w:rPr>
                <w:noProof/>
                <w:webHidden/>
              </w:rPr>
              <w:instrText xml:space="preserve"> PAGEREF _Toc29171470 \h </w:instrText>
            </w:r>
            <w:r>
              <w:rPr>
                <w:noProof/>
                <w:webHidden/>
              </w:rPr>
            </w:r>
            <w:r>
              <w:rPr>
                <w:noProof/>
                <w:webHidden/>
              </w:rPr>
              <w:fldChar w:fldCharType="separate"/>
            </w:r>
            <w:r>
              <w:rPr>
                <w:noProof/>
                <w:webHidden/>
              </w:rPr>
              <w:t>5</w:t>
            </w:r>
            <w:r>
              <w:rPr>
                <w:noProof/>
                <w:webHidden/>
              </w:rPr>
              <w:fldChar w:fldCharType="end"/>
            </w:r>
          </w:hyperlink>
        </w:p>
        <w:p w14:paraId="79BD80E4" w14:textId="79B218E4"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1" w:history="1">
            <w:r w:rsidRPr="008D3D56">
              <w:rPr>
                <w:rStyle w:val="Hyperlink"/>
                <w:noProof/>
              </w:rPr>
              <w:t>2.2.2</w:t>
            </w:r>
            <w:r>
              <w:rPr>
                <w:rFonts w:asciiTheme="minorHAnsi" w:eastAsiaTheme="minorEastAsia" w:hAnsiTheme="minorHAnsi"/>
                <w:noProof/>
                <w:sz w:val="22"/>
                <w:lang w:eastAsia="en-GB"/>
              </w:rPr>
              <w:tab/>
            </w:r>
            <w:r w:rsidRPr="008D3D56">
              <w:rPr>
                <w:rStyle w:val="Hyperlink"/>
                <w:noProof/>
              </w:rPr>
              <w:t>Net Enthalpy from Flame Temperature</w:t>
            </w:r>
            <w:r>
              <w:rPr>
                <w:noProof/>
                <w:webHidden/>
              </w:rPr>
              <w:tab/>
            </w:r>
            <w:r>
              <w:rPr>
                <w:noProof/>
                <w:webHidden/>
              </w:rPr>
              <w:fldChar w:fldCharType="begin"/>
            </w:r>
            <w:r>
              <w:rPr>
                <w:noProof/>
                <w:webHidden/>
              </w:rPr>
              <w:instrText xml:space="preserve"> PAGEREF _Toc29171471 \h </w:instrText>
            </w:r>
            <w:r>
              <w:rPr>
                <w:noProof/>
                <w:webHidden/>
              </w:rPr>
            </w:r>
            <w:r>
              <w:rPr>
                <w:noProof/>
                <w:webHidden/>
              </w:rPr>
              <w:fldChar w:fldCharType="separate"/>
            </w:r>
            <w:r>
              <w:rPr>
                <w:noProof/>
                <w:webHidden/>
              </w:rPr>
              <w:t>5</w:t>
            </w:r>
            <w:r>
              <w:rPr>
                <w:noProof/>
                <w:webHidden/>
              </w:rPr>
              <w:fldChar w:fldCharType="end"/>
            </w:r>
          </w:hyperlink>
        </w:p>
        <w:p w14:paraId="7606AE40" w14:textId="70AEE7B3" w:rsidR="00F67BB4" w:rsidRDefault="00F67BB4">
          <w:pPr>
            <w:pStyle w:val="TOC3"/>
            <w:tabs>
              <w:tab w:val="right" w:leader="dot" w:pos="9016"/>
            </w:tabs>
            <w:rPr>
              <w:rFonts w:asciiTheme="minorHAnsi" w:eastAsiaTheme="minorEastAsia" w:hAnsiTheme="minorHAnsi"/>
              <w:noProof/>
              <w:sz w:val="22"/>
              <w:lang w:eastAsia="en-GB"/>
            </w:rPr>
          </w:pPr>
          <w:hyperlink r:id="rId10" w:anchor="_Toc29171472" w:history="1">
            <w:r w:rsidRPr="008D3D56">
              <w:rPr>
                <w:rStyle w:val="Hyperlink"/>
                <w:noProof/>
              </w:rPr>
              <w:t>A Brief Explanation of Excels Goal Seek Function</w:t>
            </w:r>
            <w:r>
              <w:rPr>
                <w:noProof/>
                <w:webHidden/>
              </w:rPr>
              <w:tab/>
            </w:r>
            <w:r>
              <w:rPr>
                <w:noProof/>
                <w:webHidden/>
              </w:rPr>
              <w:fldChar w:fldCharType="begin"/>
            </w:r>
            <w:r>
              <w:rPr>
                <w:noProof/>
                <w:webHidden/>
              </w:rPr>
              <w:instrText xml:space="preserve"> PAGEREF _Toc29171472 \h </w:instrText>
            </w:r>
            <w:r>
              <w:rPr>
                <w:noProof/>
                <w:webHidden/>
              </w:rPr>
            </w:r>
            <w:r>
              <w:rPr>
                <w:noProof/>
                <w:webHidden/>
              </w:rPr>
              <w:fldChar w:fldCharType="separate"/>
            </w:r>
            <w:r>
              <w:rPr>
                <w:noProof/>
                <w:webHidden/>
              </w:rPr>
              <w:t>7</w:t>
            </w:r>
            <w:r>
              <w:rPr>
                <w:noProof/>
                <w:webHidden/>
              </w:rPr>
              <w:fldChar w:fldCharType="end"/>
            </w:r>
          </w:hyperlink>
        </w:p>
        <w:p w14:paraId="7957BE2A" w14:textId="53DB2845"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3" w:history="1">
            <w:r w:rsidRPr="008D3D56">
              <w:rPr>
                <w:rStyle w:val="Hyperlink"/>
                <w:noProof/>
              </w:rPr>
              <w:t>2.2.3</w:t>
            </w:r>
            <w:r>
              <w:rPr>
                <w:rFonts w:asciiTheme="minorHAnsi" w:eastAsiaTheme="minorEastAsia" w:hAnsiTheme="minorHAnsi"/>
                <w:noProof/>
                <w:sz w:val="22"/>
                <w:lang w:eastAsia="en-GB"/>
              </w:rPr>
              <w:tab/>
            </w:r>
            <w:r w:rsidRPr="008D3D56">
              <w:rPr>
                <w:rStyle w:val="Hyperlink"/>
                <w:noProof/>
              </w:rPr>
              <w:t>Concentrations of O</w:t>
            </w:r>
            <w:r w:rsidRPr="008D3D56">
              <w:rPr>
                <w:rStyle w:val="Hyperlink"/>
                <w:noProof/>
                <w:vertAlign w:val="subscript"/>
              </w:rPr>
              <w:t xml:space="preserve">2 </w:t>
            </w:r>
            <w:r w:rsidRPr="008D3D56">
              <w:rPr>
                <w:rStyle w:val="Hyperlink"/>
                <w:noProof/>
              </w:rPr>
              <w:t>and N</w:t>
            </w:r>
            <w:r w:rsidRPr="008D3D56">
              <w:rPr>
                <w:rStyle w:val="Hyperlink"/>
                <w:noProof/>
                <w:vertAlign w:val="subscript"/>
              </w:rPr>
              <w:t>2</w:t>
            </w:r>
            <w:r>
              <w:rPr>
                <w:noProof/>
                <w:webHidden/>
              </w:rPr>
              <w:tab/>
            </w:r>
            <w:r>
              <w:rPr>
                <w:noProof/>
                <w:webHidden/>
              </w:rPr>
              <w:fldChar w:fldCharType="begin"/>
            </w:r>
            <w:r>
              <w:rPr>
                <w:noProof/>
                <w:webHidden/>
              </w:rPr>
              <w:instrText xml:space="preserve"> PAGEREF _Toc29171473 \h </w:instrText>
            </w:r>
            <w:r>
              <w:rPr>
                <w:noProof/>
                <w:webHidden/>
              </w:rPr>
            </w:r>
            <w:r>
              <w:rPr>
                <w:noProof/>
                <w:webHidden/>
              </w:rPr>
              <w:fldChar w:fldCharType="separate"/>
            </w:r>
            <w:r>
              <w:rPr>
                <w:noProof/>
                <w:webHidden/>
              </w:rPr>
              <w:t>8</w:t>
            </w:r>
            <w:r>
              <w:rPr>
                <w:noProof/>
                <w:webHidden/>
              </w:rPr>
              <w:fldChar w:fldCharType="end"/>
            </w:r>
          </w:hyperlink>
        </w:p>
        <w:p w14:paraId="36274745" w14:textId="6AAB72FA"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74" w:history="1">
            <w:r w:rsidRPr="008D3D56">
              <w:rPr>
                <w:rStyle w:val="Hyperlink"/>
                <w:noProof/>
              </w:rPr>
              <w:t>2.3</w:t>
            </w:r>
            <w:r>
              <w:rPr>
                <w:rFonts w:asciiTheme="minorHAnsi" w:eastAsiaTheme="minorEastAsia" w:hAnsiTheme="minorHAnsi"/>
                <w:noProof/>
                <w:sz w:val="22"/>
                <w:lang w:eastAsia="en-GB"/>
              </w:rPr>
              <w:tab/>
            </w:r>
            <w:r w:rsidRPr="008D3D56">
              <w:rPr>
                <w:rStyle w:val="Hyperlink"/>
                <w:noProof/>
              </w:rPr>
              <w:t>The Zeldovich model</w:t>
            </w:r>
            <w:r>
              <w:rPr>
                <w:noProof/>
                <w:webHidden/>
              </w:rPr>
              <w:tab/>
            </w:r>
            <w:r>
              <w:rPr>
                <w:noProof/>
                <w:webHidden/>
              </w:rPr>
              <w:fldChar w:fldCharType="begin"/>
            </w:r>
            <w:r>
              <w:rPr>
                <w:noProof/>
                <w:webHidden/>
              </w:rPr>
              <w:instrText xml:space="preserve"> PAGEREF _Toc29171474 \h </w:instrText>
            </w:r>
            <w:r>
              <w:rPr>
                <w:noProof/>
                <w:webHidden/>
              </w:rPr>
            </w:r>
            <w:r>
              <w:rPr>
                <w:noProof/>
                <w:webHidden/>
              </w:rPr>
              <w:fldChar w:fldCharType="separate"/>
            </w:r>
            <w:r>
              <w:rPr>
                <w:noProof/>
                <w:webHidden/>
              </w:rPr>
              <w:t>9</w:t>
            </w:r>
            <w:r>
              <w:rPr>
                <w:noProof/>
                <w:webHidden/>
              </w:rPr>
              <w:fldChar w:fldCharType="end"/>
            </w:r>
          </w:hyperlink>
        </w:p>
        <w:p w14:paraId="1BE5FF34" w14:textId="46FB8688"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75" w:history="1">
            <w:r w:rsidRPr="008D3D56">
              <w:rPr>
                <w:rStyle w:val="Hyperlink"/>
                <w:noProof/>
              </w:rPr>
              <w:t>2.4</w:t>
            </w:r>
            <w:r>
              <w:rPr>
                <w:rFonts w:asciiTheme="minorHAnsi" w:eastAsiaTheme="minorEastAsia" w:hAnsiTheme="minorHAnsi"/>
                <w:noProof/>
                <w:sz w:val="22"/>
                <w:lang w:eastAsia="en-GB"/>
              </w:rPr>
              <w:tab/>
            </w:r>
            <w:r w:rsidRPr="008D3D56">
              <w:rPr>
                <w:rStyle w:val="Hyperlink"/>
                <w:noProof/>
              </w:rPr>
              <w:t>Exhaust Gas Recirculation</w:t>
            </w:r>
            <w:r>
              <w:rPr>
                <w:noProof/>
                <w:webHidden/>
              </w:rPr>
              <w:tab/>
            </w:r>
            <w:r>
              <w:rPr>
                <w:noProof/>
                <w:webHidden/>
              </w:rPr>
              <w:fldChar w:fldCharType="begin"/>
            </w:r>
            <w:r>
              <w:rPr>
                <w:noProof/>
                <w:webHidden/>
              </w:rPr>
              <w:instrText xml:space="preserve"> PAGEREF _Toc29171475 \h </w:instrText>
            </w:r>
            <w:r>
              <w:rPr>
                <w:noProof/>
                <w:webHidden/>
              </w:rPr>
            </w:r>
            <w:r>
              <w:rPr>
                <w:noProof/>
                <w:webHidden/>
              </w:rPr>
              <w:fldChar w:fldCharType="separate"/>
            </w:r>
            <w:r>
              <w:rPr>
                <w:noProof/>
                <w:webHidden/>
              </w:rPr>
              <w:t>10</w:t>
            </w:r>
            <w:r>
              <w:rPr>
                <w:noProof/>
                <w:webHidden/>
              </w:rPr>
              <w:fldChar w:fldCharType="end"/>
            </w:r>
          </w:hyperlink>
        </w:p>
        <w:p w14:paraId="617C3F43" w14:textId="59D6B668"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6" w:history="1">
            <w:r w:rsidRPr="008D3D56">
              <w:rPr>
                <w:rStyle w:val="Hyperlink"/>
                <w:noProof/>
              </w:rPr>
              <w:t>2.4.1</w:t>
            </w:r>
            <w:r>
              <w:rPr>
                <w:rFonts w:asciiTheme="minorHAnsi" w:eastAsiaTheme="minorEastAsia" w:hAnsiTheme="minorHAnsi"/>
                <w:noProof/>
                <w:sz w:val="22"/>
                <w:lang w:eastAsia="en-GB"/>
              </w:rPr>
              <w:tab/>
            </w:r>
            <w:r w:rsidRPr="008D3D56">
              <w:rPr>
                <w:rStyle w:val="Hyperlink"/>
                <w:noProof/>
              </w:rPr>
              <w:t>Components of combusted products</w:t>
            </w:r>
            <w:r>
              <w:rPr>
                <w:noProof/>
                <w:webHidden/>
              </w:rPr>
              <w:tab/>
            </w:r>
            <w:r>
              <w:rPr>
                <w:noProof/>
                <w:webHidden/>
              </w:rPr>
              <w:fldChar w:fldCharType="begin"/>
            </w:r>
            <w:r>
              <w:rPr>
                <w:noProof/>
                <w:webHidden/>
              </w:rPr>
              <w:instrText xml:space="preserve"> PAGEREF _Toc29171476 \h </w:instrText>
            </w:r>
            <w:r>
              <w:rPr>
                <w:noProof/>
                <w:webHidden/>
              </w:rPr>
            </w:r>
            <w:r>
              <w:rPr>
                <w:noProof/>
                <w:webHidden/>
              </w:rPr>
              <w:fldChar w:fldCharType="separate"/>
            </w:r>
            <w:r>
              <w:rPr>
                <w:noProof/>
                <w:webHidden/>
              </w:rPr>
              <w:t>10</w:t>
            </w:r>
            <w:r>
              <w:rPr>
                <w:noProof/>
                <w:webHidden/>
              </w:rPr>
              <w:fldChar w:fldCharType="end"/>
            </w:r>
          </w:hyperlink>
        </w:p>
        <w:p w14:paraId="7693D137" w14:textId="35501C96"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7" w:history="1">
            <w:r w:rsidRPr="008D3D56">
              <w:rPr>
                <w:rStyle w:val="Hyperlink"/>
                <w:noProof/>
              </w:rPr>
              <w:t>2.4.2</w:t>
            </w:r>
            <w:r>
              <w:rPr>
                <w:rFonts w:asciiTheme="minorHAnsi" w:eastAsiaTheme="minorEastAsia" w:hAnsiTheme="minorHAnsi"/>
                <w:noProof/>
                <w:sz w:val="22"/>
                <w:lang w:eastAsia="en-GB"/>
              </w:rPr>
              <w:tab/>
            </w:r>
            <w:r w:rsidRPr="008D3D56">
              <w:rPr>
                <w:rStyle w:val="Hyperlink"/>
                <w:noProof/>
              </w:rPr>
              <w:t>Repeat prior steps</w:t>
            </w:r>
            <w:r>
              <w:rPr>
                <w:noProof/>
                <w:webHidden/>
              </w:rPr>
              <w:tab/>
            </w:r>
            <w:r>
              <w:rPr>
                <w:noProof/>
                <w:webHidden/>
              </w:rPr>
              <w:fldChar w:fldCharType="begin"/>
            </w:r>
            <w:r>
              <w:rPr>
                <w:noProof/>
                <w:webHidden/>
              </w:rPr>
              <w:instrText xml:space="preserve"> PAGEREF _Toc29171477 \h </w:instrText>
            </w:r>
            <w:r>
              <w:rPr>
                <w:noProof/>
                <w:webHidden/>
              </w:rPr>
            </w:r>
            <w:r>
              <w:rPr>
                <w:noProof/>
                <w:webHidden/>
              </w:rPr>
              <w:fldChar w:fldCharType="separate"/>
            </w:r>
            <w:r>
              <w:rPr>
                <w:noProof/>
                <w:webHidden/>
              </w:rPr>
              <w:t>10</w:t>
            </w:r>
            <w:r>
              <w:rPr>
                <w:noProof/>
                <w:webHidden/>
              </w:rPr>
              <w:fldChar w:fldCharType="end"/>
            </w:r>
          </w:hyperlink>
        </w:p>
        <w:p w14:paraId="1FCE300E" w14:textId="41EE7B72" w:rsidR="00F67BB4" w:rsidRDefault="00F67BB4">
          <w:pPr>
            <w:pStyle w:val="TOC3"/>
            <w:tabs>
              <w:tab w:val="left" w:pos="1100"/>
              <w:tab w:val="right" w:leader="dot" w:pos="9016"/>
            </w:tabs>
            <w:rPr>
              <w:rFonts w:asciiTheme="minorHAnsi" w:eastAsiaTheme="minorEastAsia" w:hAnsiTheme="minorHAnsi"/>
              <w:noProof/>
              <w:sz w:val="22"/>
              <w:lang w:eastAsia="en-GB"/>
            </w:rPr>
          </w:pPr>
          <w:hyperlink w:anchor="_Toc29171478" w:history="1">
            <w:r w:rsidRPr="008D3D56">
              <w:rPr>
                <w:rStyle w:val="Hyperlink"/>
                <w:noProof/>
              </w:rPr>
              <w:t>2.4.3</w:t>
            </w:r>
            <w:r>
              <w:rPr>
                <w:rFonts w:asciiTheme="minorHAnsi" w:eastAsiaTheme="minorEastAsia" w:hAnsiTheme="minorHAnsi"/>
                <w:noProof/>
                <w:sz w:val="22"/>
                <w:lang w:eastAsia="en-GB"/>
              </w:rPr>
              <w:tab/>
            </w:r>
            <w:r w:rsidRPr="008D3D56">
              <w:rPr>
                <w:rStyle w:val="Hyperlink"/>
                <w:noProof/>
              </w:rPr>
              <w:t>Reduction in NOx production with EGR</w:t>
            </w:r>
            <w:r>
              <w:rPr>
                <w:noProof/>
                <w:webHidden/>
              </w:rPr>
              <w:tab/>
            </w:r>
            <w:r>
              <w:rPr>
                <w:noProof/>
                <w:webHidden/>
              </w:rPr>
              <w:fldChar w:fldCharType="begin"/>
            </w:r>
            <w:r>
              <w:rPr>
                <w:noProof/>
                <w:webHidden/>
              </w:rPr>
              <w:instrText xml:space="preserve"> PAGEREF _Toc29171478 \h </w:instrText>
            </w:r>
            <w:r>
              <w:rPr>
                <w:noProof/>
                <w:webHidden/>
              </w:rPr>
            </w:r>
            <w:r>
              <w:rPr>
                <w:noProof/>
                <w:webHidden/>
              </w:rPr>
              <w:fldChar w:fldCharType="separate"/>
            </w:r>
            <w:r>
              <w:rPr>
                <w:noProof/>
                <w:webHidden/>
              </w:rPr>
              <w:t>10</w:t>
            </w:r>
            <w:r>
              <w:rPr>
                <w:noProof/>
                <w:webHidden/>
              </w:rPr>
              <w:fldChar w:fldCharType="end"/>
            </w:r>
          </w:hyperlink>
        </w:p>
        <w:p w14:paraId="44165357" w14:textId="4A66B087" w:rsidR="00F67BB4" w:rsidRDefault="00F67BB4">
          <w:pPr>
            <w:pStyle w:val="TOC1"/>
            <w:tabs>
              <w:tab w:val="left" w:pos="400"/>
              <w:tab w:val="right" w:leader="dot" w:pos="9016"/>
            </w:tabs>
            <w:rPr>
              <w:rFonts w:asciiTheme="minorHAnsi" w:eastAsiaTheme="minorEastAsia" w:hAnsiTheme="minorHAnsi"/>
              <w:noProof/>
              <w:sz w:val="22"/>
              <w:lang w:eastAsia="en-GB"/>
            </w:rPr>
          </w:pPr>
          <w:hyperlink w:anchor="_Toc29171479" w:history="1">
            <w:r w:rsidRPr="008D3D56">
              <w:rPr>
                <w:rStyle w:val="Hyperlink"/>
                <w:noProof/>
              </w:rPr>
              <w:t>3</w:t>
            </w:r>
            <w:r>
              <w:rPr>
                <w:rFonts w:asciiTheme="minorHAnsi" w:eastAsiaTheme="minorEastAsia" w:hAnsiTheme="minorHAnsi"/>
                <w:noProof/>
                <w:sz w:val="22"/>
                <w:lang w:eastAsia="en-GB"/>
              </w:rPr>
              <w:tab/>
            </w:r>
            <w:r w:rsidRPr="008D3D56">
              <w:rPr>
                <w:rStyle w:val="Hyperlink"/>
                <w:noProof/>
              </w:rPr>
              <w:t>Results</w:t>
            </w:r>
            <w:r>
              <w:rPr>
                <w:noProof/>
                <w:webHidden/>
              </w:rPr>
              <w:tab/>
            </w:r>
            <w:r>
              <w:rPr>
                <w:noProof/>
                <w:webHidden/>
              </w:rPr>
              <w:fldChar w:fldCharType="begin"/>
            </w:r>
            <w:r>
              <w:rPr>
                <w:noProof/>
                <w:webHidden/>
              </w:rPr>
              <w:instrText xml:space="preserve"> PAGEREF _Toc29171479 \h </w:instrText>
            </w:r>
            <w:r>
              <w:rPr>
                <w:noProof/>
                <w:webHidden/>
              </w:rPr>
            </w:r>
            <w:r>
              <w:rPr>
                <w:noProof/>
                <w:webHidden/>
              </w:rPr>
              <w:fldChar w:fldCharType="separate"/>
            </w:r>
            <w:r>
              <w:rPr>
                <w:noProof/>
                <w:webHidden/>
              </w:rPr>
              <w:t>11</w:t>
            </w:r>
            <w:r>
              <w:rPr>
                <w:noProof/>
                <w:webHidden/>
              </w:rPr>
              <w:fldChar w:fldCharType="end"/>
            </w:r>
          </w:hyperlink>
        </w:p>
        <w:p w14:paraId="27880AAC" w14:textId="32DA303E"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80" w:history="1">
            <w:r w:rsidRPr="008D3D56">
              <w:rPr>
                <w:rStyle w:val="Hyperlink"/>
                <w:noProof/>
              </w:rPr>
              <w:t>3.1</w:t>
            </w:r>
            <w:r>
              <w:rPr>
                <w:rFonts w:asciiTheme="minorHAnsi" w:eastAsiaTheme="minorEastAsia" w:hAnsiTheme="minorHAnsi"/>
                <w:noProof/>
                <w:sz w:val="22"/>
                <w:lang w:eastAsia="en-GB"/>
              </w:rPr>
              <w:tab/>
            </w:r>
            <w:r w:rsidRPr="008D3D56">
              <w:rPr>
                <w:rStyle w:val="Hyperlink"/>
                <w:noProof/>
              </w:rPr>
              <w:t>Overview</w:t>
            </w:r>
            <w:r>
              <w:rPr>
                <w:noProof/>
                <w:webHidden/>
              </w:rPr>
              <w:tab/>
            </w:r>
            <w:r>
              <w:rPr>
                <w:noProof/>
                <w:webHidden/>
              </w:rPr>
              <w:fldChar w:fldCharType="begin"/>
            </w:r>
            <w:r>
              <w:rPr>
                <w:noProof/>
                <w:webHidden/>
              </w:rPr>
              <w:instrText xml:space="preserve"> PAGEREF _Toc29171480 \h </w:instrText>
            </w:r>
            <w:r>
              <w:rPr>
                <w:noProof/>
                <w:webHidden/>
              </w:rPr>
            </w:r>
            <w:r>
              <w:rPr>
                <w:noProof/>
                <w:webHidden/>
              </w:rPr>
              <w:fldChar w:fldCharType="separate"/>
            </w:r>
            <w:r>
              <w:rPr>
                <w:noProof/>
                <w:webHidden/>
              </w:rPr>
              <w:t>12</w:t>
            </w:r>
            <w:r>
              <w:rPr>
                <w:noProof/>
                <w:webHidden/>
              </w:rPr>
              <w:fldChar w:fldCharType="end"/>
            </w:r>
          </w:hyperlink>
        </w:p>
        <w:p w14:paraId="290E28B3" w14:textId="6499632E" w:rsidR="00F67BB4" w:rsidRDefault="00F67BB4">
          <w:pPr>
            <w:pStyle w:val="TOC2"/>
            <w:tabs>
              <w:tab w:val="left" w:pos="880"/>
              <w:tab w:val="right" w:leader="dot" w:pos="9016"/>
            </w:tabs>
            <w:rPr>
              <w:rFonts w:asciiTheme="minorHAnsi" w:eastAsiaTheme="minorEastAsia" w:hAnsiTheme="minorHAnsi"/>
              <w:noProof/>
              <w:sz w:val="22"/>
              <w:lang w:eastAsia="en-GB"/>
            </w:rPr>
          </w:pPr>
          <w:hyperlink w:anchor="_Toc29171481" w:history="1">
            <w:r w:rsidRPr="008D3D56">
              <w:rPr>
                <w:rStyle w:val="Hyperlink"/>
                <w:noProof/>
              </w:rPr>
              <w:t>3.2</w:t>
            </w:r>
            <w:r>
              <w:rPr>
                <w:rFonts w:asciiTheme="minorHAnsi" w:eastAsiaTheme="minorEastAsia" w:hAnsiTheme="minorHAnsi"/>
                <w:noProof/>
                <w:sz w:val="22"/>
                <w:lang w:eastAsia="en-GB"/>
              </w:rPr>
              <w:tab/>
            </w:r>
            <w:r w:rsidRPr="008D3D56">
              <w:rPr>
                <w:rStyle w:val="Hyperlink"/>
                <w:noProof/>
              </w:rPr>
              <w:t>Major Assumptions Seen</w:t>
            </w:r>
            <w:r>
              <w:rPr>
                <w:noProof/>
                <w:webHidden/>
              </w:rPr>
              <w:tab/>
            </w:r>
            <w:r>
              <w:rPr>
                <w:noProof/>
                <w:webHidden/>
              </w:rPr>
              <w:fldChar w:fldCharType="begin"/>
            </w:r>
            <w:r>
              <w:rPr>
                <w:noProof/>
                <w:webHidden/>
              </w:rPr>
              <w:instrText xml:space="preserve"> PAGEREF _Toc29171481 \h </w:instrText>
            </w:r>
            <w:r>
              <w:rPr>
                <w:noProof/>
                <w:webHidden/>
              </w:rPr>
            </w:r>
            <w:r>
              <w:rPr>
                <w:noProof/>
                <w:webHidden/>
              </w:rPr>
              <w:fldChar w:fldCharType="separate"/>
            </w:r>
            <w:r>
              <w:rPr>
                <w:noProof/>
                <w:webHidden/>
              </w:rPr>
              <w:t>13</w:t>
            </w:r>
            <w:r>
              <w:rPr>
                <w:noProof/>
                <w:webHidden/>
              </w:rPr>
              <w:fldChar w:fldCharType="end"/>
            </w:r>
          </w:hyperlink>
        </w:p>
        <w:p w14:paraId="1F3C280E" w14:textId="2B123AA2" w:rsidR="00F67BB4" w:rsidRDefault="00F67BB4">
          <w:pPr>
            <w:pStyle w:val="TOC1"/>
            <w:tabs>
              <w:tab w:val="left" w:pos="400"/>
              <w:tab w:val="right" w:leader="dot" w:pos="9016"/>
            </w:tabs>
            <w:rPr>
              <w:rFonts w:asciiTheme="minorHAnsi" w:eastAsiaTheme="minorEastAsia" w:hAnsiTheme="minorHAnsi"/>
              <w:noProof/>
              <w:sz w:val="22"/>
              <w:lang w:eastAsia="en-GB"/>
            </w:rPr>
          </w:pPr>
          <w:hyperlink w:anchor="_Toc29171482" w:history="1">
            <w:r w:rsidRPr="008D3D56">
              <w:rPr>
                <w:rStyle w:val="Hyperlink"/>
                <w:noProof/>
              </w:rPr>
              <w:t>4</w:t>
            </w:r>
            <w:r>
              <w:rPr>
                <w:rFonts w:asciiTheme="minorHAnsi" w:eastAsiaTheme="minorEastAsia" w:hAnsiTheme="minorHAnsi"/>
                <w:noProof/>
                <w:sz w:val="22"/>
                <w:lang w:eastAsia="en-GB"/>
              </w:rPr>
              <w:tab/>
            </w:r>
            <w:r w:rsidRPr="008D3D56">
              <w:rPr>
                <w:rStyle w:val="Hyperlink"/>
                <w:noProof/>
              </w:rPr>
              <w:t>References</w:t>
            </w:r>
            <w:r>
              <w:rPr>
                <w:noProof/>
                <w:webHidden/>
              </w:rPr>
              <w:tab/>
            </w:r>
            <w:r>
              <w:rPr>
                <w:noProof/>
                <w:webHidden/>
              </w:rPr>
              <w:fldChar w:fldCharType="begin"/>
            </w:r>
            <w:r>
              <w:rPr>
                <w:noProof/>
                <w:webHidden/>
              </w:rPr>
              <w:instrText xml:space="preserve"> PAGEREF _Toc29171482 \h </w:instrText>
            </w:r>
            <w:r>
              <w:rPr>
                <w:noProof/>
                <w:webHidden/>
              </w:rPr>
            </w:r>
            <w:r>
              <w:rPr>
                <w:noProof/>
                <w:webHidden/>
              </w:rPr>
              <w:fldChar w:fldCharType="separate"/>
            </w:r>
            <w:r>
              <w:rPr>
                <w:noProof/>
                <w:webHidden/>
              </w:rPr>
              <w:t>13</w:t>
            </w:r>
            <w:r>
              <w:rPr>
                <w:noProof/>
                <w:webHidden/>
              </w:rPr>
              <w:fldChar w:fldCharType="end"/>
            </w:r>
          </w:hyperlink>
        </w:p>
        <w:p w14:paraId="56999DBE" w14:textId="61D9706F" w:rsidR="001E43EA" w:rsidRDefault="001E43EA" w:rsidP="00DE74CE">
          <w:pPr>
            <w:jc w:val="both"/>
            <w:rPr>
              <w:b/>
              <w:bCs/>
              <w:noProof/>
            </w:rPr>
          </w:pPr>
          <w:r>
            <w:rPr>
              <w:b/>
              <w:bCs/>
              <w:noProof/>
            </w:rPr>
            <w:fldChar w:fldCharType="end"/>
          </w:r>
        </w:p>
      </w:sdtContent>
    </w:sdt>
    <w:p w14:paraId="27F0074B" w14:textId="2E077337" w:rsidR="009C0991" w:rsidRPr="001E43EA" w:rsidRDefault="009C0991" w:rsidP="00DE74CE">
      <w:pPr>
        <w:jc w:val="both"/>
        <w:rPr>
          <w:b/>
          <w:bCs/>
          <w:noProof/>
        </w:rPr>
      </w:pPr>
      <w:r>
        <w:br w:type="page"/>
      </w:r>
    </w:p>
    <w:p w14:paraId="3E548863" w14:textId="77777777" w:rsidR="007A50BC" w:rsidRDefault="007A50BC" w:rsidP="00DE74CE">
      <w:pPr>
        <w:pStyle w:val="Heading1"/>
        <w:numPr>
          <w:ilvl w:val="0"/>
          <w:numId w:val="0"/>
        </w:numPr>
        <w:jc w:val="both"/>
        <w:sectPr w:rsidR="007A50BC" w:rsidSect="001E43EA">
          <w:footerReference w:type="default" r:id="rId11"/>
          <w:headerReference w:type="first" r:id="rId12"/>
          <w:footerReference w:type="first" r:id="rId13"/>
          <w:pgSz w:w="11906" w:h="16838"/>
          <w:pgMar w:top="1440" w:right="1440" w:bottom="1440" w:left="1440" w:header="708" w:footer="708" w:gutter="0"/>
          <w:pgNumType w:fmt="upperRoman" w:start="0"/>
          <w:cols w:space="708"/>
          <w:titlePg/>
          <w:docGrid w:linePitch="360"/>
        </w:sectPr>
      </w:pPr>
    </w:p>
    <w:p w14:paraId="748A6556" w14:textId="1DD09707" w:rsidR="00312A0B" w:rsidRDefault="00312A0B" w:rsidP="00DE74CE">
      <w:pPr>
        <w:pStyle w:val="Heading1"/>
        <w:numPr>
          <w:ilvl w:val="0"/>
          <w:numId w:val="2"/>
        </w:numPr>
        <w:jc w:val="both"/>
      </w:pPr>
      <w:bookmarkStart w:id="1" w:name="_Ref29118888"/>
      <w:bookmarkStart w:id="2" w:name="_Ref29118900"/>
      <w:bookmarkStart w:id="3" w:name="_Ref29118906"/>
      <w:bookmarkStart w:id="4" w:name="_Ref29118909"/>
      <w:bookmarkStart w:id="5" w:name="_Ref29118935"/>
      <w:bookmarkStart w:id="6" w:name="_Toc29171455"/>
      <w:r>
        <w:lastRenderedPageBreak/>
        <w:t>Task 1: Methanol</w:t>
      </w:r>
      <w:r w:rsidR="00643B57">
        <w:t>:</w:t>
      </w:r>
      <w:r>
        <w:t>Iso-Octane Blended Fuel</w:t>
      </w:r>
      <w:bookmarkEnd w:id="1"/>
      <w:bookmarkEnd w:id="2"/>
      <w:bookmarkEnd w:id="3"/>
      <w:bookmarkEnd w:id="4"/>
      <w:bookmarkEnd w:id="5"/>
      <w:bookmarkEnd w:id="6"/>
    </w:p>
    <w:p w14:paraId="2EF09B44" w14:textId="00EFF9B4" w:rsidR="00312A0B" w:rsidRDefault="00312A0B" w:rsidP="00DE74CE">
      <w:pPr>
        <w:pStyle w:val="Heading2"/>
        <w:jc w:val="both"/>
      </w:pPr>
      <w:bookmarkStart w:id="7" w:name="_Toc29171456"/>
      <w:r>
        <w:t>Mass Percentages</w:t>
      </w:r>
      <w:bookmarkEnd w:id="7"/>
      <w:r>
        <w:t xml:space="preserve"> </w:t>
      </w:r>
    </w:p>
    <w:p w14:paraId="114B12BC" w14:textId="4E5A5698" w:rsidR="00F65B0B" w:rsidRDefault="00F65B0B" w:rsidP="00DE74CE">
      <w:pPr>
        <w:jc w:val="both"/>
      </w:pPr>
      <w:r>
        <w:t>The Mass percentage of each fuel in the blend was calculated using the following equation</w:t>
      </w:r>
      <w:r w:rsidR="000C7CA5">
        <w:t>s</w:t>
      </w:r>
      <w:r>
        <w:t>/method:</w:t>
      </w:r>
    </w:p>
    <w:p w14:paraId="0CE2ED19" w14:textId="7E7FD3F7" w:rsidR="007A50BC" w:rsidRPr="00F65B0B" w:rsidRDefault="00F65B0B" w:rsidP="00DE74CE">
      <w:pPr>
        <w:jc w:val="both"/>
        <w:rPr>
          <w:rFonts w:eastAsiaTheme="minorEastAsia"/>
        </w:rPr>
      </w:pPr>
      <m:oMathPara>
        <m:oMath>
          <m:r>
            <w:rPr>
              <w:rFonts w:ascii="Cambria Math" w:eastAsiaTheme="minorEastAsia" w:hAnsi="Cambria Math"/>
            </w:rPr>
            <m:t xml:space="preserve">Total mass of 2kmol of 50:50 blend= </m:t>
          </m:r>
          <m:r>
            <w:rPr>
              <w:rFonts w:ascii="Cambria Math" w:eastAsiaTheme="minorEastAsia" w:hAnsi="Cambria Math" w:cs="Calibri"/>
            </w:rPr>
            <m:t xml:space="preserve"> Molar Mass of Iso-Octane+Molar Mass of Methanol</m:t>
          </m:r>
        </m:oMath>
      </m:oMathPara>
    </w:p>
    <w:p w14:paraId="40771BF0" w14:textId="621E25E8" w:rsidR="00F65B0B" w:rsidRPr="000C7CA5" w:rsidRDefault="00F65B0B" w:rsidP="00DE74CE">
      <w:pPr>
        <w:jc w:val="both"/>
        <w:rPr>
          <w:rFonts w:eastAsiaTheme="minorEastAsia"/>
        </w:rPr>
      </w:pPr>
      <m:oMathPara>
        <m:oMath>
          <m:r>
            <w:rPr>
              <w:rFonts w:ascii="Cambria Math" w:eastAsiaTheme="minorEastAsia" w:hAnsi="Cambria Math"/>
            </w:rPr>
            <m:t xml:space="preserve">Mass percentage of each fuel in 50:50 blend=  </m:t>
          </m:r>
          <m:f>
            <m:fPr>
              <m:ctrlPr>
                <w:rPr>
                  <w:rFonts w:ascii="Cambria Math" w:eastAsiaTheme="minorEastAsia" w:hAnsi="Cambria Math"/>
                  <w:i/>
                </w:rPr>
              </m:ctrlPr>
            </m:fPr>
            <m:num>
              <m:r>
                <w:rPr>
                  <w:rFonts w:ascii="Cambria Math" w:eastAsiaTheme="minorEastAsia" w:hAnsi="Cambria Math"/>
                </w:rPr>
                <m:t>Molar Mass of Individual Fuel</m:t>
              </m:r>
            </m:num>
            <m:den>
              <m:r>
                <w:rPr>
                  <w:rFonts w:ascii="Cambria Math" w:eastAsiaTheme="minorEastAsia" w:hAnsi="Cambria Math"/>
                </w:rPr>
                <m:t>Total Molar Mass of 50:50 Blend</m:t>
              </m:r>
            </m:den>
          </m:f>
        </m:oMath>
      </m:oMathPara>
    </w:p>
    <w:p w14:paraId="1A037AA1" w14:textId="46FABEE2" w:rsidR="00A21474" w:rsidRDefault="000C7CA5" w:rsidP="00DE74CE">
      <w:pPr>
        <w:jc w:val="both"/>
        <w:rPr>
          <w:rFonts w:eastAsiaTheme="minorEastAsia"/>
        </w:rPr>
      </w:pPr>
      <w:r>
        <w:rPr>
          <w:rFonts w:eastAsiaTheme="minorEastAsia"/>
        </w:rPr>
        <w:t>Using the following values this method returned the results shown for the mass percentage of each fue</w:t>
      </w:r>
      <w:r w:rsidR="00A21474">
        <w:rPr>
          <w:rFonts w:eastAsiaTheme="minorEastAsia"/>
        </w:rPr>
        <w:t>l:</w:t>
      </w:r>
    </w:p>
    <w:p w14:paraId="067CA5C4" w14:textId="3C9EAE76" w:rsidR="002B021D" w:rsidRPr="002B021D" w:rsidRDefault="002B021D" w:rsidP="00DE74CE">
      <w:pPr>
        <w:jc w:val="both"/>
        <w:rPr>
          <w:rFonts w:eastAsiaTheme="minorEastAsia"/>
        </w:rPr>
      </w:pPr>
      <m:oMathPara>
        <m:oMath>
          <m:r>
            <w:rPr>
              <w:rFonts w:ascii="Cambria Math" w:eastAsiaTheme="minorEastAsia" w:hAnsi="Cambria Math"/>
            </w:rPr>
            <m:t>Molar Masses:    Iso-Octane=114.23</m:t>
          </m:r>
          <m:f>
            <m:fPr>
              <m:ctrlPr>
                <w:rPr>
                  <w:rFonts w:ascii="Cambria Math" w:eastAsiaTheme="minorEastAsia" w:hAnsi="Cambria Math"/>
                  <w:i/>
                </w:rPr>
              </m:ctrlPr>
            </m:fPr>
            <m:num>
              <m:r>
                <w:rPr>
                  <w:rFonts w:ascii="Cambria Math" w:eastAsiaTheme="minorEastAsia" w:hAnsi="Cambria Math"/>
                </w:rPr>
                <m:t>kg</m:t>
              </m:r>
            </m:num>
            <m:den>
              <m:r>
                <w:rPr>
                  <w:rFonts w:ascii="Cambria Math" w:eastAsiaTheme="minorEastAsia" w:hAnsi="Cambria Math"/>
                </w:rPr>
                <m:t>kmol</m:t>
              </m:r>
            </m:den>
          </m:f>
          <m:r>
            <w:rPr>
              <w:rFonts w:ascii="Cambria Math" w:eastAsiaTheme="minorEastAsia" w:hAnsi="Cambria Math"/>
            </w:rPr>
            <m:t xml:space="preserve">               Methanol=32.04</m:t>
          </m:r>
          <m:f>
            <m:fPr>
              <m:ctrlPr>
                <w:rPr>
                  <w:rFonts w:ascii="Cambria Math" w:eastAsiaTheme="minorEastAsia" w:hAnsi="Cambria Math"/>
                  <w:i/>
                </w:rPr>
              </m:ctrlPr>
            </m:fPr>
            <m:num>
              <m:r>
                <w:rPr>
                  <w:rFonts w:ascii="Cambria Math" w:eastAsiaTheme="minorEastAsia" w:hAnsi="Cambria Math"/>
                </w:rPr>
                <m:t>kg</m:t>
              </m:r>
            </m:num>
            <m:den>
              <m:r>
                <w:rPr>
                  <w:rFonts w:ascii="Cambria Math" w:eastAsiaTheme="minorEastAsia" w:hAnsi="Cambria Math"/>
                </w:rPr>
                <m:t>kmol</m:t>
              </m:r>
            </m:den>
          </m:f>
        </m:oMath>
      </m:oMathPara>
    </w:p>
    <w:p w14:paraId="29A97907" w14:textId="275FB0CA" w:rsidR="002B021D" w:rsidRPr="002B021D" w:rsidRDefault="009C1404" w:rsidP="00DE74CE">
      <w:pPr>
        <w:jc w:val="both"/>
        <w:rPr>
          <w:rFonts w:eastAsiaTheme="minorEastAsia"/>
        </w:rPr>
      </w:pPr>
      <m:oMathPara>
        <m:oMath>
          <m:r>
            <w:rPr>
              <w:rFonts w:ascii="Cambria Math" w:eastAsiaTheme="minorEastAsia" w:hAnsi="Cambria Math"/>
            </w:rPr>
            <m:t>Total Molar Mass of 50:50 Blend=</m:t>
          </m:r>
          <m:f>
            <m:fPr>
              <m:ctrlPr>
                <w:rPr>
                  <w:rFonts w:ascii="Cambria Math" w:eastAsiaTheme="minorEastAsia" w:hAnsi="Cambria Math"/>
                  <w:i/>
                </w:rPr>
              </m:ctrlPr>
            </m:fPr>
            <m:num>
              <m:r>
                <w:rPr>
                  <w:rFonts w:ascii="Cambria Math" w:eastAsiaTheme="minorEastAsia" w:hAnsi="Cambria Math"/>
                </w:rPr>
                <m:t>114.23</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32.04</m:t>
              </m:r>
            </m:num>
            <m:den>
              <m:r>
                <w:rPr>
                  <w:rFonts w:ascii="Cambria Math" w:eastAsiaTheme="minorEastAsia" w:hAnsi="Cambria Math"/>
                </w:rPr>
                <m:t>2</m:t>
              </m:r>
            </m:den>
          </m:f>
          <m:r>
            <w:rPr>
              <w:rFonts w:ascii="Cambria Math" w:eastAsiaTheme="minorEastAsia" w:hAnsi="Cambria Math"/>
            </w:rPr>
            <m:t>=73.135</m:t>
          </m:r>
          <m:f>
            <m:fPr>
              <m:ctrlPr>
                <w:rPr>
                  <w:rFonts w:ascii="Cambria Math" w:eastAsiaTheme="minorEastAsia" w:hAnsi="Cambria Math"/>
                  <w:i/>
                </w:rPr>
              </m:ctrlPr>
            </m:fPr>
            <m:num>
              <m:r>
                <w:rPr>
                  <w:rFonts w:ascii="Cambria Math" w:eastAsiaTheme="minorEastAsia" w:hAnsi="Cambria Math"/>
                </w:rPr>
                <m:t>kg</m:t>
              </m:r>
            </m:num>
            <m:den>
              <m:r>
                <w:rPr>
                  <w:rFonts w:ascii="Cambria Math" w:eastAsiaTheme="minorEastAsia" w:hAnsi="Cambria Math"/>
                </w:rPr>
                <m:t>kmol</m:t>
              </m:r>
            </m:den>
          </m:f>
        </m:oMath>
      </m:oMathPara>
    </w:p>
    <w:p w14:paraId="2B345C2E" w14:textId="6F6CC8EA" w:rsidR="003F3B36" w:rsidRPr="003F3B36" w:rsidRDefault="00CE1BF2" w:rsidP="00DE74CE">
      <w:pPr>
        <w:jc w:val="both"/>
        <w:rPr>
          <w:rFonts w:eastAsiaTheme="minorEastAsia"/>
        </w:rPr>
      </w:pPr>
      <w:bookmarkStart w:id="8" w:name="_Hlk28514343"/>
      <m:oMathPara>
        <m:oMath>
          <m:r>
            <w:rPr>
              <w:rFonts w:ascii="Cambria Math" w:eastAsiaTheme="minorEastAsia" w:hAnsi="Cambria Math"/>
            </w:rPr>
            <m:t>Iso-Octane Molar Mass Percentage=</m:t>
          </m:r>
          <m:f>
            <m:fPr>
              <m:ctrlPr>
                <w:rPr>
                  <w:rFonts w:ascii="Cambria Math" w:eastAsiaTheme="minorEastAsia" w:hAnsi="Cambria Math"/>
                  <w:i/>
                </w:rPr>
              </m:ctrlPr>
            </m:fPr>
            <m:num>
              <m:r>
                <w:rPr>
                  <w:rFonts w:ascii="Cambria Math" w:eastAsiaTheme="minorEastAsia" w:hAnsi="Cambria Math"/>
                </w:rPr>
                <m:t>57.115</m:t>
              </m:r>
            </m:num>
            <m:den>
              <m:r>
                <w:rPr>
                  <w:rFonts w:ascii="Cambria Math" w:eastAsiaTheme="minorEastAsia" w:hAnsi="Cambria Math"/>
                </w:rPr>
                <m:t>73.135</m:t>
              </m:r>
            </m:den>
          </m:f>
          <m:r>
            <w:rPr>
              <w:rFonts w:ascii="Cambria Math" w:eastAsiaTheme="minorEastAsia" w:hAnsi="Cambria Math"/>
            </w:rPr>
            <m:t>=0.781=78.1%</m:t>
          </m:r>
        </m:oMath>
      </m:oMathPara>
    </w:p>
    <w:bookmarkEnd w:id="8"/>
    <w:p w14:paraId="476EAA6D" w14:textId="21190582" w:rsidR="00B80BA7" w:rsidRPr="003F3B36" w:rsidRDefault="00CE1BF2" w:rsidP="00DE74CE">
      <w:pPr>
        <w:jc w:val="both"/>
        <w:rPr>
          <w:rFonts w:eastAsiaTheme="minorEastAsia"/>
        </w:rPr>
      </w:pPr>
      <m:oMathPara>
        <m:oMath>
          <m:r>
            <w:rPr>
              <w:rFonts w:ascii="Cambria Math" w:eastAsiaTheme="minorEastAsia" w:hAnsi="Cambria Math"/>
            </w:rPr>
            <m:t>Methanol Molar Mass Percentage=</m:t>
          </m:r>
          <m:f>
            <m:fPr>
              <m:ctrlPr>
                <w:rPr>
                  <w:rFonts w:ascii="Cambria Math" w:eastAsiaTheme="minorEastAsia" w:hAnsi="Cambria Math"/>
                  <w:i/>
                </w:rPr>
              </m:ctrlPr>
            </m:fPr>
            <m:num>
              <m:r>
                <w:rPr>
                  <w:rFonts w:ascii="Cambria Math" w:eastAsiaTheme="minorEastAsia" w:hAnsi="Cambria Math"/>
                </w:rPr>
                <m:t>16.02</m:t>
              </m:r>
            </m:num>
            <m:den>
              <m:r>
                <w:rPr>
                  <w:rFonts w:ascii="Cambria Math" w:eastAsiaTheme="minorEastAsia" w:hAnsi="Cambria Math"/>
                </w:rPr>
                <m:t>73.135</m:t>
              </m:r>
            </m:den>
          </m:f>
          <m:r>
            <w:rPr>
              <w:rFonts w:ascii="Cambria Math" w:eastAsiaTheme="minorEastAsia" w:hAnsi="Cambria Math"/>
            </w:rPr>
            <m:t>=0.219=21.9%</m:t>
          </m:r>
        </m:oMath>
      </m:oMathPara>
    </w:p>
    <w:p w14:paraId="6DFE7F13" w14:textId="5A23EE5A" w:rsidR="007C5736" w:rsidRPr="007C5736" w:rsidRDefault="003C2970" w:rsidP="00DE74CE">
      <w:pPr>
        <w:pStyle w:val="Heading2"/>
        <w:jc w:val="both"/>
        <w:rPr>
          <w:rFonts w:eastAsiaTheme="minorEastAsia"/>
        </w:rPr>
      </w:pPr>
      <w:bookmarkStart w:id="9" w:name="_Toc29171457"/>
      <w:r>
        <w:rPr>
          <w:rFonts w:eastAsiaTheme="minorEastAsia"/>
        </w:rPr>
        <w:t>Air:Fuel Mass Ratio for Stoichiometric Combustion</w:t>
      </w:r>
      <w:bookmarkEnd w:id="9"/>
    </w:p>
    <w:p w14:paraId="5625E377" w14:textId="200F231E" w:rsidR="003F3B36" w:rsidRDefault="00254BDC" w:rsidP="00DE74CE">
      <w:pPr>
        <w:jc w:val="both"/>
        <w:rPr>
          <w:rFonts w:eastAsiaTheme="minorEastAsia"/>
        </w:rPr>
      </w:pPr>
      <w:r w:rsidRPr="00254BDC">
        <w:rPr>
          <w:rFonts w:eastAsiaTheme="minorEastAsia"/>
        </w:rPr>
        <w:t xml:space="preserve">The </w:t>
      </w:r>
      <w:r>
        <w:rPr>
          <w:rFonts w:eastAsiaTheme="minorEastAsia"/>
        </w:rPr>
        <w:t xml:space="preserve">Air:Fuel Mass Ratio for </w:t>
      </w:r>
      <w:r w:rsidR="00572E49">
        <w:rPr>
          <w:rFonts w:eastAsiaTheme="minorEastAsia"/>
        </w:rPr>
        <w:t>s</w:t>
      </w:r>
      <w:r>
        <w:rPr>
          <w:rFonts w:eastAsiaTheme="minorEastAsia"/>
        </w:rPr>
        <w:t>toichiometric</w:t>
      </w:r>
      <w:r w:rsidR="00572E49">
        <w:rPr>
          <w:rFonts w:eastAsiaTheme="minorEastAsia"/>
        </w:rPr>
        <w:t xml:space="preserve"> combustion</w:t>
      </w:r>
      <w:r w:rsidRPr="00254BDC">
        <w:rPr>
          <w:rFonts w:eastAsiaTheme="minorEastAsia"/>
        </w:rPr>
        <w:t xml:space="preserve"> of fuel in the blend was calculated using the following method</w:t>
      </w:r>
      <w:r w:rsidR="00E02F27">
        <w:rPr>
          <w:rFonts w:eastAsiaTheme="minorEastAsia"/>
        </w:rPr>
        <w:t xml:space="preserve"> found in “Fundamentals of Combustion Processes” Chapter 2: 2.2 Page 18,19 for the balancing</w:t>
      </w:r>
      <w:r w:rsidR="00D02A94">
        <w:rPr>
          <w:rFonts w:eastAsiaTheme="minorEastAsia"/>
        </w:rPr>
        <w:t xml:space="preserve"> of</w:t>
      </w:r>
      <w:r w:rsidR="00E02F27">
        <w:rPr>
          <w:rFonts w:eastAsiaTheme="minorEastAsia"/>
        </w:rPr>
        <w:t xml:space="preserve"> stoichiometry equations </w:t>
      </w:r>
      <w:r w:rsidR="00D02A94">
        <w:rPr>
          <w:rFonts w:eastAsiaTheme="minorEastAsia"/>
        </w:rPr>
        <w:t>relating</w:t>
      </w:r>
      <w:r w:rsidR="00E02F27">
        <w:rPr>
          <w:rFonts w:eastAsiaTheme="minorEastAsia"/>
        </w:rPr>
        <w:t xml:space="preserve"> </w:t>
      </w:r>
      <w:r w:rsidR="00D02A94">
        <w:rPr>
          <w:rFonts w:eastAsiaTheme="minorEastAsia"/>
        </w:rPr>
        <w:t xml:space="preserve">to </w:t>
      </w:r>
      <w:r w:rsidR="00E02F27">
        <w:rPr>
          <w:rFonts w:eastAsiaTheme="minorEastAsia"/>
        </w:rPr>
        <w:t>multi-component fuel blends</w:t>
      </w:r>
      <w:sdt>
        <w:sdtPr>
          <w:rPr>
            <w:rFonts w:eastAsiaTheme="minorEastAsia"/>
          </w:rPr>
          <w:id w:val="896091667"/>
          <w:citation/>
        </w:sdtPr>
        <w:sdtContent>
          <w:r w:rsidR="00E02F27">
            <w:rPr>
              <w:rFonts w:eastAsiaTheme="minorEastAsia"/>
            </w:rPr>
            <w:fldChar w:fldCharType="begin"/>
          </w:r>
          <w:r w:rsidR="00064A2F">
            <w:rPr>
              <w:rFonts w:eastAsiaTheme="minorEastAsia"/>
              <w:lang w:val="en-US"/>
            </w:rPr>
            <w:instrText xml:space="preserve">CITATION McA11 \l 1033 </w:instrText>
          </w:r>
          <w:r w:rsidR="00E02F27">
            <w:rPr>
              <w:rFonts w:eastAsiaTheme="minorEastAsia"/>
            </w:rPr>
            <w:fldChar w:fldCharType="separate"/>
          </w:r>
          <w:r w:rsidR="00A553C5">
            <w:rPr>
              <w:rFonts w:eastAsiaTheme="minorEastAsia"/>
              <w:noProof/>
              <w:lang w:val="en-US"/>
            </w:rPr>
            <w:t xml:space="preserve"> </w:t>
          </w:r>
          <w:r w:rsidR="00A553C5" w:rsidRPr="00A553C5">
            <w:rPr>
              <w:rFonts w:eastAsiaTheme="minorEastAsia"/>
              <w:noProof/>
              <w:lang w:val="en-US"/>
            </w:rPr>
            <w:t>(McAllister S, 2011)</w:t>
          </w:r>
          <w:r w:rsidR="00E02F27">
            <w:rPr>
              <w:rFonts w:eastAsiaTheme="minorEastAsia"/>
            </w:rPr>
            <w:fldChar w:fldCharType="end"/>
          </w:r>
        </w:sdtContent>
      </w:sdt>
      <w:r w:rsidRPr="00254BDC">
        <w:rPr>
          <w:rFonts w:eastAsiaTheme="minorEastAsia"/>
        </w:rPr>
        <w:t>:</w:t>
      </w:r>
    </w:p>
    <w:p w14:paraId="3B261828" w14:textId="2DC50751" w:rsidR="007C5736" w:rsidRDefault="007C5736" w:rsidP="00DE74CE">
      <w:pPr>
        <w:pStyle w:val="Heading3"/>
        <w:jc w:val="both"/>
        <w:rPr>
          <w:rFonts w:eastAsiaTheme="minorEastAsia"/>
        </w:rPr>
      </w:pPr>
      <w:bookmarkStart w:id="10" w:name="_Ref29118953"/>
      <w:bookmarkStart w:id="11" w:name="_Toc29171458"/>
      <w:r>
        <w:rPr>
          <w:rFonts w:eastAsiaTheme="minorEastAsia"/>
        </w:rPr>
        <w:t xml:space="preserve">Balancing the Individual fuel </w:t>
      </w:r>
      <w:r w:rsidR="00A173EE">
        <w:rPr>
          <w:rFonts w:eastAsiaTheme="minorEastAsia"/>
        </w:rPr>
        <w:t>Stoichiometric</w:t>
      </w:r>
      <w:r>
        <w:rPr>
          <w:rFonts w:eastAsiaTheme="minorEastAsia"/>
        </w:rPr>
        <w:t xml:space="preserve"> </w:t>
      </w:r>
      <w:r w:rsidR="00A173EE">
        <w:rPr>
          <w:rFonts w:eastAsiaTheme="minorEastAsia"/>
        </w:rPr>
        <w:t>C</w:t>
      </w:r>
      <w:r>
        <w:rPr>
          <w:rFonts w:eastAsiaTheme="minorEastAsia"/>
        </w:rPr>
        <w:t xml:space="preserve">ombustion </w:t>
      </w:r>
      <w:r w:rsidR="00A173EE">
        <w:rPr>
          <w:rFonts w:eastAsiaTheme="minorEastAsia"/>
        </w:rPr>
        <w:t>Equations</w:t>
      </w:r>
      <w:bookmarkEnd w:id="10"/>
      <w:bookmarkEnd w:id="11"/>
    </w:p>
    <w:p w14:paraId="0650E788" w14:textId="44E22139" w:rsidR="00080E18" w:rsidRPr="00727F05" w:rsidRDefault="00727F05" w:rsidP="00DE74CE">
      <w:pPr>
        <w:jc w:val="both"/>
        <w:rPr>
          <w:rFonts w:eastAsiaTheme="minorEastAsia"/>
        </w:rPr>
      </w:pPr>
      <m:oMathPara>
        <m:oMath>
          <m:r>
            <w:rPr>
              <w:rFonts w:ascii="Cambria Math" w:eastAsiaTheme="minorEastAsia" w:hAnsi="Cambria Math"/>
            </w:rPr>
            <m:t>Iso-Octane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073CF8D2" w14:textId="7ECC0403" w:rsidR="00727F05" w:rsidRPr="00727F05" w:rsidRDefault="00D650D8" w:rsidP="00DE74CE">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 xml:space="preserve">=8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18</m:t>
              </m:r>
            </m:num>
            <m:den>
              <m:r>
                <w:rPr>
                  <w:rFonts w:ascii="Cambria Math" w:eastAsiaTheme="minorEastAsia" w:hAnsi="Cambria Math"/>
                </w:rPr>
                <m:t>2</m:t>
              </m:r>
            </m:den>
          </m:f>
          <m:r>
            <w:rPr>
              <w:rFonts w:ascii="Cambria Math" w:eastAsiaTheme="minorEastAsia" w:hAnsi="Cambria Math"/>
            </w:rPr>
            <m:t xml:space="preserve">=9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=x×3.76 ∴2x=2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 xml:space="preserve">  so if x=12.5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=47</m:t>
          </m:r>
        </m:oMath>
      </m:oMathPara>
    </w:p>
    <w:p w14:paraId="73C2D2E9" w14:textId="0E20C08C" w:rsidR="00727F05" w:rsidRPr="00727F05" w:rsidRDefault="00727F05" w:rsidP="00DE74CE">
      <w:pPr>
        <w:jc w:val="both"/>
        <w:rPr>
          <w:rFonts w:eastAsiaTheme="minorEastAsia"/>
        </w:rPr>
      </w:pPr>
      <m:oMathPara>
        <m:oMath>
          <m:r>
            <w:rPr>
              <w:rFonts w:ascii="Cambria Math" w:eastAsiaTheme="minorEastAsia" w:hAnsi="Cambria Math"/>
            </w:rPr>
            <m:t xml:space="preserve">∴Iso-Octane: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+12.5</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→8C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+9</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O+47</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19876BDD" w14:textId="57228A98" w:rsidR="00727F05" w:rsidRDefault="00727F05" w:rsidP="00DE74CE">
      <w:pPr>
        <w:jc w:val="both"/>
        <w:rPr>
          <w:rFonts w:eastAsiaTheme="minorEastAsia"/>
        </w:rPr>
      </w:pPr>
      <w:r>
        <w:rPr>
          <w:rFonts w:eastAsiaTheme="minorEastAsia"/>
        </w:rPr>
        <w:t>___________</w:t>
      </w:r>
    </w:p>
    <w:p w14:paraId="26B60602" w14:textId="2CC586B9" w:rsidR="00727F05" w:rsidRPr="007C5736" w:rsidRDefault="00727F05" w:rsidP="00DE74CE">
      <w:pPr>
        <w:jc w:val="both"/>
        <w:rPr>
          <w:rFonts w:eastAsiaTheme="minorEastAsia"/>
        </w:rPr>
      </w:pPr>
      <w:bookmarkStart w:id="12" w:name="_Hlk28944630"/>
      <m:oMathPara>
        <m:oMath>
          <m:r>
            <w:rPr>
              <w:rFonts w:ascii="Cambria Math" w:eastAsiaTheme="minorEastAsia" w:hAnsi="Cambria Math"/>
            </w:rPr>
            <m:t>Methanol:C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4</m:t>
              </m:r>
            </m:sub>
          </m:sSub>
          <m:r>
            <w:rPr>
              <w:rFonts w:ascii="Cambria Math" w:eastAsiaTheme="minorEastAsia" w:hAnsi="Cambria Math"/>
            </w:rPr>
            <m:t>O+x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bookmarkEnd w:id="12"/>
    <w:p w14:paraId="30CE38A8" w14:textId="3F2652E2" w:rsidR="007C5736" w:rsidRPr="007C5736" w:rsidRDefault="00D650D8" w:rsidP="00DE74CE">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 xml:space="preserve">=1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 xml:space="preserve">=2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=x×3.76 ∴2x=2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 xml:space="preserve">  so if x=1.5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 xml:space="preserve">=5.64 </m:t>
          </m:r>
        </m:oMath>
      </m:oMathPara>
    </w:p>
    <w:p w14:paraId="3C467E6C" w14:textId="03BC31F9" w:rsidR="007C5736" w:rsidRPr="007C5736" w:rsidRDefault="007C5736" w:rsidP="00DE74CE">
      <w:pPr>
        <w:jc w:val="both"/>
        <w:rPr>
          <w:rFonts w:eastAsiaTheme="minorEastAsia"/>
        </w:rPr>
      </w:pPr>
      <m:oMathPara>
        <m:oMath>
          <m:r>
            <w:rPr>
              <w:rFonts w:ascii="Cambria Math" w:eastAsiaTheme="minorEastAsia" w:hAnsi="Cambria Math"/>
            </w:rPr>
            <m:t>Methanol:C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4</m:t>
              </m:r>
            </m:sub>
          </m:sSub>
          <m:r>
            <w:rPr>
              <w:rFonts w:ascii="Cambria Math" w:eastAsiaTheme="minorEastAsia" w:hAnsi="Cambria Math"/>
            </w:rPr>
            <m:t>O+x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O+5.64</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65D5D4AD" w14:textId="574CEC07" w:rsidR="007C5736" w:rsidRDefault="007C5736" w:rsidP="00DE74CE">
      <w:pPr>
        <w:jc w:val="both"/>
        <w:rPr>
          <w:rFonts w:eastAsiaTheme="minorEastAsia"/>
        </w:rPr>
      </w:pPr>
    </w:p>
    <w:p w14:paraId="3D07BA0F" w14:textId="7F28F7A9" w:rsidR="007C5736" w:rsidRDefault="007C5736" w:rsidP="00DE74CE">
      <w:pPr>
        <w:jc w:val="both"/>
        <w:rPr>
          <w:rFonts w:eastAsiaTheme="minorEastAsia"/>
        </w:rPr>
      </w:pPr>
    </w:p>
    <w:p w14:paraId="61B2072D" w14:textId="77777777" w:rsidR="007C5736" w:rsidRPr="00727F05" w:rsidRDefault="007C5736" w:rsidP="00DE74CE">
      <w:pPr>
        <w:jc w:val="both"/>
        <w:rPr>
          <w:rFonts w:eastAsiaTheme="minorEastAsia"/>
        </w:rPr>
      </w:pPr>
    </w:p>
    <w:p w14:paraId="0F63CFC6" w14:textId="0DE61F7A" w:rsidR="00B9232A" w:rsidRDefault="00B9232A" w:rsidP="00DE74CE">
      <w:pPr>
        <w:pStyle w:val="Heading3"/>
        <w:jc w:val="both"/>
        <w:rPr>
          <w:rFonts w:eastAsiaTheme="minorEastAsia"/>
        </w:rPr>
      </w:pPr>
      <w:bookmarkStart w:id="13" w:name="_Toc29171459"/>
      <w:r>
        <w:rPr>
          <w:rFonts w:eastAsiaTheme="minorEastAsia"/>
        </w:rPr>
        <w:lastRenderedPageBreak/>
        <w:t>Balancing th</w:t>
      </w:r>
      <w:r w:rsidR="001C3725">
        <w:rPr>
          <w:rFonts w:eastAsiaTheme="minorEastAsia"/>
        </w:rPr>
        <w:t>e “multi-part fuel”</w:t>
      </w:r>
      <w:r>
        <w:rPr>
          <w:rFonts w:eastAsiaTheme="minorEastAsia"/>
        </w:rPr>
        <w:t xml:space="preserve"> Stoichiometric Combustion Equations</w:t>
      </w:r>
      <w:bookmarkEnd w:id="13"/>
    </w:p>
    <w:p w14:paraId="3894B8C1" w14:textId="6AC78813" w:rsidR="00080E18" w:rsidRPr="003A6A79" w:rsidRDefault="00B9232A" w:rsidP="00DE74CE">
      <w:pPr>
        <w:jc w:val="both"/>
        <w:rPr>
          <w:rFonts w:eastAsiaTheme="minorEastAsia"/>
        </w:rPr>
      </w:pPr>
      <m:oMathPara>
        <m:oMath>
          <m:r>
            <w:rPr>
              <w:rFonts w:ascii="Cambria Math" w:eastAsiaTheme="minorEastAsia" w:hAnsi="Cambria Math"/>
            </w:rPr>
            <m:t>Iso-Octane :0.5</m:t>
          </m:r>
          <w:bookmarkStart w:id="14" w:name="_Hlk28943445"/>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+12.5(</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)→8C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18H</m:t>
              </m:r>
            </m:e>
            <m:sub>
              <m:r>
                <w:rPr>
                  <w:rFonts w:ascii="Cambria Math" w:eastAsiaTheme="minorEastAsia" w:hAnsi="Cambria Math"/>
                </w:rPr>
                <m:t>2</m:t>
              </m:r>
            </m:sub>
          </m:sSub>
          <m:r>
            <w:rPr>
              <w:rFonts w:ascii="Cambria Math" w:eastAsiaTheme="minorEastAsia" w:hAnsi="Cambria Math"/>
            </w:rPr>
            <m:t>O+47</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w:bookmarkEnd w:id="14"/>
          <m:r>
            <w:rPr>
              <w:rFonts w:ascii="Cambria Math" w:eastAsiaTheme="minorEastAsia" w:hAnsi="Cambria Math"/>
            </w:rPr>
            <m:t>)</m:t>
          </m:r>
        </m:oMath>
      </m:oMathPara>
    </w:p>
    <w:p w14:paraId="031D71BB" w14:textId="5B61B7C2" w:rsidR="00080E18" w:rsidRPr="00080E18" w:rsidRDefault="00B9232A" w:rsidP="00DE74CE">
      <w:pPr>
        <w:jc w:val="both"/>
        <w:rPr>
          <w:rFonts w:eastAsiaTheme="minorEastAsia"/>
        </w:rPr>
      </w:pPr>
      <m:oMathPara>
        <m:oMath>
          <m:r>
            <w:rPr>
              <w:rFonts w:ascii="Cambria Math" w:eastAsiaTheme="minorEastAsia" w:hAnsi="Cambria Math"/>
            </w:rPr>
            <m:t>Methanol: 0.5</m:t>
          </m:r>
          <m:d>
            <m:dPr>
              <m:ctrlPr>
                <w:rPr>
                  <w:rFonts w:ascii="Cambria Math" w:eastAsiaTheme="minorEastAsia" w:hAnsi="Cambria Math"/>
                  <w:i/>
                </w:rPr>
              </m:ctrlPr>
            </m:dPr>
            <m:e>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4</m:t>
                  </m:r>
                </m:sub>
              </m:sSub>
              <m:r>
                <w:rPr>
                  <w:rFonts w:ascii="Cambria Math" w:eastAsiaTheme="minorEastAsia" w:hAnsi="Cambria Math"/>
                </w:rPr>
                <m:t>O+1.5</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O+5.64</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oMath>
      </m:oMathPara>
    </w:p>
    <w:p w14:paraId="3663B901" w14:textId="1322BCAE" w:rsidR="00B9232A" w:rsidRPr="00A173EE" w:rsidRDefault="00B9232A" w:rsidP="00DE74CE">
      <w:pPr>
        <w:jc w:val="both"/>
        <w:rPr>
          <w:rFonts w:eastAsiaTheme="minorEastAsia"/>
        </w:rPr>
      </w:pPr>
      <m:oMathPara>
        <m:oMath>
          <m:r>
            <w:rPr>
              <w:rFonts w:ascii="Cambria Math" w:eastAsiaTheme="minorEastAsia" w:hAnsi="Cambria Math"/>
            </w:rPr>
            <m:t>Combined :0.5</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+0.5C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4</m:t>
              </m:r>
            </m:sub>
          </m:sSub>
          <m:r>
            <w:rPr>
              <w:rFonts w:ascii="Cambria Math" w:eastAsiaTheme="minorEastAsia" w:hAnsi="Cambria Math"/>
            </w:rPr>
            <m:t>O+x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2171261B" w14:textId="6B471FD8" w:rsidR="00A173EE" w:rsidRPr="00F3692D" w:rsidRDefault="00D650D8" w:rsidP="00DE74CE">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 xml:space="preserve">=4+0.5=4.5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11</m:t>
              </m:r>
            </m:num>
            <m:den>
              <m:r>
                <w:rPr>
                  <w:rFonts w:ascii="Cambria Math" w:eastAsiaTheme="minorEastAsia" w:hAnsi="Cambria Math"/>
                </w:rPr>
                <m:t>2</m:t>
              </m:r>
            </m:den>
          </m:f>
          <m:r>
            <w:rPr>
              <w:rFonts w:ascii="Cambria Math" w:eastAsiaTheme="minorEastAsia" w:hAnsi="Cambria Math"/>
            </w:rPr>
            <m:t xml:space="preserve">=5.5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=x×3.76 ∴2x=2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 xml:space="preserve"> so if x=7.25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=27.26</m:t>
          </m:r>
        </m:oMath>
      </m:oMathPara>
    </w:p>
    <w:p w14:paraId="5B1D4209" w14:textId="0A298B7A" w:rsidR="00F3692D" w:rsidRPr="00B9232A" w:rsidRDefault="00F3692D" w:rsidP="00DE74CE">
      <w:pPr>
        <w:jc w:val="both"/>
        <w:rPr>
          <w:rFonts w:eastAsiaTheme="minorEastAsia"/>
        </w:rPr>
      </w:pPr>
      <m:oMathPara>
        <m:oMath>
          <m:r>
            <w:rPr>
              <w:rFonts w:ascii="Cambria Math" w:eastAsiaTheme="minorEastAsia" w:hAnsi="Cambria Math"/>
            </w:rPr>
            <m:t>Combined :0.5</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+0.5C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4</m:t>
              </m:r>
            </m:sub>
          </m:sSub>
          <m:r>
            <w:rPr>
              <w:rFonts w:ascii="Cambria Math" w:eastAsiaTheme="minorEastAsia" w:hAnsi="Cambria Math"/>
            </w:rPr>
            <m:t>O+7.25</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→4.5C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+5.5</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O+27.26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7BFDD8FC" w14:textId="70DF7C09" w:rsidR="00B9232A" w:rsidRDefault="00743BB7" w:rsidP="00DE74CE">
      <w:pPr>
        <w:pStyle w:val="Heading3"/>
        <w:jc w:val="both"/>
        <w:rPr>
          <w:rFonts w:eastAsiaTheme="minorEastAsia"/>
        </w:rPr>
      </w:pPr>
      <w:bookmarkStart w:id="15" w:name="_Toc29171460"/>
      <w:r>
        <w:rPr>
          <w:rFonts w:eastAsiaTheme="minorEastAsia"/>
        </w:rPr>
        <w:t>Air Fuel Mass Ratio</w:t>
      </w:r>
      <w:bookmarkEnd w:id="15"/>
    </w:p>
    <w:p w14:paraId="48A646FA" w14:textId="0478F4A2" w:rsidR="00E9219B" w:rsidRPr="00E9219B" w:rsidRDefault="00E9219B" w:rsidP="00DE74CE">
      <w:pPr>
        <w:jc w:val="both"/>
      </w:pPr>
      <w:r>
        <w:t>Conventional Atomic weights</w:t>
      </w:r>
      <w:sdt>
        <w:sdtPr>
          <w:id w:val="792632331"/>
          <w:citation/>
        </w:sdtPr>
        <w:sdtContent>
          <w:r>
            <w:fldChar w:fldCharType="begin"/>
          </w:r>
          <w:r>
            <w:rPr>
              <w:lang w:val="en-US"/>
            </w:rPr>
            <w:instrText xml:space="preserve"> CITATION Wie10 \l 1033 </w:instrText>
          </w:r>
          <w:r>
            <w:fldChar w:fldCharType="separate"/>
          </w:r>
          <w:r w:rsidR="00A553C5">
            <w:rPr>
              <w:noProof/>
              <w:lang w:val="en-US"/>
            </w:rPr>
            <w:t xml:space="preserve"> </w:t>
          </w:r>
          <w:r w:rsidR="00A553C5" w:rsidRPr="00A553C5">
            <w:rPr>
              <w:noProof/>
              <w:lang w:val="en-US"/>
            </w:rPr>
            <w:t>(Wieser M, 2010)</w:t>
          </w:r>
          <w:r>
            <w:fldChar w:fldCharType="end"/>
          </w:r>
        </w:sdtContent>
      </w:sdt>
      <w:r>
        <w:t>:</w:t>
      </w:r>
    </w:p>
    <w:p w14:paraId="38BA9494" w14:textId="62D03F4B" w:rsidR="006D52D3" w:rsidRPr="006D52D3" w:rsidRDefault="00D650D8" w:rsidP="00DE74CE">
      <w:pPr>
        <w:jc w:val="both"/>
        <w:rPr>
          <w:rFonts w:asciiTheme="majorHAnsi" w:eastAsiaTheme="minorEastAsia" w:hAnsiTheme="majorHAnsi" w:cstheme="majorBidi"/>
        </w:rPr>
      </w:pPr>
      <m:oMathPara>
        <m:oMath>
          <m:sSub>
            <m:sSubPr>
              <m:ctrlPr>
                <w:rPr>
                  <w:rFonts w:ascii="Cambria Math" w:hAnsi="Cambria Math"/>
                  <w:i/>
                </w:rPr>
              </m:ctrlPr>
            </m:sSubPr>
            <m:e>
              <m:r>
                <w:rPr>
                  <w:rFonts w:ascii="Cambria Math" w:hAnsi="Cambria Math"/>
                </w:rPr>
                <m:t>A</m:t>
              </m:r>
            </m:e>
            <m:sub>
              <m:r>
                <w:rPr>
                  <w:rFonts w:ascii="Cambria Math" w:hAnsi="Cambria Math"/>
                </w:rPr>
                <m:t xml:space="preserve">r convetional </m:t>
              </m:r>
            </m:sub>
          </m:sSub>
          <m:r>
            <w:rPr>
              <w:rFonts w:ascii="Cambria Math" w:hAnsi="Cambria Math"/>
            </w:rPr>
            <m:t xml:space="preserve"> :Oxygen=15.999          Nitrogen=14.007            Carbon=12.011        Hydrogen=1.008</m:t>
          </m:r>
        </m:oMath>
      </m:oMathPara>
    </w:p>
    <w:p w14:paraId="6003AECE" w14:textId="7F3F85D8" w:rsidR="000862F1" w:rsidRPr="00E9219B" w:rsidRDefault="006D52D3" w:rsidP="00DE74CE">
      <w:pPr>
        <w:jc w:val="both"/>
        <w:rPr>
          <w:rFonts w:asciiTheme="majorHAnsi" w:eastAsiaTheme="minorEastAsia" w:hAnsiTheme="majorHAnsi" w:cstheme="majorBidi"/>
        </w:rPr>
      </w:pPr>
      <m:oMathPara>
        <m:oMath>
          <m:r>
            <w:rPr>
              <w:rFonts w:ascii="Cambria Math" w:eastAsiaTheme="minorEastAsia" w:hAnsi="Cambria Math" w:cstheme="majorBidi"/>
            </w:rPr>
            <m:t xml:space="preserve">AFR Mass Ratio= </m:t>
          </m:r>
          <m:f>
            <m:fPr>
              <m:ctrlPr>
                <w:rPr>
                  <w:rFonts w:ascii="Cambria Math" w:eastAsiaTheme="minorEastAsia" w:hAnsi="Cambria Math" w:cstheme="majorBidi"/>
                  <w:i/>
                </w:rPr>
              </m:ctrlPr>
            </m:fPr>
            <m:num>
              <m:r>
                <w:rPr>
                  <w:rFonts w:ascii="Cambria Math" w:eastAsiaTheme="minorEastAsia" w:hAnsi="Cambria Math" w:cstheme="majorBidi"/>
                </w:rPr>
                <m:t>7.25(2×15.999+3.76×2×14.007)</m:t>
              </m:r>
            </m:num>
            <m:den>
              <m:r>
                <w:rPr>
                  <w:rFonts w:ascii="Cambria Math" w:eastAsiaTheme="minorEastAsia" w:hAnsi="Cambria Math" w:cstheme="majorBidi"/>
                </w:rPr>
                <m:t>4.5×12.011+5.5×1.008</m:t>
              </m:r>
            </m:den>
          </m:f>
          <m:r>
            <w:rPr>
              <w:rFonts w:ascii="Cambria Math" w:eastAsiaTheme="minorEastAsia" w:hAnsi="Cambria Math" w:cstheme="majorBidi"/>
            </w:rPr>
            <m:t>=16.707</m:t>
          </m:r>
        </m:oMath>
      </m:oMathPara>
    </w:p>
    <w:p w14:paraId="1D35F0D3" w14:textId="37D345B5" w:rsidR="00643B57" w:rsidRDefault="00605ADD" w:rsidP="00DE74CE">
      <w:pPr>
        <w:pStyle w:val="Heading2"/>
        <w:jc w:val="both"/>
        <w:rPr>
          <w:rFonts w:eastAsiaTheme="minorEastAsia"/>
        </w:rPr>
      </w:pPr>
      <w:bookmarkStart w:id="16" w:name="_Toc29171461"/>
      <w:r>
        <w:rPr>
          <w:rFonts w:eastAsiaTheme="minorEastAsia"/>
        </w:rPr>
        <w:t>Lower Heating Value of Blended Fuel</w:t>
      </w:r>
      <w:bookmarkEnd w:id="16"/>
    </w:p>
    <w:p w14:paraId="3ABB6728" w14:textId="5830A147" w:rsidR="00605ADD" w:rsidRDefault="00CE1BF2" w:rsidP="00DE74CE">
      <w:pPr>
        <w:spacing w:after="0"/>
        <w:jc w:val="both"/>
      </w:pPr>
      <w:r w:rsidRPr="00CE1BF2">
        <w:t xml:space="preserve">The </w:t>
      </w:r>
      <w:r>
        <w:t>‘Lower Heating Value’</w:t>
      </w:r>
      <w:r w:rsidRPr="00CE1BF2">
        <w:t xml:space="preserve"> </w:t>
      </w:r>
      <w:r>
        <w:t>of the</w:t>
      </w:r>
      <w:r w:rsidRPr="00CE1BF2">
        <w:t xml:space="preserve"> stoichiometric combustion of fuel in the blend was calculated using the following equations/method:</w:t>
      </w:r>
    </w:p>
    <w:p w14:paraId="44AA4467" w14:textId="77777777" w:rsidR="001E7D90" w:rsidRDefault="00980B54" w:rsidP="00822DE6">
      <w:pPr>
        <w:keepNext/>
        <w:spacing w:after="0"/>
        <w:jc w:val="center"/>
      </w:pPr>
      <w:r>
        <w:rPr>
          <w:noProof/>
        </w:rPr>
        <w:drawing>
          <wp:inline distT="0" distB="0" distL="0" distR="0" wp14:anchorId="121435E2" wp14:editId="39FB95FC">
            <wp:extent cx="3766199" cy="15716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546"/>
                    <a:stretch/>
                  </pic:blipFill>
                  <pic:spPr bwMode="auto">
                    <a:xfrm>
                      <a:off x="0" y="0"/>
                      <a:ext cx="3832216" cy="1599174"/>
                    </a:xfrm>
                    <a:prstGeom prst="rect">
                      <a:avLst/>
                    </a:prstGeom>
                    <a:ln>
                      <a:noFill/>
                    </a:ln>
                    <a:extLst>
                      <a:ext uri="{53640926-AAD7-44D8-BBD7-CCE9431645EC}">
                        <a14:shadowObscured xmlns:a14="http://schemas.microsoft.com/office/drawing/2010/main"/>
                      </a:ext>
                    </a:extLst>
                  </pic:spPr>
                </pic:pic>
              </a:graphicData>
            </a:graphic>
          </wp:inline>
        </w:drawing>
      </w:r>
      <w:bookmarkStart w:id="17" w:name="_Toc28970167"/>
    </w:p>
    <w:p w14:paraId="6012EF77" w14:textId="6AC0F141" w:rsidR="00D77F92" w:rsidRDefault="001E7D90" w:rsidP="00822DE6">
      <w:pPr>
        <w:pStyle w:val="Caption"/>
        <w:jc w:val="center"/>
      </w:pPr>
      <w:bookmarkStart w:id="18" w:name="_Toc29171493"/>
      <w:r>
        <w:t xml:space="preserve">Figure </w:t>
      </w:r>
      <w:r w:rsidR="00D650D8">
        <w:fldChar w:fldCharType="begin"/>
      </w:r>
      <w:r w:rsidR="00D650D8">
        <w:instrText xml:space="preserve"> SEQ Figure \* ARABIC </w:instrText>
      </w:r>
      <w:r w:rsidR="00D650D8">
        <w:fldChar w:fldCharType="separate"/>
      </w:r>
      <w:r w:rsidR="003D5B51">
        <w:rPr>
          <w:noProof/>
        </w:rPr>
        <w:t>1</w:t>
      </w:r>
      <w:r w:rsidR="00D650D8">
        <w:rPr>
          <w:noProof/>
        </w:rPr>
        <w:fldChar w:fldCharType="end"/>
      </w:r>
      <w:r>
        <w:t>:Table of Enthalpies of Formation of Common Combustion Species</w:t>
      </w:r>
      <w:r w:rsidR="000862F1">
        <w:rPr>
          <w:rStyle w:val="FootnoteReference"/>
        </w:rPr>
        <w:footnoteReference w:id="1"/>
      </w:r>
      <w:bookmarkEnd w:id="17"/>
      <w:bookmarkEnd w:id="18"/>
    </w:p>
    <w:p w14:paraId="0FF20AD2" w14:textId="4E14ACE0" w:rsidR="00BD1CDF" w:rsidRPr="000862F1" w:rsidRDefault="00E51CD0" w:rsidP="00DE74CE">
      <w:pPr>
        <w:jc w:val="both"/>
        <w:rPr>
          <w:rFonts w:eastAsiaTheme="minorEastAsia"/>
          <w:i/>
        </w:rPr>
      </w:pPr>
      <m:oMathPara>
        <m:oMath>
          <m:r>
            <w:rPr>
              <w:rFonts w:ascii="Cambria Math" w:eastAsiaTheme="minorEastAsia" w:hAnsi="Cambria Math"/>
            </w:rPr>
            <m:t>Enthalpies of formation input to the balanced stoicometry equation</m:t>
          </m:r>
          <m:r>
            <w:rPr>
              <w:rStyle w:val="FootnoteReference"/>
              <w:rFonts w:ascii="Cambria Math" w:eastAsiaTheme="minorEastAsia" w:hAnsi="Cambria Math"/>
              <w:i/>
            </w:rPr>
            <w:footnoteReference w:id="2"/>
          </m:r>
          <m:r>
            <w:rPr>
              <w:rFonts w:ascii="Cambria Math" w:eastAsiaTheme="minorEastAsia" w:hAnsi="Cambria Math"/>
            </w:rPr>
            <m:t xml:space="preserve">:  </m:t>
          </m:r>
        </m:oMath>
      </m:oMathPara>
    </w:p>
    <w:p w14:paraId="0B8F878F" w14:textId="20E7C6EE" w:rsidR="00BD1CDF" w:rsidRPr="000862F1" w:rsidRDefault="00D030D9" w:rsidP="00DE74CE">
      <w:pPr>
        <w:jc w:val="both"/>
        <w:rPr>
          <w:rFonts w:eastAsiaTheme="minorEastAsia"/>
          <w:i/>
        </w:rPr>
      </w:pPr>
      <m:oMathPara>
        <m:oMath>
          <m:r>
            <w:rPr>
              <w:rFonts w:ascii="Cambria Math" w:eastAsiaTheme="minorEastAsia" w:hAnsi="Cambria Math"/>
            </w:rPr>
            <m:t>0.5</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+0.5C</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OH+7.5</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→4.5C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+5.5</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O+27.26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31EDC585" w14:textId="20E20553" w:rsidR="00E51CD0" w:rsidRPr="000862F1" w:rsidRDefault="00E51CD0" w:rsidP="00DE74CE">
      <w:pPr>
        <w:jc w:val="both"/>
        <w:rPr>
          <w:rFonts w:eastAsiaTheme="minorEastAsia"/>
        </w:rPr>
      </w:pPr>
      <m:oMathPara>
        <m:oMath>
          <m:r>
            <w:rPr>
              <w:rFonts w:ascii="Cambria Math" w:eastAsiaTheme="minorEastAsia" w:hAnsi="Cambria Math"/>
            </w:rPr>
            <m:t xml:space="preserve">              </m:t>
          </m:r>
          <m:f>
            <m:fPr>
              <m:ctrlPr>
                <w:rPr>
                  <w:rFonts w:ascii="Cambria Math" w:hAnsi="Cambria Math"/>
                  <w:i/>
                </w:rPr>
              </m:ctrlPr>
            </m:fPr>
            <m:num>
              <m:r>
                <w:rPr>
                  <w:rFonts w:ascii="Cambria Math" w:hAnsi="Cambria Math"/>
                </w:rPr>
                <m:t>259.25</m:t>
              </m:r>
              <m:ctrlPr>
                <w:rPr>
                  <w:rFonts w:ascii="Cambria Math" w:eastAsiaTheme="minorEastAsia" w:hAnsi="Cambria Math"/>
                  <w:i/>
                </w:rPr>
              </m:ctrlP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201.54</m:t>
              </m:r>
            </m:num>
            <m:den>
              <m:r>
                <w:rPr>
                  <w:rFonts w:ascii="Cambria Math" w:hAnsi="Cambria Math"/>
                </w:rPr>
                <m:t>2</m:t>
              </m:r>
            </m:den>
          </m:f>
          <m:r>
            <w:rPr>
              <w:rFonts w:ascii="Cambria Math" w:hAnsi="Cambria Math"/>
            </w:rPr>
            <m:t>+0+0→4.5×393.52+5.5×241.83+0</m:t>
          </m:r>
        </m:oMath>
      </m:oMathPara>
    </w:p>
    <w:p w14:paraId="64CEF0E4" w14:textId="397E9CF0" w:rsidR="001C3725" w:rsidRPr="000862F1" w:rsidRDefault="001C3725" w:rsidP="00DE74CE">
      <w:pPr>
        <w:jc w:val="both"/>
        <w:rPr>
          <w:rFonts w:eastAsiaTheme="minorEastAsia"/>
        </w:rPr>
      </w:pPr>
      <m:oMathPara>
        <m:oMath>
          <m:r>
            <w:rPr>
              <w:rFonts w:ascii="Cambria Math" w:eastAsiaTheme="minorEastAsia" w:hAnsi="Cambria Math"/>
            </w:rPr>
            <m:t xml:space="preserve">Total Enthalpies of Reactants and Products:           230.37→3100.905                   </m:t>
          </m:r>
        </m:oMath>
      </m:oMathPara>
    </w:p>
    <w:p w14:paraId="7E1A9800" w14:textId="678D32B5" w:rsidR="001C3725" w:rsidRPr="000862F1" w:rsidRDefault="001C3725" w:rsidP="00DE74CE">
      <w:pPr>
        <w:jc w:val="both"/>
        <w:rPr>
          <w:rFonts w:eastAsiaTheme="minorEastAsia"/>
        </w:rPr>
      </w:pPr>
      <m:oMathPara>
        <m:oMath>
          <m:r>
            <w:rPr>
              <w:rFonts w:ascii="Cambria Math" w:eastAsiaTheme="minorEastAsia" w:hAnsi="Cambria Math"/>
            </w:rPr>
            <m:t>Total Enthalpy for Combustion for Blended Fuel:  3100.905-230.37=2870.535</m:t>
          </m:r>
          <m:f>
            <m:fPr>
              <m:ctrlPr>
                <w:rPr>
                  <w:rFonts w:ascii="Cambria Math" w:eastAsiaTheme="minorEastAsia" w:hAnsi="Cambria Math"/>
                  <w:i/>
                </w:rPr>
              </m:ctrlPr>
            </m:fPr>
            <m:num>
              <m:r>
                <w:rPr>
                  <w:rFonts w:ascii="Cambria Math" w:eastAsiaTheme="minorEastAsia" w:hAnsi="Cambria Math"/>
                </w:rPr>
                <m:t>MJ</m:t>
              </m:r>
            </m:num>
            <m:den>
              <m:r>
                <w:rPr>
                  <w:rFonts w:ascii="Cambria Math" w:eastAsiaTheme="minorEastAsia" w:hAnsi="Cambria Math"/>
                </w:rPr>
                <m:t>kmol</m:t>
              </m:r>
            </m:den>
          </m:f>
        </m:oMath>
      </m:oMathPara>
    </w:p>
    <w:p w14:paraId="4CCA979D" w14:textId="13C01592" w:rsidR="00295D3E" w:rsidRPr="000862F1" w:rsidRDefault="0096074D" w:rsidP="00DE74CE">
      <w:pPr>
        <w:spacing w:after="0"/>
        <w:jc w:val="both"/>
        <w:rPr>
          <w:rFonts w:eastAsiaTheme="minorEastAsia"/>
        </w:rPr>
      </w:pPr>
      <m:oMathPara>
        <m:oMath>
          <m:r>
            <w:rPr>
              <w:rFonts w:ascii="Cambria Math" w:eastAsiaTheme="minorEastAsia" w:hAnsi="Cambria Math"/>
            </w:rPr>
            <m:t>Lower Heating Value or Enthalpy of Combustion =</m:t>
          </m:r>
          <m:f>
            <m:fPr>
              <m:ctrlPr>
                <w:rPr>
                  <w:rFonts w:ascii="Cambria Math" w:eastAsiaTheme="minorEastAsia" w:hAnsi="Cambria Math"/>
                  <w:i/>
                </w:rPr>
              </m:ctrlPr>
            </m:fPr>
            <m:num>
              <m:r>
                <w:rPr>
                  <w:rFonts w:ascii="Cambria Math" w:eastAsiaTheme="minorEastAsia" w:hAnsi="Cambria Math"/>
                </w:rPr>
                <m:t>2870.535</m:t>
              </m:r>
            </m:num>
            <m:den>
              <m:r>
                <w:rPr>
                  <w:rFonts w:ascii="Cambria Math" w:eastAsiaTheme="minorEastAsia" w:hAnsi="Cambria Math"/>
                </w:rPr>
                <m:t>73.115</m:t>
              </m:r>
            </m:den>
          </m:f>
          <m:r>
            <w:rPr>
              <w:rFonts w:ascii="Cambria Math" w:eastAsiaTheme="minorEastAsia" w:hAnsi="Cambria Math"/>
            </w:rPr>
            <m:t>=39.250</m:t>
          </m:r>
          <m:f>
            <m:fPr>
              <m:ctrlPr>
                <w:rPr>
                  <w:rFonts w:ascii="Cambria Math" w:eastAsiaTheme="minorEastAsia" w:hAnsi="Cambria Math"/>
                  <w:i/>
                </w:rPr>
              </m:ctrlPr>
            </m:fPr>
            <m:num>
              <m:r>
                <w:rPr>
                  <w:rFonts w:ascii="Cambria Math" w:eastAsiaTheme="minorEastAsia" w:hAnsi="Cambria Math"/>
                </w:rPr>
                <m:t>MJ</m:t>
              </m:r>
            </m:num>
            <m:den>
              <m:r>
                <w:rPr>
                  <w:rFonts w:ascii="Cambria Math" w:eastAsiaTheme="minorEastAsia" w:hAnsi="Cambria Math"/>
                </w:rPr>
                <m:t>kg</m:t>
              </m:r>
            </m:den>
          </m:f>
        </m:oMath>
      </m:oMathPara>
    </w:p>
    <w:p w14:paraId="460E2741" w14:textId="3BD7C71A" w:rsidR="0096074D" w:rsidRDefault="00BB683A" w:rsidP="00DE74CE">
      <w:pPr>
        <w:pStyle w:val="Heading2"/>
        <w:jc w:val="both"/>
        <w:rPr>
          <w:rFonts w:eastAsiaTheme="minorEastAsia"/>
        </w:rPr>
      </w:pPr>
      <w:bookmarkStart w:id="19" w:name="_Toc29171462"/>
      <w:r>
        <w:rPr>
          <w:rFonts w:eastAsiaTheme="minorEastAsia"/>
        </w:rPr>
        <w:lastRenderedPageBreak/>
        <w:t>Enthalpy of Formation</w:t>
      </w:r>
      <w:bookmarkEnd w:id="19"/>
    </w:p>
    <w:p w14:paraId="5FFE0B2F" w14:textId="798CE017" w:rsidR="00BB683A" w:rsidRDefault="00BB683A" w:rsidP="00DE74CE">
      <w:pPr>
        <w:jc w:val="both"/>
        <w:rPr>
          <w:rFonts w:cs="Arial"/>
        </w:rPr>
      </w:pPr>
      <w:r>
        <w:t xml:space="preserve">The enthalpy of formation of a substance is the amount of energy required to produce that substance from its individual constituent elements at standard temperature and pressure conditions (denoted by STP) of </w:t>
      </w:r>
      <w:r w:rsidRPr="00BB683A">
        <w:rPr>
          <w:rFonts w:cs="Arial"/>
        </w:rPr>
        <w:t>25°C and 1atm (</w:t>
      </w:r>
      <w:r>
        <w:rPr>
          <w:rFonts w:cs="Arial"/>
        </w:rPr>
        <w:t>298K</w:t>
      </w:r>
      <w:r w:rsidR="007F2CA7">
        <w:rPr>
          <w:rFonts w:cs="Arial"/>
        </w:rPr>
        <w:t xml:space="preserve"> &amp; 101325Pa). It then therefore it follows that the Enthalpy of Formation value of a substance is the equivalent of the chemical bond energy required to form that substance.</w:t>
      </w:r>
    </w:p>
    <w:p w14:paraId="2C7DDAE0" w14:textId="28004CFD" w:rsidR="007F2CA7" w:rsidRDefault="00295D3E" w:rsidP="00DE74CE">
      <w:pPr>
        <w:pStyle w:val="Heading2"/>
        <w:jc w:val="both"/>
      </w:pPr>
      <w:bookmarkStart w:id="20" w:name="_Toc29171463"/>
      <w:r>
        <w:t>Heating Values and the differentiation between them</w:t>
      </w:r>
      <w:bookmarkEnd w:id="20"/>
    </w:p>
    <w:p w14:paraId="63015D7E" w14:textId="6DC922B8" w:rsidR="00295D3E" w:rsidRPr="00910DE6" w:rsidRDefault="00295D3E" w:rsidP="00DE74CE">
      <w:pPr>
        <w:jc w:val="both"/>
      </w:pPr>
      <w:r>
        <w:t>In simple terms, the heating value of a fuel is the total amount of heat energy that can be released by complete, idealised combustion with air (at STP conditions). Heating values are commonly grouped into either “Lower Heating Values”</w:t>
      </w:r>
      <w:r w:rsidR="00910DE6">
        <w:t xml:space="preserve"> (LHV)</w:t>
      </w:r>
      <w:r>
        <w:t xml:space="preserve"> (also known as “Enthalpy of Combustion”) or “Higher Heating Values”</w:t>
      </w:r>
      <w:r w:rsidR="00910DE6">
        <w:t xml:space="preserve"> (HHV). The distinction between these values is due to the nature of the state in which the H</w:t>
      </w:r>
      <w:r w:rsidR="00910DE6">
        <w:rPr>
          <w:vertAlign w:val="subscript"/>
        </w:rPr>
        <w:t>2</w:t>
      </w:r>
      <w:r w:rsidR="00910DE6">
        <w:t>O in the combusted products of the reaction lies; if H</w:t>
      </w:r>
      <w:r w:rsidR="00910DE6">
        <w:rPr>
          <w:vertAlign w:val="subscript"/>
        </w:rPr>
        <w:t>2</w:t>
      </w:r>
      <w:r w:rsidR="00910DE6">
        <w:t>O exists in its gaseous form in the products then the value is considered to be LHV and if the H</w:t>
      </w:r>
      <w:r w:rsidR="00910DE6">
        <w:rPr>
          <w:vertAlign w:val="subscript"/>
        </w:rPr>
        <w:t>2</w:t>
      </w:r>
      <w:r w:rsidR="00910DE6">
        <w:t xml:space="preserve">O exists in its liquid form the value is considered to be the HHV, this is due to the additional energy found in </w:t>
      </w:r>
      <w:r w:rsidR="008B240B">
        <w:t xml:space="preserve">the substance when it is in a liquid state, this additional energy is equivalent to the “latent heat of vaporization” which is a substances energy requirement to change state from liquid to vapor (or substances gas phase below its critical temperature). </w:t>
      </w:r>
    </w:p>
    <w:p w14:paraId="6FD0ADAF" w14:textId="15B7882F" w:rsidR="00BB683A" w:rsidRDefault="0018729B" w:rsidP="00DE74CE">
      <w:pPr>
        <w:pStyle w:val="Heading2"/>
        <w:jc w:val="both"/>
        <w:rPr>
          <w:rFonts w:eastAsiaTheme="minorEastAsia"/>
        </w:rPr>
      </w:pPr>
      <w:bookmarkStart w:id="21" w:name="_Toc29171464"/>
      <w:r>
        <w:rPr>
          <w:rFonts w:eastAsiaTheme="minorEastAsia"/>
        </w:rPr>
        <w:t>CO</w:t>
      </w:r>
      <w:r>
        <w:rPr>
          <w:rFonts w:eastAsiaTheme="minorEastAsia"/>
          <w:vertAlign w:val="subscript"/>
        </w:rPr>
        <w:t>2</w:t>
      </w:r>
      <w:r>
        <w:rPr>
          <w:rFonts w:eastAsiaTheme="minorEastAsia"/>
        </w:rPr>
        <w:t xml:space="preserve"> Production per Kilogram of Combusted Products</w:t>
      </w:r>
      <w:bookmarkEnd w:id="21"/>
    </w:p>
    <w:p w14:paraId="3CF023C7" w14:textId="418CF6E9" w:rsidR="00C3111C" w:rsidRPr="00C3111C" w:rsidRDefault="00C3111C" w:rsidP="00DE74CE">
      <w:pPr>
        <w:jc w:val="both"/>
      </w:pPr>
      <w:r>
        <w:t>At stoichiometric, complete, combustion conditions</w:t>
      </w:r>
      <w:r w:rsidR="00962CED">
        <w:t xml:space="preserve"> the amount of CO</w:t>
      </w:r>
      <w:r w:rsidR="00962CED">
        <w:rPr>
          <w:vertAlign w:val="subscript"/>
        </w:rPr>
        <w:t>2</w:t>
      </w:r>
      <w:r w:rsidR="00962CED">
        <w:t xml:space="preserve"> produce can be estimated using the method below </w:t>
      </w:r>
      <w:r>
        <w:t xml:space="preserve"> </w:t>
      </w:r>
    </w:p>
    <w:p w14:paraId="67789191" w14:textId="34511E0B" w:rsidR="0018729B" w:rsidRPr="004C6C05" w:rsidRDefault="0018729B" w:rsidP="00DE74CE">
      <w:pPr>
        <w:jc w:val="both"/>
        <w:rPr>
          <w:rFonts w:eastAsiaTheme="minorEastAsia" w:cstheme="majorBidi"/>
        </w:rPr>
      </w:pPr>
      <m:oMathPara>
        <m:oMath>
          <m:r>
            <w:rPr>
              <w:rFonts w:ascii="Cambria Math" w:hAnsi="Cambria Math"/>
            </w:rPr>
            <m:t>1 kmol of fuel→4.5kmol of 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m:t>
          </m:r>
        </m:oMath>
      </m:oMathPara>
    </w:p>
    <w:p w14:paraId="687E8C1A" w14:textId="07C91B08" w:rsidR="004C6C05" w:rsidRPr="0018729B" w:rsidRDefault="004C6C05" w:rsidP="00DE74CE">
      <w:pPr>
        <w:jc w:val="both"/>
        <w:rPr>
          <w:rFonts w:eastAsiaTheme="minorEastAsia" w:cstheme="majorBidi"/>
        </w:rPr>
      </w:pPr>
      <m:oMathPara>
        <m:oMath>
          <m:r>
            <w:rPr>
              <w:rFonts w:ascii="Cambria Math" w:eastAsiaTheme="minorEastAsia" w:hAnsi="Cambria Math" w:cstheme="majorBidi"/>
            </w:rPr>
            <m:t>≡6×1</m:t>
          </m:r>
          <m:sSup>
            <m:sSupPr>
              <m:ctrlPr>
                <w:rPr>
                  <w:rFonts w:ascii="Cambria Math" w:eastAsiaTheme="minorEastAsia" w:hAnsi="Cambria Math" w:cstheme="majorBidi"/>
                  <w:i/>
                </w:rPr>
              </m:ctrlPr>
            </m:sSupPr>
            <m:e>
              <m:r>
                <w:rPr>
                  <w:rFonts w:ascii="Cambria Math" w:eastAsiaTheme="minorEastAsia" w:hAnsi="Cambria Math" w:cstheme="majorBidi"/>
                </w:rPr>
                <m:t>0</m:t>
              </m:r>
            </m:e>
            <m:sup>
              <m:r>
                <w:rPr>
                  <w:rFonts w:ascii="Cambria Math" w:eastAsiaTheme="minorEastAsia" w:hAnsi="Cambria Math" w:cstheme="majorBidi"/>
                </w:rPr>
                <m:t>26</m:t>
              </m:r>
            </m:sup>
          </m:sSup>
          <m:r>
            <w:rPr>
              <w:rFonts w:ascii="Cambria Math" w:eastAsiaTheme="minorEastAsia" w:hAnsi="Cambria Math" w:cstheme="majorBidi"/>
            </w:rPr>
            <m:t>→4.5(6×1</m:t>
          </m:r>
          <m:sSup>
            <m:sSupPr>
              <m:ctrlPr>
                <w:rPr>
                  <w:rFonts w:ascii="Cambria Math" w:eastAsiaTheme="minorEastAsia" w:hAnsi="Cambria Math" w:cstheme="majorBidi"/>
                  <w:i/>
                </w:rPr>
              </m:ctrlPr>
            </m:sSupPr>
            <m:e>
              <m:r>
                <w:rPr>
                  <w:rFonts w:ascii="Cambria Math" w:eastAsiaTheme="minorEastAsia" w:hAnsi="Cambria Math" w:cstheme="majorBidi"/>
                </w:rPr>
                <m:t>0</m:t>
              </m:r>
            </m:e>
            <m:sup>
              <m:r>
                <w:rPr>
                  <w:rFonts w:ascii="Cambria Math" w:eastAsiaTheme="minorEastAsia" w:hAnsi="Cambria Math" w:cstheme="majorBidi"/>
                </w:rPr>
                <m:t>26</m:t>
              </m:r>
            </m:sup>
          </m:sSup>
          <m:r>
            <w:rPr>
              <w:rFonts w:ascii="Cambria Math" w:eastAsiaTheme="minorEastAsia" w:hAnsi="Cambria Math" w:cstheme="majorBidi"/>
            </w:rPr>
            <m:t>)</m:t>
          </m:r>
        </m:oMath>
      </m:oMathPara>
    </w:p>
    <w:p w14:paraId="6D9E2021" w14:textId="2574B174" w:rsidR="0018729B" w:rsidRPr="00384C0C" w:rsidRDefault="00962CED" w:rsidP="00DE74CE">
      <w:pPr>
        <w:jc w:val="both"/>
        <w:rPr>
          <w:rFonts w:eastAsiaTheme="minorEastAsia" w:cstheme="majorBidi"/>
        </w:rPr>
      </w:pPr>
      <m:oMathPara>
        <m:oMath>
          <m:r>
            <w:rPr>
              <w:rFonts w:ascii="Cambria Math" w:eastAsiaTheme="minorEastAsia" w:hAnsi="Cambria Math" w:cstheme="majorBidi"/>
            </w:rPr>
            <m:t>4.5</m:t>
          </m:r>
          <m:d>
            <m:dPr>
              <m:ctrlPr>
                <w:rPr>
                  <w:rFonts w:ascii="Cambria Math" w:eastAsiaTheme="minorEastAsia" w:hAnsi="Cambria Math" w:cstheme="majorBidi"/>
                  <w:i/>
                </w:rPr>
              </m:ctrlPr>
            </m:dPr>
            <m:e>
              <m:r>
                <w:rPr>
                  <w:rFonts w:ascii="Cambria Math" w:eastAsiaTheme="minorEastAsia" w:hAnsi="Cambria Math" w:cstheme="majorBidi"/>
                </w:rPr>
                <m:t>12.011+31.998</m:t>
              </m:r>
            </m:e>
          </m:d>
          <m:r>
            <w:rPr>
              <w:rFonts w:ascii="Cambria Math" w:eastAsiaTheme="minorEastAsia" w:hAnsi="Cambria Math" w:cstheme="majorBidi"/>
            </w:rPr>
            <m:t>=198.0405</m:t>
          </m:r>
          <m:f>
            <m:fPr>
              <m:ctrlPr>
                <w:rPr>
                  <w:rFonts w:ascii="Cambria Math" w:eastAsiaTheme="minorEastAsia" w:hAnsi="Cambria Math" w:cstheme="majorBidi"/>
                  <w:i/>
                </w:rPr>
              </m:ctrlPr>
            </m:fPr>
            <m:num>
              <m:r>
                <w:rPr>
                  <w:rFonts w:ascii="Cambria Math" w:eastAsiaTheme="minorEastAsia" w:hAnsi="Cambria Math" w:cstheme="majorBidi"/>
                </w:rPr>
                <m:t>kg</m:t>
              </m:r>
            </m:num>
            <m:den>
              <m:r>
                <w:rPr>
                  <w:rFonts w:ascii="Cambria Math" w:eastAsiaTheme="minorEastAsia" w:hAnsi="Cambria Math" w:cstheme="majorBidi"/>
                </w:rPr>
                <m:t>kmol</m:t>
              </m:r>
            </m:den>
          </m:f>
        </m:oMath>
      </m:oMathPara>
    </w:p>
    <w:p w14:paraId="716DED17" w14:textId="7F74F023" w:rsidR="00384C0C" w:rsidRPr="00384C0C" w:rsidRDefault="00D650D8" w:rsidP="00DE74CE">
      <w:pPr>
        <w:jc w:val="both"/>
        <w:rPr>
          <w:rFonts w:eastAsiaTheme="minorEastAsia" w:cstheme="majorBidi"/>
        </w:rPr>
      </w:pPr>
      <m:oMathPara>
        <m:oMath>
          <m:f>
            <m:fPr>
              <m:ctrlPr>
                <w:rPr>
                  <w:rFonts w:ascii="Cambria Math" w:eastAsiaTheme="minorEastAsia" w:hAnsi="Cambria Math" w:cstheme="majorBidi"/>
                  <w:i/>
                </w:rPr>
              </m:ctrlPr>
            </m:fPr>
            <m:num>
              <m:r>
                <w:rPr>
                  <w:rFonts w:ascii="Cambria Math" w:eastAsiaTheme="minorEastAsia" w:hAnsi="Cambria Math" w:cstheme="majorBidi"/>
                </w:rPr>
                <m:t>198.0405</m:t>
              </m:r>
            </m:num>
            <m:den>
              <m:r>
                <w:rPr>
                  <w:rFonts w:ascii="Cambria Math" w:eastAsiaTheme="minorEastAsia" w:hAnsi="Cambria Math" w:cstheme="majorBidi"/>
                </w:rPr>
                <m:t>73.115</m:t>
              </m:r>
            </m:den>
          </m:f>
          <m:r>
            <w:rPr>
              <w:rFonts w:ascii="Cambria Math" w:eastAsiaTheme="minorEastAsia" w:hAnsi="Cambria Math" w:cstheme="majorBidi"/>
            </w:rPr>
            <m:t>=2.709kg of C</m:t>
          </m:r>
          <m:sSub>
            <m:sSubPr>
              <m:ctrlPr>
                <w:rPr>
                  <w:rFonts w:ascii="Cambria Math" w:eastAsiaTheme="minorEastAsia" w:hAnsi="Cambria Math" w:cstheme="majorBidi"/>
                  <w:i/>
                </w:rPr>
              </m:ctrlPr>
            </m:sSubPr>
            <m:e>
              <m:r>
                <w:rPr>
                  <w:rFonts w:ascii="Cambria Math" w:eastAsiaTheme="minorEastAsia" w:hAnsi="Cambria Math" w:cstheme="majorBidi"/>
                </w:rPr>
                <m:t>O</m:t>
              </m:r>
            </m:e>
            <m:sub>
              <m:r>
                <w:rPr>
                  <w:rFonts w:ascii="Cambria Math" w:eastAsiaTheme="minorEastAsia" w:hAnsi="Cambria Math" w:cstheme="majorBidi"/>
                </w:rPr>
                <m:t>2</m:t>
              </m:r>
            </m:sub>
          </m:sSub>
          <m:r>
            <w:rPr>
              <w:rFonts w:ascii="Cambria Math" w:eastAsiaTheme="minorEastAsia" w:hAnsi="Cambria Math" w:cstheme="majorBidi"/>
            </w:rPr>
            <m:t xml:space="preserve"> per kg fuel burned</m:t>
          </m:r>
        </m:oMath>
      </m:oMathPara>
    </w:p>
    <w:p w14:paraId="289A4B07" w14:textId="7B66D8D8" w:rsidR="00384C0C" w:rsidRDefault="00AC32ED" w:rsidP="00DE74CE">
      <w:pPr>
        <w:pStyle w:val="Heading2"/>
        <w:jc w:val="both"/>
        <w:rPr>
          <w:rFonts w:eastAsiaTheme="minorEastAsia"/>
        </w:rPr>
      </w:pPr>
      <w:bookmarkStart w:id="22" w:name="_Toc29171465"/>
      <w:r>
        <w:rPr>
          <w:rFonts w:eastAsiaTheme="minorEastAsia"/>
        </w:rPr>
        <w:t>An Ideal Fuel</w:t>
      </w:r>
      <w:bookmarkEnd w:id="22"/>
    </w:p>
    <w:p w14:paraId="6D5E1DE6" w14:textId="4DF073E4" w:rsidR="007A50BC" w:rsidRPr="0036404E" w:rsidRDefault="00D17E41" w:rsidP="00DE74CE">
      <w:pPr>
        <w:jc w:val="both"/>
        <w:rPr>
          <w:rFonts w:eastAsiaTheme="minorEastAsia" w:cstheme="majorBidi"/>
        </w:rPr>
      </w:pPr>
      <w:r>
        <w:t xml:space="preserve">An Ideal fuel </w:t>
      </w:r>
      <w:r w:rsidR="0015064E">
        <w:t>will possess a set of characteristics allowing for; the fastest possible (within parameters determined by the application), most complete, cleanest, least harmful combustion</w:t>
      </w:r>
      <w:r w:rsidR="007D4ABE">
        <w:t xml:space="preserve"> (to both the environment and the general public/operator)</w:t>
      </w:r>
      <w:r w:rsidR="0015064E">
        <w:t xml:space="preserve"> whilst being readily available, easily stored simple to synthesise/produce</w:t>
      </w:r>
      <w:r w:rsidR="007B3CB6">
        <w:t xml:space="preserve">. To produce these characteristics the fuel should have the highest possible calorific value </w:t>
      </w:r>
      <w:r w:rsidR="00730E25">
        <w:t>per kilogram to give the greatest possible power density per unit volume. The fuel should also have the lowest possible ignition temperature (within reason in relation to the application and not below ambient conditions of storage or transport ideally) whilst providing the greatest possible work energy from combustion, the lower the combustion temperature the less NO</w:t>
      </w:r>
      <w:r w:rsidR="00730E25">
        <w:rPr>
          <w:vertAlign w:val="subscript"/>
        </w:rPr>
        <w:t>x</w:t>
      </w:r>
      <w:r w:rsidR="00730E25">
        <w:t xml:space="preserve"> production will be seen</w:t>
      </w:r>
      <w:r w:rsidR="00730E25">
        <w:rPr>
          <w:rStyle w:val="FootnoteReference"/>
        </w:rPr>
        <w:footnoteReference w:id="3"/>
      </w:r>
      <w:r w:rsidR="00730E25">
        <w:t>.</w:t>
      </w:r>
      <w:r w:rsidR="007B3CB6">
        <w:t xml:space="preserve"> </w:t>
      </w:r>
      <w:r w:rsidR="007A50BC">
        <w:br w:type="page"/>
      </w:r>
    </w:p>
    <w:p w14:paraId="4EADFE22" w14:textId="4383D9CB" w:rsidR="007A50BC" w:rsidRDefault="0036404E" w:rsidP="00DE74CE">
      <w:pPr>
        <w:pStyle w:val="Heading1"/>
        <w:jc w:val="both"/>
      </w:pPr>
      <w:bookmarkStart w:id="23" w:name="_Toc29171466"/>
      <w:r>
        <w:lastRenderedPageBreak/>
        <w:t>Task 2</w:t>
      </w:r>
      <w:r w:rsidRPr="0036404E">
        <w:t>: NOx Production Modelling using the Simple Zeldovich Model</w:t>
      </w:r>
      <w:bookmarkEnd w:id="23"/>
    </w:p>
    <w:p w14:paraId="4348051E" w14:textId="3D92F655" w:rsidR="001E7D90" w:rsidRDefault="001E7D90" w:rsidP="00DE74CE">
      <w:pPr>
        <w:pStyle w:val="Heading2"/>
        <w:jc w:val="both"/>
      </w:pPr>
      <w:bookmarkStart w:id="24" w:name="_Ref29125776"/>
      <w:bookmarkStart w:id="25" w:name="_Toc29171467"/>
      <w:r>
        <w:t>NO</w:t>
      </w:r>
      <w:r>
        <w:rPr>
          <w:vertAlign w:val="subscript"/>
        </w:rPr>
        <w:t xml:space="preserve">x </w:t>
      </w:r>
      <w:r>
        <w:t>Production</w:t>
      </w:r>
      <w:r w:rsidR="00822DE6">
        <w:t xml:space="preserve"> in</w:t>
      </w:r>
      <w:r>
        <w:t xml:space="preserve"> “Leaner” than Stoichiometric conditions</w:t>
      </w:r>
      <w:bookmarkEnd w:id="24"/>
      <w:bookmarkEnd w:id="25"/>
    </w:p>
    <w:p w14:paraId="58D162AA" w14:textId="7BE71466" w:rsidR="00D1574E" w:rsidRDefault="00DE74CE" w:rsidP="00D62ED7">
      <w:pPr>
        <w:spacing w:after="0"/>
        <w:jc w:val="both"/>
      </w:pPr>
      <w:r>
        <w:rPr>
          <w:noProof/>
        </w:rPr>
        <mc:AlternateContent>
          <mc:Choice Requires="wps">
            <w:drawing>
              <wp:anchor distT="0" distB="0" distL="114300" distR="114300" simplePos="0" relativeHeight="251662336" behindDoc="0" locked="0" layoutInCell="1" allowOverlap="1" wp14:anchorId="266591F4" wp14:editId="3D08640A">
                <wp:simplePos x="0" y="0"/>
                <wp:positionH relativeFrom="margin">
                  <wp:posOffset>2257425</wp:posOffset>
                </wp:positionH>
                <wp:positionV relativeFrom="paragraph">
                  <wp:posOffset>5080</wp:posOffset>
                </wp:positionV>
                <wp:extent cx="4130040" cy="1819275"/>
                <wp:effectExtent l="0" t="0" r="22860" b="28575"/>
                <wp:wrapSquare wrapText="bothSides"/>
                <wp:docPr id="2" name="Text Box 2"/>
                <wp:cNvGraphicFramePr/>
                <a:graphic xmlns:a="http://schemas.openxmlformats.org/drawingml/2006/main">
                  <a:graphicData uri="http://schemas.microsoft.com/office/word/2010/wordprocessingShape">
                    <wps:wsp>
                      <wps:cNvSpPr txBox="1"/>
                      <wps:spPr>
                        <a:xfrm>
                          <a:off x="0" y="0"/>
                          <a:ext cx="4130040" cy="1819275"/>
                        </a:xfrm>
                        <a:prstGeom prst="round2DiagRect">
                          <a:avLst>
                            <a:gd name="adj1" fmla="val 23919"/>
                            <a:gd name="adj2" fmla="val 0"/>
                          </a:avLst>
                        </a:prstGeom>
                        <a:solidFill>
                          <a:schemeClr val="lt1"/>
                        </a:solidFill>
                        <a:ln w="6350">
                          <a:solidFill>
                            <a:prstClr val="black"/>
                          </a:solidFill>
                        </a:ln>
                      </wps:spPr>
                      <wps:txbx>
                        <w:txbxContent>
                          <w:p w14:paraId="5AD8E6F1" w14:textId="77777777" w:rsidR="00F67BB4" w:rsidRPr="00B3613F" w:rsidRDefault="00F67BB4" w:rsidP="00DE74CE">
                            <w:pPr>
                              <w:pStyle w:val="Heading3"/>
                              <w:numPr>
                                <w:ilvl w:val="0"/>
                                <w:numId w:val="0"/>
                              </w:numPr>
                              <w:ind w:left="720" w:hanging="720"/>
                              <w:rPr>
                                <w:sz w:val="20"/>
                                <w:szCs w:val="20"/>
                              </w:rPr>
                            </w:pPr>
                            <w:bookmarkStart w:id="26" w:name="_Toc29171468"/>
                            <w:r w:rsidRPr="00B3613F">
                              <w:rPr>
                                <w:sz w:val="20"/>
                                <w:szCs w:val="20"/>
                              </w:rPr>
                              <w:t>A Brief Explanation of Hess’ Law</w:t>
                            </w:r>
                            <w:bookmarkEnd w:id="26"/>
                          </w:p>
                          <w:p w14:paraId="542DD685" w14:textId="69023733" w:rsidR="00F67BB4" w:rsidRPr="00B3613F" w:rsidRDefault="00F67BB4" w:rsidP="00DE74CE">
                            <w:pPr>
                              <w:rPr>
                                <w:sz w:val="16"/>
                                <w:szCs w:val="18"/>
                              </w:rPr>
                            </w:pPr>
                            <w:r w:rsidRPr="00B3613F">
                              <w:rPr>
                                <w:sz w:val="16"/>
                                <w:szCs w:val="18"/>
                              </w:rPr>
                              <w:t>In a nutshell, Hess’ law states that during a reaction, no matter the number or complexity of stages of reaction, the total enthalpy change of the reaction as a whole must be equal to the sum of the individual enthalpy changes seen during each of the stages of the reaction. Therefore, if we know the enthalpy change seen at each stage of the reaction, we can surmise the overall enthalpy change of the reaction in its entirety. This relationship is used throughout many NO</w:t>
                            </w:r>
                            <w:r w:rsidRPr="00B3613F">
                              <w:rPr>
                                <w:sz w:val="16"/>
                                <w:szCs w:val="18"/>
                                <w:vertAlign w:val="subscript"/>
                              </w:rPr>
                              <w:t>x</w:t>
                            </w:r>
                            <w:r w:rsidRPr="00B3613F">
                              <w:rPr>
                                <w:sz w:val="16"/>
                                <w:szCs w:val="18"/>
                              </w:rPr>
                              <w:t xml:space="preserve"> modelling techniques.</w:t>
                            </w:r>
                          </w:p>
                          <w:p w14:paraId="7D5013A7" w14:textId="77777777" w:rsidR="00F67BB4" w:rsidRDefault="00F67B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591F4" id="Text Box 2" o:spid="_x0000_s1028" style="position:absolute;left:0;text-align:left;margin-left:177.75pt;margin-top:.4pt;width:325.2pt;height:14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130040,1819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" adj="-11796480,,5400" path="m435152,l4130040,r,l4130040,1384123v,240328,-194824,435152,-435152,435152l,1819275r,l,435152c,194824,194824,,435152,xe" fillcolor="white [3201]" strokeweight=".5pt">
                <v:stroke joinstyle="miter"/>
                <v:formulas/>
                <v:path arrowok="t" o:connecttype="custom" o:connectlocs="435152,0;4130040,0;4130040,0;4130040,1384123;3694888,1819275;0,1819275;0,1819275;0,435152;435152,0" o:connectangles="0,0,0,0,0,0,0,0,0" textboxrect="0,0,4130040,1819275"/>
                <v:textbox>
                  <w:txbxContent>
                    <w:p w14:paraId="5AD8E6F1" w14:textId="77777777" w:rsidR="00F67BB4" w:rsidRPr="00B3613F" w:rsidRDefault="00F67BB4" w:rsidP="00DE74CE">
                      <w:pPr>
                        <w:pStyle w:val="Heading3"/>
                        <w:numPr>
                          <w:ilvl w:val="0"/>
                          <w:numId w:val="0"/>
                        </w:numPr>
                        <w:ind w:left="720" w:hanging="720"/>
                        <w:rPr>
                          <w:sz w:val="20"/>
                          <w:szCs w:val="20"/>
                        </w:rPr>
                      </w:pPr>
                      <w:bookmarkStart w:id="27" w:name="_Toc29171468"/>
                      <w:r w:rsidRPr="00B3613F">
                        <w:rPr>
                          <w:sz w:val="20"/>
                          <w:szCs w:val="20"/>
                        </w:rPr>
                        <w:t>A Brief Explanation of Hess’ Law</w:t>
                      </w:r>
                      <w:bookmarkEnd w:id="27"/>
                    </w:p>
                    <w:p w14:paraId="542DD685" w14:textId="69023733" w:rsidR="00F67BB4" w:rsidRPr="00B3613F" w:rsidRDefault="00F67BB4" w:rsidP="00DE74CE">
                      <w:pPr>
                        <w:rPr>
                          <w:sz w:val="16"/>
                          <w:szCs w:val="18"/>
                        </w:rPr>
                      </w:pPr>
                      <w:r w:rsidRPr="00B3613F">
                        <w:rPr>
                          <w:sz w:val="16"/>
                          <w:szCs w:val="18"/>
                        </w:rPr>
                        <w:t>In a nutshell, Hess’ law states that during a reaction, no matter the number or complexity of stages of reaction, the total enthalpy change of the reaction as a whole must be equal to the sum of the individual enthalpy changes seen during each of the stages of the reaction. Therefore, if we know the enthalpy change seen at each stage of the reaction, we can surmise the overall enthalpy change of the reaction in its entirety. This relationship is used throughout many NO</w:t>
                      </w:r>
                      <w:r w:rsidRPr="00B3613F">
                        <w:rPr>
                          <w:sz w:val="16"/>
                          <w:szCs w:val="18"/>
                          <w:vertAlign w:val="subscript"/>
                        </w:rPr>
                        <w:t>x</w:t>
                      </w:r>
                      <w:r w:rsidRPr="00B3613F">
                        <w:rPr>
                          <w:sz w:val="16"/>
                          <w:szCs w:val="18"/>
                        </w:rPr>
                        <w:t xml:space="preserve"> modelling techniques.</w:t>
                      </w:r>
                    </w:p>
                    <w:p w14:paraId="7D5013A7" w14:textId="77777777" w:rsidR="00F67BB4" w:rsidRDefault="00F67BB4"/>
                  </w:txbxContent>
                </v:textbox>
                <w10:wrap type="square" anchorx="margin"/>
              </v:shape>
            </w:pict>
          </mc:Fallback>
        </mc:AlternateContent>
      </w:r>
      <w:r w:rsidR="00891DA0">
        <w:t xml:space="preserve">  </w:t>
      </w:r>
      <w:r w:rsidR="00D1574E">
        <w:t>When air is subjected to the temperatures seen in the combustion chamber</w:t>
      </w:r>
      <w:r w:rsidR="00822DE6">
        <w:t xml:space="preserve"> (generally considered to be greater than 1600</w:t>
      </w:r>
      <w:r w:rsidR="00822DE6">
        <w:rPr>
          <w:rFonts w:ascii="Calibri" w:hAnsi="Calibri" w:cs="Calibri"/>
        </w:rPr>
        <w:t>°</w:t>
      </w:r>
      <w:r w:rsidR="00822DE6">
        <w:t>C)</w:t>
      </w:r>
      <w:r w:rsidR="00D1574E">
        <w:t xml:space="preserve"> during ignition it will, due to the nature of chemical</w:t>
      </w:r>
      <w:r w:rsidR="00822DE6">
        <w:t xml:space="preserve"> disassociation of diatomic molecules</w:t>
      </w:r>
      <w:r w:rsidR="00D1574E">
        <w:t>, begin to form its own reaction products without the need for external input species. This phenomenon can be observed when a fuel is burned in a “lean”</w:t>
      </w:r>
      <w:r w:rsidR="00D1574E">
        <w:rPr>
          <w:rStyle w:val="FootnoteReference"/>
        </w:rPr>
        <w:footnoteReference w:id="4"/>
      </w:r>
      <w:r w:rsidR="00D1574E">
        <w:t xml:space="preserve"> condition producing a group of products we group together called NO</w:t>
      </w:r>
      <w:r w:rsidR="00D1574E">
        <w:rPr>
          <w:vertAlign w:val="subscript"/>
        </w:rPr>
        <w:t>x</w:t>
      </w:r>
      <w:r w:rsidR="00D1574E">
        <w:t>. NO</w:t>
      </w:r>
      <w:r w:rsidR="00D1574E">
        <w:rPr>
          <w:vertAlign w:val="subscript"/>
        </w:rPr>
        <w:t>x</w:t>
      </w:r>
      <w:r w:rsidR="00D1574E">
        <w:t xml:space="preserve"> simply indicates a family of products</w:t>
      </w:r>
      <w:r w:rsidR="00822DE6">
        <w:t xml:space="preserve"> (Nitrogen Oxides)</w:t>
      </w:r>
      <w:r w:rsidR="00D1574E">
        <w:t xml:space="preserve"> that are the combination of Nitrogen (N) and a number of “Oxygens” (O</w:t>
      </w:r>
      <w:r w:rsidR="00D1574E">
        <w:rPr>
          <w:vertAlign w:val="subscript"/>
        </w:rPr>
        <w:t>x</w:t>
      </w:r>
      <w:r w:rsidR="00D1574E">
        <w:t>) such as NO, NO</w:t>
      </w:r>
      <w:r w:rsidR="00D1574E">
        <w:rPr>
          <w:vertAlign w:val="subscript"/>
        </w:rPr>
        <w:t>2</w:t>
      </w:r>
      <w:r w:rsidR="00D1574E">
        <w:t>, NO</w:t>
      </w:r>
      <w:r w:rsidR="00D1574E">
        <w:rPr>
          <w:vertAlign w:val="subscript"/>
        </w:rPr>
        <w:t>3</w:t>
      </w:r>
      <w:r w:rsidR="00D1574E">
        <w:t>…etc.</w:t>
      </w:r>
      <w:r w:rsidR="00822DE6">
        <w:t xml:space="preserve"> Th</w:t>
      </w:r>
      <w:r w:rsidR="00996F84">
        <w:t>e work shown here only demonstrates the most basic</w:t>
      </w:r>
      <w:r w:rsidR="00822DE6">
        <w:t xml:space="preserve"> form of NO</w:t>
      </w:r>
      <w:r w:rsidR="00822DE6">
        <w:rPr>
          <w:vertAlign w:val="subscript"/>
        </w:rPr>
        <w:t>x</w:t>
      </w:r>
      <w:r w:rsidR="00822DE6">
        <w:t xml:space="preserve"> production and (when using the Simple Zeldovich Model) only considers two reactions:</w:t>
      </w:r>
    </w:p>
    <w:p w14:paraId="4335BFEA" w14:textId="7FB9E5DE" w:rsidR="00822DE6" w:rsidRPr="00996F84" w:rsidRDefault="00822DE6" w:rsidP="00DE74CE">
      <w:pPr>
        <w:jc w:val="both"/>
        <w:rPr>
          <w:rFonts w:eastAsiaTheme="minorEastAsia"/>
        </w:rPr>
      </w:pPr>
      <m:oMathPara>
        <m:oMath>
          <m:r>
            <w:rPr>
              <w:rFonts w:ascii="Cambria Math" w:hAnsi="Cambria Math"/>
            </w:rPr>
            <m:t xml:space="preserve">O+ </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=NO+N             and            N+</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=NO+O</m:t>
          </m:r>
        </m:oMath>
      </m:oMathPara>
    </w:p>
    <w:p w14:paraId="19B47840" w14:textId="511547EE" w:rsidR="00996F84" w:rsidRDefault="000679F9" w:rsidP="00DE74CE">
      <w:pPr>
        <w:jc w:val="both"/>
        <w:rPr>
          <w:rFonts w:eastAsiaTheme="minorEastAsia"/>
        </w:rPr>
      </w:pPr>
      <w:r>
        <w:rPr>
          <w:rFonts w:eastAsiaTheme="minorEastAsia"/>
        </w:rPr>
        <w:t>Obviously,</w:t>
      </w:r>
      <w:r w:rsidR="00996F84">
        <w:rPr>
          <w:rFonts w:eastAsiaTheme="minorEastAsia"/>
        </w:rPr>
        <w:t xml:space="preserve"> there is a multiplicity of</w:t>
      </w:r>
      <w:r w:rsidR="00D650D8">
        <w:rPr>
          <w:rFonts w:eastAsiaTheme="minorEastAsia"/>
        </w:rPr>
        <w:t xml:space="preserve"> secondary (secondary with regards to the conversion of C</w:t>
      </w:r>
      <w:r w:rsidR="00D650D8">
        <w:rPr>
          <w:rFonts w:eastAsiaTheme="minorEastAsia"/>
          <w:vertAlign w:val="subscript"/>
        </w:rPr>
        <w:t>x</w:t>
      </w:r>
      <w:r w:rsidR="00D650D8">
        <w:rPr>
          <w:rFonts w:eastAsiaTheme="minorEastAsia"/>
        </w:rPr>
        <w:t>H</w:t>
      </w:r>
      <w:r w:rsidR="00D650D8">
        <w:rPr>
          <w:rFonts w:eastAsiaTheme="minorEastAsia"/>
          <w:vertAlign w:val="subscript"/>
        </w:rPr>
        <w:t>x</w:t>
      </w:r>
      <w:r w:rsidR="00D650D8">
        <w:rPr>
          <w:rFonts w:eastAsiaTheme="minorEastAsia"/>
        </w:rPr>
        <w:t xml:space="preserve"> translation to CO</w:t>
      </w:r>
      <w:r w:rsidR="00D650D8">
        <w:rPr>
          <w:rFonts w:eastAsiaTheme="minorEastAsia"/>
          <w:vertAlign w:val="subscript"/>
        </w:rPr>
        <w:t>2</w:t>
      </w:r>
      <w:r w:rsidR="00D650D8">
        <w:rPr>
          <w:rFonts w:eastAsiaTheme="minorEastAsia"/>
        </w:rPr>
        <w:t xml:space="preserve"> and H</w:t>
      </w:r>
      <w:r w:rsidR="00D650D8">
        <w:rPr>
          <w:rFonts w:eastAsiaTheme="minorEastAsia"/>
          <w:vertAlign w:val="subscript"/>
        </w:rPr>
        <w:t>2</w:t>
      </w:r>
      <w:r w:rsidR="00D650D8">
        <w:rPr>
          <w:rFonts w:eastAsiaTheme="minorEastAsia"/>
        </w:rPr>
        <w:t>O)</w:t>
      </w:r>
      <w:r w:rsidR="00996F84">
        <w:rPr>
          <w:rFonts w:eastAsiaTheme="minorEastAsia"/>
        </w:rPr>
        <w:t xml:space="preserve"> reactions that can take place due </w:t>
      </w:r>
      <w:r w:rsidR="00D650D8">
        <w:rPr>
          <w:rFonts w:eastAsiaTheme="minorEastAsia"/>
        </w:rPr>
        <w:t>during combustion</w:t>
      </w:r>
      <w:r w:rsidR="00996F84">
        <w:rPr>
          <w:rFonts w:eastAsiaTheme="minorEastAsia"/>
        </w:rPr>
        <w:t xml:space="preserve"> not just solely between N</w:t>
      </w:r>
      <w:r w:rsidR="00996F84">
        <w:rPr>
          <w:rFonts w:eastAsiaTheme="minorEastAsia"/>
          <w:vertAlign w:val="subscript"/>
        </w:rPr>
        <w:t xml:space="preserve">2 </w:t>
      </w:r>
      <w:r w:rsidR="00996F84">
        <w:rPr>
          <w:rFonts w:eastAsiaTheme="minorEastAsia"/>
        </w:rPr>
        <w:t>and O</w:t>
      </w:r>
      <w:r w:rsidR="00996F84">
        <w:rPr>
          <w:rFonts w:eastAsiaTheme="minorEastAsia"/>
          <w:vertAlign w:val="subscript"/>
        </w:rPr>
        <w:t>2</w:t>
      </w:r>
      <w:r w:rsidR="00FC2140">
        <w:rPr>
          <w:rFonts w:eastAsiaTheme="minorEastAsia"/>
        </w:rPr>
        <w:t xml:space="preserve"> in the methods shown above.</w:t>
      </w:r>
      <w:r w:rsidR="00996F84">
        <w:rPr>
          <w:rFonts w:eastAsiaTheme="minorEastAsia"/>
        </w:rPr>
        <w:t xml:space="preserve"> Beyond the work shown here</w:t>
      </w:r>
      <w:r w:rsidR="00FC2140">
        <w:rPr>
          <w:rFonts w:eastAsiaTheme="minorEastAsia"/>
        </w:rPr>
        <w:t xml:space="preserve"> (also in the attached Excel</w:t>
      </w:r>
      <w:r w:rsidR="00996F84">
        <w:rPr>
          <w:rFonts w:eastAsiaTheme="minorEastAsia"/>
        </w:rPr>
        <w:t xml:space="preserve"> lies the “Extended Zeldovich Model” incorporating the reaction of Hydroxides, </w:t>
      </w:r>
      <w:r>
        <w:rPr>
          <w:rFonts w:eastAsiaTheme="minorEastAsia"/>
        </w:rPr>
        <w:t xml:space="preserve">further </w:t>
      </w:r>
      <w:r w:rsidR="00996F84">
        <w:rPr>
          <w:rFonts w:eastAsiaTheme="minorEastAsia"/>
        </w:rPr>
        <w:t>Thermal NO</w:t>
      </w:r>
      <w:r w:rsidR="00996F84">
        <w:rPr>
          <w:rFonts w:eastAsiaTheme="minorEastAsia"/>
          <w:vertAlign w:val="subscript"/>
        </w:rPr>
        <w:t>x</w:t>
      </w:r>
      <w:r>
        <w:rPr>
          <w:rStyle w:val="FootnoteReference"/>
          <w:rFonts w:eastAsiaTheme="minorEastAsia"/>
        </w:rPr>
        <w:footnoteReference w:id="5"/>
      </w:r>
      <w:r>
        <w:rPr>
          <w:rFonts w:eastAsiaTheme="minorEastAsia"/>
        </w:rPr>
        <w:t xml:space="preserve"> </w:t>
      </w:r>
      <w:r w:rsidR="00996F84" w:rsidRPr="000679F9">
        <w:rPr>
          <w:rFonts w:eastAsiaTheme="minorEastAsia"/>
        </w:rPr>
        <w:t>which</w:t>
      </w:r>
      <w:r>
        <w:rPr>
          <w:rFonts w:eastAsiaTheme="minorEastAsia"/>
        </w:rPr>
        <w:t>, using a Dissociation Model interprets forward and reverse reactions seen in NO</w:t>
      </w:r>
      <w:r>
        <w:rPr>
          <w:rFonts w:eastAsiaTheme="minorEastAsia"/>
          <w:vertAlign w:val="subscript"/>
        </w:rPr>
        <w:t>x</w:t>
      </w:r>
      <w:r>
        <w:rPr>
          <w:rFonts w:eastAsiaTheme="minorEastAsia"/>
        </w:rPr>
        <w:t xml:space="preserve"> production as when the reactants begin to cool the reaction can being to take place in the opposite direction reducing the NO</w:t>
      </w:r>
      <w:r>
        <w:rPr>
          <w:rFonts w:eastAsiaTheme="minorEastAsia"/>
          <w:vertAlign w:val="subscript"/>
        </w:rPr>
        <w:t>x</w:t>
      </w:r>
      <w:r>
        <w:rPr>
          <w:rFonts w:eastAsiaTheme="minorEastAsia"/>
        </w:rPr>
        <w:t xml:space="preserve"> production seen at the exhaust outlet in relation to the NO</w:t>
      </w:r>
      <w:r>
        <w:rPr>
          <w:rFonts w:eastAsiaTheme="minorEastAsia"/>
          <w:vertAlign w:val="subscript"/>
        </w:rPr>
        <w:t>x</w:t>
      </w:r>
      <w:r>
        <w:rPr>
          <w:rFonts w:eastAsiaTheme="minorEastAsia"/>
        </w:rPr>
        <w:t xml:space="preserve"> production seen in the combustion chamber. Further again than this there are “Prompt” and “Fuel” NO</w:t>
      </w:r>
      <w:r>
        <w:rPr>
          <w:rFonts w:eastAsiaTheme="minorEastAsia"/>
          <w:vertAlign w:val="subscript"/>
        </w:rPr>
        <w:t>x</w:t>
      </w:r>
      <w:r w:rsidR="00D650D8">
        <w:rPr>
          <w:rFonts w:eastAsiaTheme="minorEastAsia"/>
          <w:vertAlign w:val="subscript"/>
        </w:rPr>
        <w:t xml:space="preserve"> </w:t>
      </w:r>
      <w:r w:rsidR="00D650D8">
        <w:rPr>
          <w:rFonts w:eastAsiaTheme="minorEastAsia"/>
        </w:rPr>
        <w:t>models</w:t>
      </w:r>
      <w:r>
        <w:rPr>
          <w:rFonts w:eastAsiaTheme="minorEastAsia"/>
        </w:rPr>
        <w:t xml:space="preserve">, exploring the reactions of atmospheric nitrogen with the CH radical created during oxidation of the fuel and fuel-bound nitrogen </w:t>
      </w:r>
      <w:r w:rsidR="00054A9B">
        <w:rPr>
          <w:rFonts w:eastAsiaTheme="minorEastAsia"/>
        </w:rPr>
        <w:t>due to the organic compounds that make up a great variety of common fuels and can contribute to the overall NO</w:t>
      </w:r>
      <w:r w:rsidR="00054A9B">
        <w:rPr>
          <w:rFonts w:eastAsiaTheme="minorEastAsia"/>
          <w:vertAlign w:val="subscript"/>
        </w:rPr>
        <w:t>x</w:t>
      </w:r>
      <w:r w:rsidR="00054A9B">
        <w:rPr>
          <w:rFonts w:eastAsiaTheme="minorEastAsia"/>
        </w:rPr>
        <w:t xml:space="preserve"> produced during combustion.</w:t>
      </w:r>
      <w:r w:rsidR="00D650D8">
        <w:rPr>
          <w:rFonts w:eastAsiaTheme="minorEastAsia"/>
        </w:rPr>
        <w:t xml:space="preserve"> </w:t>
      </w:r>
    </w:p>
    <w:p w14:paraId="38756122" w14:textId="191D9323" w:rsidR="00D650D8" w:rsidRDefault="00D650D8" w:rsidP="00D650D8">
      <w:pPr>
        <w:pStyle w:val="Heading2"/>
        <w:rPr>
          <w:rFonts w:eastAsiaTheme="minorEastAsia"/>
        </w:rPr>
      </w:pPr>
      <w:bookmarkStart w:id="28" w:name="_Ref29165183"/>
      <w:bookmarkStart w:id="29" w:name="_Toc29171469"/>
      <w:r>
        <w:rPr>
          <w:rFonts w:eastAsiaTheme="minorEastAsia"/>
        </w:rPr>
        <w:t>Methodology for</w:t>
      </w:r>
      <w:r w:rsidR="005F195E">
        <w:rPr>
          <w:rFonts w:eastAsiaTheme="minorEastAsia"/>
        </w:rPr>
        <w:t xml:space="preserve"> input values of</w:t>
      </w:r>
      <w:r>
        <w:rPr>
          <w:rFonts w:eastAsiaTheme="minorEastAsia"/>
        </w:rPr>
        <w:t xml:space="preserve"> basic NO</w:t>
      </w:r>
      <w:r>
        <w:rPr>
          <w:rFonts w:eastAsiaTheme="minorEastAsia"/>
          <w:vertAlign w:val="subscript"/>
        </w:rPr>
        <w:t>x</w:t>
      </w:r>
      <w:r>
        <w:rPr>
          <w:rFonts w:eastAsiaTheme="minorEastAsia"/>
        </w:rPr>
        <w:t xml:space="preserve"> estimation </w:t>
      </w:r>
      <w:r w:rsidR="001C32AC">
        <w:rPr>
          <w:rFonts w:eastAsiaTheme="minorEastAsia"/>
        </w:rPr>
        <w:t>model</w:t>
      </w:r>
      <w:r w:rsidR="005F195E">
        <w:rPr>
          <w:rFonts w:eastAsiaTheme="minorEastAsia"/>
        </w:rPr>
        <w:t xml:space="preserve"> (Zeldovich model)</w:t>
      </w:r>
      <w:bookmarkEnd w:id="28"/>
      <w:bookmarkEnd w:id="29"/>
    </w:p>
    <w:p w14:paraId="1554A70C" w14:textId="1DF804DE" w:rsidR="00D650D8" w:rsidRPr="00D62ED7" w:rsidRDefault="00D650D8" w:rsidP="00D62ED7">
      <w:pPr>
        <w:jc w:val="both"/>
        <w:rPr>
          <w:rFonts w:eastAsiaTheme="minorEastAsia"/>
        </w:rPr>
      </w:pPr>
      <w:r>
        <w:rPr>
          <w:rFonts w:eastAsiaTheme="minorEastAsia"/>
        </w:rPr>
        <w:t>Overleaf, and in the accompanying Excel workbook, can be found the work done on “lean” NO</w:t>
      </w:r>
      <w:r>
        <w:rPr>
          <w:rFonts w:eastAsiaTheme="minorEastAsia"/>
          <w:vertAlign w:val="subscript"/>
        </w:rPr>
        <w:t>x</w:t>
      </w:r>
      <w:r>
        <w:rPr>
          <w:rFonts w:eastAsiaTheme="minorEastAsia"/>
        </w:rPr>
        <w:t xml:space="preserve"> production, unlike the first chapter of this report it was felt that an “on-paper” approach would be too complex as there was a large amount of “what-if” (know as a “</w:t>
      </w:r>
      <w:r w:rsidR="00D62ED7">
        <w:rPr>
          <w:rFonts w:eastAsiaTheme="minorEastAsia"/>
        </w:rPr>
        <w:t>Goal Seek</w:t>
      </w:r>
      <w:r>
        <w:rPr>
          <w:rFonts w:eastAsiaTheme="minorEastAsia"/>
        </w:rPr>
        <w:t>” function in Excel) style analysis.</w:t>
      </w:r>
      <w:r w:rsidR="00B3613F">
        <w:rPr>
          <w:rFonts w:eastAsiaTheme="minorEastAsia"/>
        </w:rPr>
        <w:t xml:space="preserve"> This type of methodology considers a single-zone model, idealised</w:t>
      </w:r>
      <w:r w:rsidR="00D62ED7">
        <w:rPr>
          <w:rFonts w:eastAsiaTheme="minorEastAsia"/>
        </w:rPr>
        <w:t>/adiabatic</w:t>
      </w:r>
      <w:r w:rsidR="00B3613F">
        <w:rPr>
          <w:rFonts w:eastAsiaTheme="minorEastAsia"/>
        </w:rPr>
        <w:t xml:space="preserve"> conditions</w:t>
      </w:r>
      <w:r w:rsidR="00363BEF">
        <w:rPr>
          <w:rFonts w:eastAsiaTheme="minorEastAsia"/>
        </w:rPr>
        <w:t xml:space="preserve"> and</w:t>
      </w:r>
      <w:r w:rsidR="00D62ED7">
        <w:rPr>
          <w:rFonts w:eastAsiaTheme="minorEastAsia"/>
        </w:rPr>
        <w:t xml:space="preserve"> only provides a basic over-assumption of produced NO</w:t>
      </w:r>
      <w:r w:rsidR="00D62ED7">
        <w:rPr>
          <w:rFonts w:eastAsiaTheme="minorEastAsia"/>
          <w:vertAlign w:val="subscript"/>
        </w:rPr>
        <w:t>x</w:t>
      </w:r>
      <w:r w:rsidR="00363BEF">
        <w:rPr>
          <w:rFonts w:eastAsiaTheme="minorEastAsia"/>
        </w:rPr>
        <w:t xml:space="preserve"> </w:t>
      </w:r>
      <w:r w:rsidR="00D62ED7">
        <w:rPr>
          <w:rFonts w:eastAsiaTheme="minorEastAsia"/>
        </w:rPr>
        <w:t xml:space="preserve">as it doesn’t consider the further models in </w:t>
      </w:r>
      <w:r w:rsidR="00D62ED7">
        <w:rPr>
          <w:rFonts w:eastAsiaTheme="minorEastAsia"/>
        </w:rPr>
        <w:fldChar w:fldCharType="begin"/>
      </w:r>
      <w:r w:rsidR="00D62ED7">
        <w:rPr>
          <w:rFonts w:eastAsiaTheme="minorEastAsia"/>
        </w:rPr>
        <w:instrText xml:space="preserve"> REF _Ref29125776 \r \h </w:instrText>
      </w:r>
      <w:r w:rsidR="00D62ED7">
        <w:rPr>
          <w:rFonts w:eastAsiaTheme="minorEastAsia"/>
        </w:rPr>
      </w:r>
      <w:r w:rsidR="00D62ED7">
        <w:rPr>
          <w:rFonts w:eastAsiaTheme="minorEastAsia"/>
        </w:rPr>
        <w:fldChar w:fldCharType="separate"/>
      </w:r>
      <w:r w:rsidR="00D62ED7">
        <w:rPr>
          <w:rFonts w:eastAsiaTheme="minorEastAsia"/>
        </w:rPr>
        <w:t>2.1</w:t>
      </w:r>
      <w:r w:rsidR="00D62ED7">
        <w:rPr>
          <w:rFonts w:eastAsiaTheme="minorEastAsia"/>
        </w:rPr>
        <w:fldChar w:fldCharType="end"/>
      </w:r>
      <w:r w:rsidR="00D62ED7">
        <w:rPr>
          <w:rFonts w:eastAsiaTheme="minorEastAsia"/>
        </w:rPr>
        <w:t>.</w:t>
      </w:r>
    </w:p>
    <w:p w14:paraId="4C497851" w14:textId="77777777" w:rsidR="00ED552D" w:rsidRDefault="00D1574E" w:rsidP="00ED552D">
      <w:pPr>
        <w:pStyle w:val="Heading3"/>
      </w:pPr>
      <w:r>
        <w:lastRenderedPageBreak/>
        <w:t xml:space="preserve"> </w:t>
      </w:r>
      <w:bookmarkStart w:id="30" w:name="_Ref29154870"/>
      <w:bookmarkStart w:id="31" w:name="_Ref29164033"/>
      <w:bookmarkStart w:id="32" w:name="_Toc29171470"/>
      <w:r w:rsidR="00ED552D">
        <w:t>Components of Combusted products</w:t>
      </w:r>
      <w:bookmarkEnd w:id="30"/>
      <w:bookmarkEnd w:id="31"/>
      <w:bookmarkEnd w:id="32"/>
      <w:r w:rsidR="00ED552D">
        <w:t xml:space="preserve"> </w:t>
      </w:r>
    </w:p>
    <w:p w14:paraId="1FFFD07D" w14:textId="77777777" w:rsidR="00D45AC3" w:rsidRDefault="00ED552D" w:rsidP="00D62ED7">
      <w:pPr>
        <w:jc w:val="both"/>
      </w:pPr>
      <w:r>
        <w:t xml:space="preserve">This task was undertaken in the same manner as seen in </w:t>
      </w:r>
      <w:r w:rsidR="00CC22B0">
        <w:fldChar w:fldCharType="begin"/>
      </w:r>
      <w:r w:rsidR="00CC22B0">
        <w:instrText xml:space="preserve"> REF _Ref29118953 \r \h </w:instrText>
      </w:r>
      <w:r w:rsidR="00CC22B0">
        <w:fldChar w:fldCharType="separate"/>
      </w:r>
      <w:r w:rsidR="00CC22B0">
        <w:t>1.2.1</w:t>
      </w:r>
      <w:r w:rsidR="00CC22B0">
        <w:fldChar w:fldCharType="end"/>
      </w:r>
      <w:r w:rsidR="00CC22B0">
        <w:t>, this method was then applied through a set of fuel equivalence ratios</w:t>
      </w:r>
      <w:r w:rsidR="00CC22B0">
        <w:rPr>
          <w:rStyle w:val="FootnoteReference"/>
        </w:rPr>
        <w:footnoteReference w:id="6"/>
      </w:r>
      <w:r w:rsidR="00CC22B0">
        <w:t xml:space="preserve"> ranging from 1-0.9 in steps of 0.01 and further from 0.9 to 0.6 in steps of 0.05</w:t>
      </w:r>
      <w:r w:rsidR="00D45AC3">
        <w:t xml:space="preserve">. </w:t>
      </w:r>
    </w:p>
    <w:p w14:paraId="1E00E319" w14:textId="695C1CC2" w:rsidR="00EE0C5B" w:rsidRDefault="00D45AC3" w:rsidP="00ED552D">
      <w:pPr>
        <w:rPr>
          <w:rFonts w:eastAsiaTheme="minorEastAsia"/>
        </w:rPr>
      </w:pPr>
      <m:oMathPara>
        <m:oMath>
          <m:r>
            <w:rPr>
              <w:rFonts w:ascii="Cambria Math" w:hAnsi="Cambria Math"/>
            </w:rPr>
            <m:t>Calculation of</m:t>
          </m:r>
          <m:r>
            <w:rPr>
              <w:rFonts w:ascii="Cambria Math" w:hAnsi="Cambria Math"/>
            </w:rPr>
            <m:t xml:space="preserve"> parts of</m:t>
          </m:r>
          <m:r>
            <w:rPr>
              <w:rFonts w:ascii="Cambria Math" w:hAnsi="Cambria Math"/>
            </w:rPr>
            <m:t xml:space="preserve"> individual combusted component=Stoiciometric</m:t>
          </m:r>
          <m:r>
            <w:rPr>
              <w:rFonts w:ascii="Cambria Math" w:hAnsi="Cambria Math"/>
            </w:rPr>
            <m:t xml:space="preserve"> number of parts</m:t>
          </m:r>
          <m:r>
            <w:rPr>
              <w:rFonts w:ascii="Cambria Math" w:hAnsi="Cambria Math"/>
            </w:rPr>
            <m:t xml:space="preserve"> of component produced </m:t>
          </m:r>
          <m:r>
            <w:rPr>
              <w:rFonts w:ascii="Cambria Math" w:hAnsi="Cambria Math" w:cs="Calibri"/>
            </w:rPr>
            <m:t>×</m:t>
          </m:r>
          <m:r>
            <w:rPr>
              <w:rFonts w:ascii="Cambria Math" w:hAnsi="Cambria Math"/>
            </w:rPr>
            <m:t>Fuel Equivalence ratio</m:t>
          </m:r>
          <m:r>
            <w:rPr>
              <w:rFonts w:ascii="Cambria Math" w:hAnsi="Cambria Math"/>
            </w:rPr>
            <m:t xml:space="preserve"> </m:t>
          </m:r>
        </m:oMath>
      </m:oMathPara>
    </w:p>
    <w:p w14:paraId="5DDB6F76" w14:textId="4ED8532C" w:rsidR="00EE0C5B" w:rsidRPr="00EE0C5B" w:rsidRDefault="00EE0C5B" w:rsidP="00ED552D">
      <w:pPr>
        <w:rPr>
          <w:rFonts w:eastAsiaTheme="minorEastAsia"/>
        </w:rPr>
      </w:pPr>
      <m:oMathPara>
        <m:oMath>
          <m:r>
            <w:rPr>
              <w:rFonts w:ascii="Cambria Math" w:hAnsi="Cambria Math"/>
            </w:rPr>
            <m:t>e.g.          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=8 parts produced at stoiciometric ×Fuel Equivalence Ratio of φ0.97=7.76C</m:t>
          </m:r>
          <m:sSub>
            <m:sSubPr>
              <m:ctrlPr>
                <w:rPr>
                  <w:rFonts w:ascii="Cambria Math" w:hAnsi="Cambria Math"/>
                  <w:i/>
                </w:rPr>
              </m:ctrlPr>
            </m:sSubPr>
            <m:e>
              <m:r>
                <w:rPr>
                  <w:rFonts w:ascii="Cambria Math" w:hAnsi="Cambria Math"/>
                </w:rPr>
                <m:t>O</m:t>
              </m:r>
            </m:e>
            <m:sub>
              <m:r>
                <w:rPr>
                  <w:rFonts w:ascii="Cambria Math" w:hAnsi="Cambria Math"/>
                </w:rPr>
                <m:t>2</m:t>
              </m:r>
            </m:sub>
          </m:sSub>
        </m:oMath>
      </m:oMathPara>
    </w:p>
    <w:p w14:paraId="0BA9CF5A" w14:textId="5DC2EE23" w:rsidR="001C32AC" w:rsidRPr="00450FF1" w:rsidRDefault="00450FF1" w:rsidP="00450FF1">
      <w:pPr>
        <w:pStyle w:val="Heading3"/>
      </w:pPr>
      <w:bookmarkStart w:id="33" w:name="_Toc29171471"/>
      <w:r>
        <w:t>Net Enthalpy from Flame Temperature</w:t>
      </w:r>
      <w:bookmarkEnd w:id="33"/>
    </w:p>
    <w:p w14:paraId="7A2018F8" w14:textId="304347BF" w:rsidR="00AB4699" w:rsidRPr="00AB4699" w:rsidRDefault="00AB4699" w:rsidP="00394248">
      <w:pPr>
        <w:rPr>
          <w:rFonts w:eastAsiaTheme="minorEastAsia"/>
        </w:rPr>
      </w:pPr>
      <w:r>
        <w:rPr>
          <w:noProof/>
        </w:rPr>
        <w:drawing>
          <wp:anchor distT="0" distB="0" distL="114300" distR="114300" simplePos="0" relativeHeight="251663360" behindDoc="1" locked="0" layoutInCell="1" allowOverlap="1" wp14:anchorId="76D971D3" wp14:editId="46BB6BA7">
            <wp:simplePos x="0" y="0"/>
            <wp:positionH relativeFrom="margin">
              <wp:posOffset>1095375</wp:posOffset>
            </wp:positionH>
            <wp:positionV relativeFrom="paragraph">
              <wp:posOffset>667385</wp:posOffset>
            </wp:positionV>
            <wp:extent cx="3152775" cy="1933575"/>
            <wp:effectExtent l="0" t="19050" r="0" b="28575"/>
            <wp:wrapTight wrapText="bothSides">
              <wp:wrapPolygon edited="0">
                <wp:start x="11616" y="-213"/>
                <wp:lineTo x="8875" y="851"/>
                <wp:lineTo x="8875" y="2767"/>
                <wp:lineTo x="10963" y="3618"/>
                <wp:lineTo x="4698" y="3618"/>
                <wp:lineTo x="4698" y="4256"/>
                <wp:lineTo x="10833" y="7023"/>
                <wp:lineTo x="5351" y="7661"/>
                <wp:lineTo x="4176" y="8300"/>
                <wp:lineTo x="4437" y="13407"/>
                <wp:lineTo x="5351" y="13833"/>
                <wp:lineTo x="10833" y="13833"/>
                <wp:lineTo x="5221" y="15748"/>
                <wp:lineTo x="5090" y="18089"/>
                <wp:lineTo x="9136" y="20642"/>
                <wp:lineTo x="9266" y="21706"/>
                <wp:lineTo x="9919" y="21706"/>
                <wp:lineTo x="10050" y="21494"/>
                <wp:lineTo x="11877" y="20642"/>
                <wp:lineTo x="16967" y="17237"/>
                <wp:lineTo x="17228" y="16812"/>
                <wp:lineTo x="10833" y="13833"/>
                <wp:lineTo x="15531" y="13833"/>
                <wp:lineTo x="17489" y="12768"/>
                <wp:lineTo x="17358" y="7874"/>
                <wp:lineTo x="16314" y="7448"/>
                <wp:lineTo x="10833" y="7023"/>
                <wp:lineTo x="16836" y="4469"/>
                <wp:lineTo x="16836" y="3618"/>
                <wp:lineTo x="12268" y="3618"/>
                <wp:lineTo x="12529" y="1915"/>
                <wp:lineTo x="12268" y="-213"/>
                <wp:lineTo x="11616" y="-213"/>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376D6D">
        <w:t>This method essentially sets up a feedback loop driven from an initial incorrect flame temp that then feeds back through a “what-if” style analysis to produce the correct flame temp value by changing a set of calculations, the loop follows this pathway:</w:t>
      </w:r>
      <m:oMath>
        <m:r>
          <w:rPr>
            <w:rFonts w:ascii="Cambria Math" w:hAnsi="Cambria Math"/>
          </w:rPr>
          <w:br/>
        </m:r>
      </m:oMath>
    </w:p>
    <w:p w14:paraId="6D443AA9" w14:textId="77777777" w:rsidR="00AB4699" w:rsidRPr="00AB4699" w:rsidRDefault="00AB4699" w:rsidP="00394248">
      <w:pPr>
        <w:rPr>
          <w:rFonts w:eastAsiaTheme="minorEastAsia"/>
        </w:rPr>
      </w:pPr>
    </w:p>
    <w:p w14:paraId="17AB9192" w14:textId="77777777" w:rsidR="00AB4699" w:rsidRDefault="00AB4699" w:rsidP="00394248">
      <w:pPr>
        <w:rPr>
          <w:rFonts w:eastAsiaTheme="minorEastAsia"/>
        </w:rPr>
      </w:pPr>
    </w:p>
    <w:p w14:paraId="0941A16B" w14:textId="77777777" w:rsidR="00AB4699" w:rsidRDefault="00AB4699" w:rsidP="00394248">
      <w:pPr>
        <w:rPr>
          <w:rFonts w:eastAsiaTheme="minorEastAsia"/>
        </w:rPr>
      </w:pPr>
    </w:p>
    <w:p w14:paraId="11F9046F" w14:textId="77777777" w:rsidR="00AB4699" w:rsidRDefault="00AB4699" w:rsidP="00394248">
      <w:pPr>
        <w:rPr>
          <w:rFonts w:eastAsiaTheme="minorEastAsia"/>
        </w:rPr>
      </w:pPr>
    </w:p>
    <w:p w14:paraId="736DEF75" w14:textId="77777777" w:rsidR="00AB4699" w:rsidRDefault="00AB4699" w:rsidP="00394248">
      <w:pPr>
        <w:rPr>
          <w:rFonts w:eastAsiaTheme="minorEastAsia"/>
        </w:rPr>
      </w:pPr>
    </w:p>
    <w:p w14:paraId="08375063" w14:textId="25F3CF0F" w:rsidR="00AB4699" w:rsidRDefault="00450FF1" w:rsidP="00394248">
      <w:pPr>
        <w:rPr>
          <w:rFonts w:eastAsiaTheme="minorEastAsia"/>
        </w:rPr>
      </w:pPr>
      <w:r>
        <w:rPr>
          <w:noProof/>
        </w:rPr>
        <mc:AlternateContent>
          <mc:Choice Requires="wps">
            <w:drawing>
              <wp:anchor distT="0" distB="0" distL="114300" distR="114300" simplePos="0" relativeHeight="251665408" behindDoc="1" locked="0" layoutInCell="1" allowOverlap="1" wp14:anchorId="416A0D35" wp14:editId="3EF3DB9A">
                <wp:simplePos x="0" y="0"/>
                <wp:positionH relativeFrom="margin">
                  <wp:align>center</wp:align>
                </wp:positionH>
                <wp:positionV relativeFrom="paragraph">
                  <wp:posOffset>8890</wp:posOffset>
                </wp:positionV>
                <wp:extent cx="3535045" cy="635"/>
                <wp:effectExtent l="0" t="0" r="8255" b="0"/>
                <wp:wrapTight wrapText="bothSides">
                  <wp:wrapPolygon edited="0">
                    <wp:start x="0" y="0"/>
                    <wp:lineTo x="0" y="20052"/>
                    <wp:lineTo x="21534" y="20052"/>
                    <wp:lineTo x="21534"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535045" cy="635"/>
                        </a:xfrm>
                        <a:prstGeom prst="rect">
                          <a:avLst/>
                        </a:prstGeom>
                        <a:solidFill>
                          <a:prstClr val="white"/>
                        </a:solidFill>
                        <a:ln>
                          <a:noFill/>
                        </a:ln>
                      </wps:spPr>
                      <wps:txbx>
                        <w:txbxContent>
                          <w:p w14:paraId="4AFE70B0" w14:textId="0852ED8A" w:rsidR="00F67BB4" w:rsidRPr="002A6B31" w:rsidRDefault="00F67BB4" w:rsidP="00AB4699">
                            <w:pPr>
                              <w:pStyle w:val="Caption"/>
                              <w:jc w:val="center"/>
                              <w:rPr>
                                <w:noProof/>
                                <w:sz w:val="20"/>
                              </w:rPr>
                            </w:pPr>
                            <w:bookmarkStart w:id="34" w:name="_Toc29171494"/>
                            <w:r>
                              <w:t xml:space="preserve">Figure </w:t>
                            </w:r>
                            <w:r>
                              <w:fldChar w:fldCharType="begin"/>
                            </w:r>
                            <w:r>
                              <w:instrText xml:space="preserve"> SEQ Figure \* ARABIC </w:instrText>
                            </w:r>
                            <w:r>
                              <w:fldChar w:fldCharType="separate"/>
                            </w:r>
                            <w:r>
                              <w:rPr>
                                <w:noProof/>
                              </w:rPr>
                              <w:t>2</w:t>
                            </w:r>
                            <w:r>
                              <w:fldChar w:fldCharType="end"/>
                            </w:r>
                            <w:r>
                              <w:t>: Feedback Cycle used to calculate Net Enthalpy for Flame Temperature</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6A0D35" id="Text Box 5" o:spid="_x0000_s1029" type="#_x0000_t202" style="position:absolute;margin-left:0;margin-top:.7pt;width:278.35pt;height:.05pt;z-index:-251651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" stroked="f">
                <v:textbox style="mso-fit-shape-to-text:t" inset="0,0,0,0">
                  <w:txbxContent>
                    <w:p w14:paraId="4AFE70B0" w14:textId="0852ED8A" w:rsidR="00F67BB4" w:rsidRPr="002A6B31" w:rsidRDefault="00F67BB4" w:rsidP="00AB4699">
                      <w:pPr>
                        <w:pStyle w:val="Caption"/>
                        <w:jc w:val="center"/>
                        <w:rPr>
                          <w:noProof/>
                          <w:sz w:val="20"/>
                        </w:rPr>
                      </w:pPr>
                      <w:bookmarkStart w:id="35" w:name="_Toc29171494"/>
                      <w:r>
                        <w:t xml:space="preserve">Figure </w:t>
                      </w:r>
                      <w:r>
                        <w:fldChar w:fldCharType="begin"/>
                      </w:r>
                      <w:r>
                        <w:instrText xml:space="preserve"> SEQ Figure \* ARABIC </w:instrText>
                      </w:r>
                      <w:r>
                        <w:fldChar w:fldCharType="separate"/>
                      </w:r>
                      <w:r>
                        <w:rPr>
                          <w:noProof/>
                        </w:rPr>
                        <w:t>2</w:t>
                      </w:r>
                      <w:r>
                        <w:fldChar w:fldCharType="end"/>
                      </w:r>
                      <w:r>
                        <w:t>: Feedback Cycle used to calculate Net Enthalpy for Flame Temperature</w:t>
                      </w:r>
                      <w:bookmarkEnd w:id="35"/>
                    </w:p>
                  </w:txbxContent>
                </v:textbox>
                <w10:wrap type="tight" anchorx="margin"/>
              </v:shape>
            </w:pict>
          </mc:Fallback>
        </mc:AlternateContent>
      </w:r>
    </w:p>
    <w:p w14:paraId="155B2F38" w14:textId="77777777" w:rsidR="00450FF1" w:rsidRDefault="00450FF1" w:rsidP="00394248">
      <w:pPr>
        <w:rPr>
          <w:rFonts w:eastAsiaTheme="minorEastAsia"/>
        </w:rPr>
      </w:pPr>
    </w:p>
    <w:p w14:paraId="04DEC8D6" w14:textId="6C773827" w:rsidR="00AB4699" w:rsidRDefault="00AB4699" w:rsidP="00394248">
      <w:pPr>
        <w:rPr>
          <w:rFonts w:eastAsiaTheme="minorEastAsia"/>
        </w:rPr>
      </w:pPr>
      <w:r>
        <w:rPr>
          <w:rFonts w:eastAsiaTheme="minorEastAsia"/>
        </w:rPr>
        <w:t>Whereby each of the titles seen prior pertain to the following sequence:</w:t>
      </w:r>
    </w:p>
    <w:p w14:paraId="69F25579" w14:textId="2279142E" w:rsidR="00AB4699" w:rsidRPr="00AB4699" w:rsidRDefault="002A563F" w:rsidP="00394248">
      <w:pPr>
        <w:rPr>
          <w:rFonts w:eastAsiaTheme="minorEastAsia"/>
        </w:rPr>
      </w:pPr>
      <m:oMathPara>
        <m:oMath>
          <m:r>
            <w:rPr>
              <w:rFonts w:ascii="Cambria Math" w:hAnsi="Cambria Math"/>
            </w:rPr>
            <m:t xml:space="preserve">Incorrect input flame temp </m:t>
          </m:r>
          <m:d>
            <m:dPr>
              <m:ctrlPr>
                <w:rPr>
                  <w:rFonts w:ascii="Cambria Math" w:hAnsi="Cambria Math"/>
                  <w:i/>
                </w:rPr>
              </m:ctrlPr>
            </m:dPr>
            <m:e>
              <m:r>
                <w:rPr>
                  <w:rFonts w:ascii="Cambria Math" w:hAnsi="Cambria Math"/>
                </w:rPr>
                <m:t>Flame Temp</m:t>
              </m:r>
            </m:e>
          </m:d>
          <m:r>
            <w:rPr>
              <w:rFonts w:ascii="Cambria Math" w:hAnsi="Cambria Math"/>
            </w:rPr>
            <m:t xml:space="preserve">       </m:t>
          </m:r>
          <m:r>
            <w:rPr>
              <w:rStyle w:val="FootnoteReference"/>
              <w:rFonts w:ascii="Cambria Math" w:hAnsi="Cambria Math"/>
              <w:i/>
            </w:rPr>
            <w:footnoteReference w:id="7"/>
          </m:r>
        </m:oMath>
      </m:oMathPara>
    </w:p>
    <w:p w14:paraId="70A4332C" w14:textId="77777777" w:rsidR="00AB4699" w:rsidRPr="00AB4699" w:rsidRDefault="002A563F" w:rsidP="00394248">
      <w:pPr>
        <w:rPr>
          <w:rFonts w:eastAsiaTheme="minorEastAsia"/>
        </w:rPr>
      </w:pPr>
      <m:oMathPara>
        <m:oMath>
          <m:r>
            <w:rPr>
              <w:rFonts w:ascii="Cambria Math" w:hAnsi="Cambria Math"/>
            </w:rPr>
            <m:t>Interpolation for component enthalpies using flame temp</m:t>
          </m:r>
          <m:d>
            <m:dPr>
              <m:ctrlPr>
                <w:rPr>
                  <w:rFonts w:ascii="Cambria Math" w:hAnsi="Cambria Math"/>
                  <w:i/>
                </w:rPr>
              </m:ctrlPr>
            </m:dPr>
            <m:e>
              <m:r>
                <w:rPr>
                  <w:rFonts w:ascii="Cambria Math" w:hAnsi="Cambria Math"/>
                </w:rPr>
                <m:t>Interpolation</m:t>
              </m:r>
            </m:e>
          </m:d>
        </m:oMath>
      </m:oMathPara>
    </w:p>
    <w:p w14:paraId="01463C75" w14:textId="77777777" w:rsidR="00AB4699" w:rsidRPr="00AB4699" w:rsidRDefault="00AB4699" w:rsidP="00394248">
      <w:pPr>
        <w:rPr>
          <w:rFonts w:eastAsiaTheme="minorEastAsia"/>
        </w:rPr>
      </w:pPr>
      <m:oMathPara>
        <m:oMath>
          <m:r>
            <w:rPr>
              <w:rFonts w:ascii="Cambria Math" w:hAnsi="Cambria Math"/>
            </w:rPr>
            <m:t xml:space="preserve">Multiplication of interpolated enthalpies by number of parts in combusted products </m:t>
          </m:r>
          <m:d>
            <m:dPr>
              <m:ctrlPr>
                <w:rPr>
                  <w:rFonts w:ascii="Cambria Math" w:hAnsi="Cambria Math"/>
                  <w:i/>
                </w:rPr>
              </m:ctrlPr>
            </m:dPr>
            <m:e>
              <m:r>
                <w:rPr>
                  <w:rFonts w:ascii="Cambria Math" w:hAnsi="Cambria Math"/>
                </w:rPr>
                <m:t>Individual Enthalpies</m:t>
              </m:r>
            </m:e>
          </m:d>
        </m:oMath>
      </m:oMathPara>
    </w:p>
    <w:p w14:paraId="26CE6245" w14:textId="569CAF7B" w:rsidR="00AB4699" w:rsidRPr="00AB4699" w:rsidRDefault="002A563F" w:rsidP="00394248">
      <w:pPr>
        <w:rPr>
          <w:rFonts w:eastAsiaTheme="minorEastAsia"/>
        </w:rPr>
      </w:pPr>
      <m:oMathPara>
        <m:oMath>
          <m:r>
            <w:rPr>
              <w:rFonts w:ascii="Cambria Math" w:hAnsi="Cambria Math"/>
            </w:rPr>
            <m:t>Sum of component enthalpy values at fuel equivalence ratio(Net Enthalpy</m:t>
          </m:r>
          <m:r>
            <w:rPr>
              <w:rFonts w:ascii="Cambria Math" w:hAnsi="Cambria Math"/>
            </w:rPr>
            <m:t>)</m:t>
          </m:r>
        </m:oMath>
      </m:oMathPara>
    </w:p>
    <w:p w14:paraId="1856FDD8" w14:textId="378C3586" w:rsidR="00450FF1" w:rsidRPr="001C32AC" w:rsidRDefault="002A563F" w:rsidP="00450FF1">
      <m:oMathPara>
        <m:oMath>
          <m:r>
            <m:rPr>
              <m:sty m:val="p"/>
            </m:rPr>
            <w:rPr>
              <w:rFonts w:ascii="Cambria Math" w:hAnsi="Cambria Math"/>
            </w:rPr>
            <m:t>"</m:t>
          </m:r>
          <m:r>
            <w:rPr>
              <w:rFonts w:ascii="Cambria Math" w:hAnsi="Cambria Math"/>
            </w:rPr>
            <m:t>What</m:t>
          </m:r>
          <m:r>
            <m:rPr>
              <m:sty m:val="p"/>
            </m:rPr>
            <w:rPr>
              <w:rFonts w:ascii="Cambria Math" w:hAnsi="Cambria Math"/>
            </w:rPr>
            <m:t xml:space="preserve"> </m:t>
          </m:r>
          <m:r>
            <w:rPr>
              <w:rFonts w:ascii="Cambria Math" w:hAnsi="Cambria Math"/>
            </w:rPr>
            <m:t>if</m:t>
          </m:r>
          <m:r>
            <m:rPr>
              <m:sty m:val="p"/>
            </m:rPr>
            <w:rPr>
              <w:rFonts w:ascii="Cambria Math" w:hAnsi="Cambria Math"/>
            </w:rPr>
            <m:t xml:space="preserve">" </m:t>
          </m:r>
          <m:r>
            <w:rPr>
              <w:rFonts w:ascii="Cambria Math" w:hAnsi="Cambria Math"/>
            </w:rPr>
            <m:t>analysis</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determine</m:t>
          </m:r>
          <m:r>
            <m:rPr>
              <m:sty m:val="p"/>
            </m:rPr>
            <w:rPr>
              <w:rFonts w:ascii="Cambria Math" w:hAnsi="Cambria Math"/>
            </w:rPr>
            <m:t xml:space="preserve"> </m:t>
          </m:r>
          <m:r>
            <w:rPr>
              <w:rFonts w:ascii="Cambria Math" w:hAnsi="Cambria Math"/>
            </w:rPr>
            <m:t>at</m:t>
          </m:r>
          <m:r>
            <m:rPr>
              <m:sty m:val="p"/>
            </m:rPr>
            <w:rPr>
              <w:rFonts w:ascii="Cambria Math" w:hAnsi="Cambria Math"/>
            </w:rPr>
            <m:t xml:space="preserve"> </m:t>
          </m:r>
          <m:r>
            <w:rPr>
              <w:rFonts w:ascii="Cambria Math" w:hAnsi="Cambria Math"/>
            </w:rPr>
            <m:t>what</m:t>
          </m:r>
          <m:r>
            <m:rPr>
              <m:sty m:val="p"/>
            </m:rPr>
            <w:rPr>
              <w:rFonts w:ascii="Cambria Math" w:hAnsi="Cambria Math"/>
            </w:rPr>
            <m:t xml:space="preserve"> </m:t>
          </m:r>
          <m:r>
            <w:rPr>
              <w:rFonts w:ascii="Cambria Math" w:hAnsi="Cambria Math"/>
            </w:rPr>
            <m:t>flame</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w:rPr>
              <w:rFonts w:ascii="Cambria Math" w:hAnsi="Cambria Math"/>
            </w:rPr>
            <m:t>individual</m:t>
          </m:r>
          <m:r>
            <m:rPr>
              <m:sty m:val="p"/>
            </m:rPr>
            <w:rPr>
              <w:rFonts w:ascii="Cambria Math" w:hAnsi="Cambria Math"/>
            </w:rPr>
            <m:t xml:space="preserve"> </m:t>
          </m:r>
          <m:r>
            <w:rPr>
              <w:rFonts w:ascii="Cambria Math" w:hAnsi="Cambria Math"/>
            </w:rPr>
            <m:t>enthalpies</m:t>
          </m:r>
          <m:r>
            <m:rPr>
              <m:sty m:val="p"/>
            </m:rPr>
            <w:rPr>
              <w:rFonts w:ascii="Cambria Math" w:hAnsi="Cambria Math"/>
            </w:rPr>
            <m:t xml:space="preserve"> </m:t>
          </m:r>
          <m:r>
            <w:rPr>
              <w:rFonts w:ascii="Cambria Math" w:hAnsi="Cambria Math"/>
            </w:rPr>
            <m:t>sum</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match</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m:rPr>
              <m:nor/>
            </m:rPr>
            <m:t>Ideal Enthalpy</m:t>
          </m:r>
          <m:r>
            <m:rPr>
              <m:nor/>
            </m:rPr>
            <m:t xml:space="preserve">" </m:t>
          </m:r>
          <m:r>
            <m:rPr>
              <m:sty m:val="p"/>
            </m:rPr>
            <w:rPr>
              <w:rFonts w:ascii="Cambria Math" w:hAnsi="Cambria Math"/>
            </w:rPr>
            <m:t>(</m:t>
          </m:r>
          <m:r>
            <w:rPr>
              <w:rFonts w:ascii="Cambria Math" w:hAnsi="Cambria Math"/>
            </w:rPr>
            <m:t>Flame</m:t>
          </m:r>
          <m:r>
            <m:rPr>
              <m:sty m:val="p"/>
            </m:rPr>
            <w:rPr>
              <w:rFonts w:ascii="Cambria Math" w:hAnsi="Cambria Math"/>
            </w:rPr>
            <m:t xml:space="preserve"> </m:t>
          </m:r>
          <m:r>
            <w:rPr>
              <w:rFonts w:ascii="Cambria Math" w:hAnsi="Cambria Math"/>
            </w:rPr>
            <m:t>Temp</m:t>
          </m:r>
          <m:r>
            <m:rPr>
              <m:sty m:val="p"/>
            </m:rPr>
            <w:rPr>
              <w:rFonts w:ascii="Cambria Math" w:hAnsi="Cambria Math"/>
            </w:rPr>
            <m:t>)</m:t>
          </m:r>
        </m:oMath>
      </m:oMathPara>
    </w:p>
    <w:p w14:paraId="3C539766" w14:textId="77777777" w:rsidR="00450FF1" w:rsidRDefault="00450FF1" w:rsidP="00450FF1">
      <w:pPr>
        <w:jc w:val="both"/>
      </w:pPr>
    </w:p>
    <w:p w14:paraId="5E08F1F1" w14:textId="1D91AF56" w:rsidR="00450FF1" w:rsidRDefault="00450FF1" w:rsidP="00450FF1">
      <w:pPr>
        <w:pStyle w:val="Heading4"/>
      </w:pPr>
      <w:r>
        <w:lastRenderedPageBreak/>
        <w:t>“Ideal” Net Enthalpy</w:t>
      </w:r>
    </w:p>
    <w:p w14:paraId="5C5500B6" w14:textId="6DE3FA5F" w:rsidR="00450FF1" w:rsidRDefault="00450FF1" w:rsidP="00450FF1">
      <w:pPr>
        <w:jc w:val="both"/>
      </w:pPr>
      <w:r>
        <w:t>This is an intermediary step taken to allow the use of a specific function that allows for the calculation of flame temperatures seen during combustion that will be used to calculate NO</w:t>
      </w:r>
      <w:r>
        <w:rPr>
          <w:vertAlign w:val="subscript"/>
        </w:rPr>
        <w:t>x</w:t>
      </w:r>
      <w:r>
        <w:t xml:space="preserve"> Parts Per Million later in this model. The “Ideal” Enthalpy is calculated using the following equation</w:t>
      </w:r>
      <w:r>
        <w:rPr>
          <w:rFonts w:eastAsiaTheme="minorEastAsia"/>
        </w:rPr>
        <w:t xml:space="preserve"> </w:t>
      </w:r>
      <w:r>
        <w:rPr>
          <w:rStyle w:val="FootnoteReference"/>
          <w:rFonts w:eastAsiaTheme="minorEastAsia"/>
        </w:rPr>
        <w:footnoteReference w:id="8"/>
      </w:r>
      <w:r>
        <w:t>:</w:t>
      </w:r>
    </w:p>
    <w:p w14:paraId="0B90A3FC" w14:textId="66BBDAF5" w:rsidR="00394248" w:rsidRPr="00450FF1" w:rsidRDefault="004435AC" w:rsidP="00450FF1">
      <w:pPr>
        <w:jc w:val="center"/>
        <w:rPr>
          <w:rFonts w:eastAsiaTheme="minorEastAsia"/>
        </w:rPr>
      </w:pPr>
      <m:oMath>
        <m:r>
          <m:rPr>
            <m:nor/>
          </m:rPr>
          <w:rPr>
            <w:rFonts w:ascii="Cambria Math" w:hAnsi="Cambria Math"/>
          </w:rPr>
          <m:t xml:space="preserve">Ideal </m:t>
        </m:r>
        <m:r>
          <w:rPr>
            <w:rFonts w:ascii="Cambria Math" w:hAnsi="Cambria Math"/>
          </w:rPr>
          <m:t>Net enthalpy=Input Enthalpy from fuel-</m:t>
        </m:r>
        <m:d>
          <m:dPr>
            <m:ctrlPr>
              <w:rPr>
                <w:rFonts w:ascii="Cambria Math" w:hAnsi="Cambria Math"/>
                <w:i/>
              </w:rPr>
            </m:ctrlPr>
          </m:dPr>
          <m:e>
            <m:r>
              <w:rPr>
                <w:rFonts w:ascii="Cambria Math" w:hAnsi="Cambria Math"/>
              </w:rPr>
              <m:t>Enthalpy of 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in combusted products+Enthalpy in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 in combusted products</m:t>
            </m:r>
          </m:e>
        </m:d>
      </m:oMath>
      <w:r w:rsidR="00450FF1">
        <w:rPr>
          <w:rFonts w:eastAsiaTheme="minorEastAsia"/>
        </w:rPr>
        <w:t xml:space="preserve">       </w:t>
      </w:r>
    </w:p>
    <w:p w14:paraId="6FDD73A8" w14:textId="28A0A0F9" w:rsidR="00820E60" w:rsidRDefault="00B3613F" w:rsidP="00450FF1">
      <w:pPr>
        <w:pStyle w:val="Heading4"/>
      </w:pPr>
      <w:r>
        <w:t xml:space="preserve"> </w:t>
      </w:r>
      <w:r w:rsidR="001C32AC">
        <w:t>Polynomial Interpolation of Enthalpy Values</w:t>
      </w:r>
    </w:p>
    <w:p w14:paraId="354C2BCD" w14:textId="40026D7C" w:rsidR="001C32AC" w:rsidRDefault="00376D6D" w:rsidP="001C32AC">
      <w:r>
        <w:t>This was undertaken by importing tables of the style shown below to Excel and then taking a 6</w:t>
      </w:r>
      <w:r w:rsidRPr="00376D6D">
        <w:rPr>
          <w:vertAlign w:val="superscript"/>
        </w:rPr>
        <w:t>th</w:t>
      </w:r>
      <w:r>
        <w:t xml:space="preserve"> order polynomial interpolation</w:t>
      </w:r>
      <w:r w:rsidR="000F7D6C">
        <w:rPr>
          <w:rStyle w:val="FootnoteReference"/>
        </w:rPr>
        <w:footnoteReference w:id="9"/>
      </w:r>
      <w:r>
        <w:t xml:space="preserve"> of the enthalpy values</w:t>
      </w:r>
      <w:r w:rsidR="00AB4699">
        <w:t xml:space="preserve"> (denoted by </w:t>
      </w:r>
      <w:r w:rsidR="00AB4699">
        <w:rPr>
          <w:rFonts w:ascii="Calibri" w:hAnsi="Calibri" w:cs="Calibri"/>
        </w:rPr>
        <w:t>ĥ-ĥ</w:t>
      </w:r>
      <w:r w:rsidR="00AB4699">
        <w:rPr>
          <w:rFonts w:ascii="Calibri" w:hAnsi="Calibri" w:cs="Calibri"/>
          <w:vertAlign w:val="superscript"/>
        </w:rPr>
        <w:t>0</w:t>
      </w:r>
      <w:r w:rsidR="00AB4699">
        <w:rPr>
          <w:rFonts w:ascii="Calibri" w:hAnsi="Calibri" w:cs="Calibri"/>
        </w:rPr>
        <w:t>)</w:t>
      </w:r>
      <w:r>
        <w:t xml:space="preserve"> at the required</w:t>
      </w:r>
      <w:r w:rsidR="00AB4699">
        <w:t xml:space="preserve"> flame temperature:</w:t>
      </w:r>
    </w:p>
    <w:p w14:paraId="6F0F728F" w14:textId="77777777" w:rsidR="00AB4699" w:rsidRDefault="00AB4699" w:rsidP="00AB4699">
      <w:pPr>
        <w:keepNext/>
      </w:pPr>
      <w:r w:rsidRPr="00AB4699">
        <w:drawing>
          <wp:inline distT="0" distB="0" distL="0" distR="0" wp14:anchorId="65BF1E62" wp14:editId="244E3ACB">
            <wp:extent cx="5667375" cy="1247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7746"/>
                    <a:stretch/>
                  </pic:blipFill>
                  <pic:spPr bwMode="auto">
                    <a:xfrm>
                      <a:off x="0" y="0"/>
                      <a:ext cx="5667375" cy="1247775"/>
                    </a:xfrm>
                    <a:prstGeom prst="rect">
                      <a:avLst/>
                    </a:prstGeom>
                    <a:ln>
                      <a:noFill/>
                    </a:ln>
                    <a:extLst>
                      <a:ext uri="{53640926-AAD7-44D8-BBD7-CCE9431645EC}">
                        <a14:shadowObscured xmlns:a14="http://schemas.microsoft.com/office/drawing/2010/main"/>
                      </a:ext>
                    </a:extLst>
                  </pic:spPr>
                </pic:pic>
              </a:graphicData>
            </a:graphic>
          </wp:inline>
        </w:drawing>
      </w:r>
    </w:p>
    <w:p w14:paraId="64EE28AA" w14:textId="42BD8509" w:rsidR="00AB4699" w:rsidRDefault="00AB4699" w:rsidP="00AB4699">
      <w:pPr>
        <w:pStyle w:val="Caption"/>
        <w:jc w:val="center"/>
      </w:pPr>
      <w:bookmarkStart w:id="36" w:name="_Toc29171495"/>
      <w:r>
        <w:t xml:space="preserve">Figure </w:t>
      </w:r>
      <w:r>
        <w:fldChar w:fldCharType="begin"/>
      </w:r>
      <w:r>
        <w:instrText xml:space="preserve"> SEQ Figure \* ARABIC </w:instrText>
      </w:r>
      <w:r>
        <w:fldChar w:fldCharType="separate"/>
      </w:r>
      <w:r w:rsidR="003D5B51">
        <w:rPr>
          <w:noProof/>
        </w:rPr>
        <w:t>3</w:t>
      </w:r>
      <w:r>
        <w:fldChar w:fldCharType="end"/>
      </w:r>
      <w:r>
        <w:t>: Example section of table showing enthalpy values at varying temperatures</w:t>
      </w:r>
      <w:bookmarkEnd w:id="36"/>
    </w:p>
    <w:p w14:paraId="6D5740DF" w14:textId="23E5FB44" w:rsidR="001C32AC" w:rsidRDefault="000F7D6C" w:rsidP="000F7D6C">
      <w:pPr>
        <w:pStyle w:val="Heading4"/>
      </w:pPr>
      <w:bookmarkStart w:id="37" w:name="_Ref29143162"/>
      <w:r>
        <w:t>Individual Enthalpies</w:t>
      </w:r>
      <w:bookmarkEnd w:id="37"/>
    </w:p>
    <w:p w14:paraId="48E5296F" w14:textId="5B3A89BC" w:rsidR="000F7D6C" w:rsidRPr="000F7D6C" w:rsidRDefault="000F7D6C" w:rsidP="000F7D6C">
      <w:r>
        <w:t>Each enthalpy value</w:t>
      </w:r>
      <w:r w:rsidR="00F67BB4">
        <w:rPr>
          <w:rStyle w:val="FootnoteReference"/>
        </w:rPr>
        <w:footnoteReference w:id="10"/>
      </w:r>
      <w:r>
        <w:t xml:space="preserve"> for each individual component found during the polynomial interpolation then is multiplied by the number of each individual component seen in the combusted products to provide a total enthalpy value for that component, for example here is the Individual Enthalpy calculation</w:t>
      </w:r>
      <w:r w:rsidR="002710D9">
        <w:t xml:space="preserve"> taken from the Excel workboo</w:t>
      </w:r>
      <w:r w:rsidR="00805D5E">
        <w:t>k</w:t>
      </w:r>
      <w:r>
        <w:t xml:space="preserve"> for CO</w:t>
      </w:r>
      <w:r>
        <w:rPr>
          <w:vertAlign w:val="subscript"/>
        </w:rPr>
        <w:t>2</w:t>
      </w:r>
      <w:r>
        <w:t xml:space="preserve"> at </w:t>
      </w:r>
      <w:r>
        <w:rPr>
          <w:rFonts w:ascii="Calibri" w:hAnsi="Calibri" w:cs="Calibri"/>
        </w:rPr>
        <w:t>φ</w:t>
      </w:r>
      <w:r w:rsidR="002710D9">
        <w:t>1.00</w:t>
      </w:r>
      <w:r>
        <w:t>:</w:t>
      </w:r>
    </w:p>
    <w:p w14:paraId="4796CAFF" w14:textId="64886340" w:rsidR="000F7D6C" w:rsidRPr="000F7D6C" w:rsidRDefault="000F7D6C" w:rsidP="000F7D6C">
      <m:oMathPara>
        <m:oMath>
          <m:r>
            <w:rPr>
              <w:rFonts w:ascii="Cambria Math" w:hAnsi="Cambria Math"/>
            </w:rPr>
            <m:t>Polynomial</m:t>
          </m:r>
          <m:r>
            <w:rPr>
              <w:rFonts w:ascii="Cambria Math" w:hAnsi="Cambria Math"/>
            </w:rPr>
            <m:t>ly</m:t>
          </m:r>
          <m:r>
            <w:rPr>
              <w:rFonts w:ascii="Cambria Math" w:hAnsi="Cambria Math"/>
            </w:rPr>
            <m:t xml:space="preserve"> </m:t>
          </m:r>
          <m:r>
            <w:rPr>
              <w:rFonts w:ascii="Cambria Math" w:hAnsi="Cambria Math"/>
            </w:rPr>
            <m:t>i</m:t>
          </m:r>
          <m:r>
            <w:rPr>
              <w:rFonts w:ascii="Cambria Math" w:hAnsi="Cambria Math"/>
            </w:rPr>
            <m:t>nterpolated</m:t>
          </m:r>
          <m:r>
            <w:rPr>
              <w:rFonts w:ascii="Cambria Math" w:hAnsi="Cambria Math"/>
            </w:rPr>
            <m:t xml:space="preserve"> enthalpy</m:t>
          </m:r>
          <m:r>
            <w:rPr>
              <w:rFonts w:ascii="Cambria Math" w:hAnsi="Cambria Math"/>
            </w:rPr>
            <m:t xml:space="preserve"> </m:t>
          </m:r>
          <m:r>
            <w:rPr>
              <w:rFonts w:ascii="Cambria Math" w:hAnsi="Cambria Math"/>
            </w:rPr>
            <m:t>v</m:t>
          </m:r>
          <m:r>
            <w:rPr>
              <w:rFonts w:ascii="Cambria Math" w:hAnsi="Cambria Math"/>
            </w:rPr>
            <m:t>alue</m:t>
          </m:r>
          <m:r>
            <w:rPr>
              <w:rFonts w:ascii="Cambria Math" w:hAnsi="Cambria Math"/>
            </w:rPr>
            <m:t xml:space="preserve"> of 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at specific flame temperature</m:t>
          </m:r>
          <m:r>
            <w:rPr>
              <w:rFonts w:ascii="Cambria Math" w:hAnsi="Cambria Math"/>
            </w:rPr>
            <m:t xml:space="preserve"> </m:t>
          </m:r>
          <m:r>
            <w:rPr>
              <w:rFonts w:ascii="Cambria Math" w:hAnsi="Cambria Math" w:cs="Calibri"/>
            </w:rPr>
            <m:t>×</m:t>
          </m:r>
          <m:r>
            <w:rPr>
              <w:rFonts w:ascii="Cambria Math" w:hAnsi="Cambria Math" w:cs="Calibri"/>
            </w:rPr>
            <m:t>Parts</m:t>
          </m:r>
          <m:r>
            <w:rPr>
              <w:rFonts w:ascii="Cambria Math" w:hAnsi="Cambria Math" w:cs="Calibri"/>
            </w:rPr>
            <m:t xml:space="preserve"> of C</m:t>
          </m:r>
          <m:sSub>
            <m:sSubPr>
              <m:ctrlPr>
                <w:rPr>
                  <w:rFonts w:ascii="Cambria Math" w:hAnsi="Cambria Math" w:cs="Calibri"/>
                  <w:i/>
                </w:rPr>
              </m:ctrlPr>
            </m:sSubPr>
            <m:e>
              <m:r>
                <w:rPr>
                  <w:rFonts w:ascii="Cambria Math" w:hAnsi="Cambria Math" w:cs="Calibri"/>
                </w:rPr>
                <m:t>O</m:t>
              </m:r>
            </m:e>
            <m:sub>
              <m:r>
                <w:rPr>
                  <w:rFonts w:ascii="Cambria Math" w:hAnsi="Cambria Math" w:cs="Calibri"/>
                </w:rPr>
                <m:t>2</m:t>
              </m:r>
            </m:sub>
          </m:sSub>
          <m:r>
            <w:rPr>
              <w:rFonts w:ascii="Cambria Math" w:hAnsi="Cambria Math" w:cs="Calibri"/>
            </w:rPr>
            <m:t xml:space="preserve"> seen in combusted products=Total Individual Enthalpy of C</m:t>
          </m:r>
          <m:sSub>
            <m:sSubPr>
              <m:ctrlPr>
                <w:rPr>
                  <w:rFonts w:ascii="Cambria Math" w:hAnsi="Cambria Math" w:cs="Calibri"/>
                  <w:i/>
                </w:rPr>
              </m:ctrlPr>
            </m:sSubPr>
            <m:e>
              <m:r>
                <w:rPr>
                  <w:rFonts w:ascii="Cambria Math" w:hAnsi="Cambria Math" w:cs="Calibri"/>
                </w:rPr>
                <m:t>O</m:t>
              </m:r>
            </m:e>
            <m:sub>
              <m:r>
                <w:rPr>
                  <w:rFonts w:ascii="Cambria Math" w:hAnsi="Cambria Math" w:cs="Calibri"/>
                </w:rPr>
                <m:t>2</m:t>
              </m:r>
            </m:sub>
          </m:sSub>
          <m:r>
            <w:rPr>
              <w:rFonts w:ascii="Cambria Math" w:hAnsi="Cambria Math" w:cs="Calibri"/>
            </w:rPr>
            <m:t xml:space="preserve"> in combusted products</m:t>
          </m:r>
          <m:r>
            <w:rPr>
              <w:rFonts w:ascii="Cambria Math" w:hAnsi="Cambria Math"/>
            </w:rPr>
            <m:t xml:space="preserve"> </m:t>
          </m:r>
        </m:oMath>
      </m:oMathPara>
    </w:p>
    <w:p w14:paraId="2587DFF8" w14:textId="038FDD05" w:rsidR="001C32AC" w:rsidRPr="001C32AC" w:rsidRDefault="00443626" w:rsidP="001C32AC">
      <m:oMathPara>
        <m:oMath>
          <m:r>
            <w:rPr>
              <w:rFonts w:ascii="Cambria Math" w:hAnsi="Cambria Math"/>
            </w:rPr>
            <m:t>115.175</m:t>
          </m:r>
          <m:r>
            <w:rPr>
              <w:rFonts w:ascii="Cambria Math" w:hAnsi="Cambria Math"/>
            </w:rPr>
            <m:t>247</m:t>
          </m:r>
          <m:r>
            <w:rPr>
              <w:rFonts w:ascii="Cambria Math" w:hAnsi="Cambria Math"/>
            </w:rPr>
            <m:t>MJ @2390.303K ×8</m:t>
          </m:r>
          <m:r>
            <w:rPr>
              <w:rFonts w:ascii="Cambria Math" w:hAnsi="Cambria Math"/>
            </w:rPr>
            <m:t>.00</m:t>
          </m:r>
          <m:r>
            <w:rPr>
              <w:rFonts w:ascii="Cambria Math" w:hAnsi="Cambria Math"/>
            </w:rPr>
            <m:t>=921.402MJ</m:t>
          </m:r>
        </m:oMath>
      </m:oMathPara>
    </w:p>
    <w:p w14:paraId="5A1FE505" w14:textId="00D20FDF" w:rsidR="007A50BC" w:rsidRDefault="00443626" w:rsidP="00443626">
      <w:pPr>
        <w:pStyle w:val="Heading4"/>
        <w:rPr>
          <w:rFonts w:eastAsiaTheme="minorEastAsia"/>
        </w:rPr>
      </w:pPr>
      <w:r>
        <w:rPr>
          <w:rFonts w:eastAsiaTheme="minorEastAsia"/>
        </w:rPr>
        <w:t>Net Enthalpy</w:t>
      </w:r>
    </w:p>
    <w:p w14:paraId="53F93CEF" w14:textId="2C25D24F" w:rsidR="00443626" w:rsidRDefault="00443626" w:rsidP="00443626">
      <w:r>
        <w:t>The Net Enthalpy value is then simply the sum of all the Individual Enthalpies seen in the prior section (</w:t>
      </w:r>
      <w:r>
        <w:fldChar w:fldCharType="begin"/>
      </w:r>
      <w:r>
        <w:instrText xml:space="preserve"> REF _Ref29143162 \r \h </w:instrText>
      </w:r>
      <w:r>
        <w:fldChar w:fldCharType="separate"/>
      </w:r>
      <w:r>
        <w:t>2.2.2.3</w:t>
      </w:r>
      <w:r>
        <w:fldChar w:fldCharType="end"/>
      </w:r>
      <w:r>
        <w:t>), again, f</w:t>
      </w:r>
      <w:r w:rsidR="002710D9">
        <w:t xml:space="preserve">rom the Excel workbook at </w:t>
      </w:r>
      <w:r w:rsidR="002710D9">
        <w:rPr>
          <w:rFonts w:ascii="Calibri" w:hAnsi="Calibri" w:cs="Calibri"/>
        </w:rPr>
        <w:t>φ</w:t>
      </w:r>
      <w:r w:rsidR="002710D9">
        <w:t>1.00</w:t>
      </w:r>
      <w:r>
        <w:t>:</w:t>
      </w:r>
    </w:p>
    <w:p w14:paraId="1021A305" w14:textId="77777777" w:rsidR="002710D9" w:rsidRPr="002710D9" w:rsidRDefault="00443626" w:rsidP="00443626">
      <w:pPr>
        <w:rPr>
          <w:rFonts w:eastAsiaTheme="minorEastAsia"/>
        </w:rPr>
      </w:pPr>
      <m:oMathPara>
        <m:oMath>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 xml:space="preserve">=Net Enthalpy </m:t>
          </m:r>
        </m:oMath>
      </m:oMathPara>
    </w:p>
    <w:p w14:paraId="15B7953D" w14:textId="7F042C7B" w:rsidR="00443626" w:rsidRPr="002710D9" w:rsidRDefault="002710D9" w:rsidP="002710D9">
      <w:pPr>
        <w:jc w:val="center"/>
        <w:rPr>
          <w:rFonts w:eastAsiaTheme="minorEastAsia"/>
        </w:rPr>
      </w:pPr>
      <m:oMathPara>
        <m:oMath>
          <m:r>
            <w:rPr>
              <w:rFonts w:ascii="Cambria Math" w:hAnsi="Cambria Math"/>
            </w:rPr>
            <m:t>921.402+838.918+0+3304.681=5065MJ</m:t>
          </m:r>
        </m:oMath>
      </m:oMathPara>
    </w:p>
    <w:p w14:paraId="7E7F8383" w14:textId="77777777" w:rsidR="00443626" w:rsidRDefault="00443626" w:rsidP="00443626"/>
    <w:p w14:paraId="7062CB0D" w14:textId="413C0005" w:rsidR="00443626" w:rsidRDefault="000002A7" w:rsidP="000002A7">
      <w:pPr>
        <w:pStyle w:val="Heading4"/>
      </w:pPr>
      <w:r>
        <w:lastRenderedPageBreak/>
        <w:t>What-if analysis (Goal Seek)</w:t>
      </w:r>
    </w:p>
    <w:p w14:paraId="421A8363" w14:textId="2152568C" w:rsidR="005A659B" w:rsidRDefault="005A659B" w:rsidP="005A659B">
      <w:r>
        <w:t>This final step in the calculation of net enthalpy via flame temperatures is the key to correcting all other previous steps and giving workable data for the calculation of NOx further in the model.</w:t>
      </w:r>
    </w:p>
    <w:p w14:paraId="4D1AB0DA" w14:textId="1EC1DB8C" w:rsidR="005A659B" w:rsidRDefault="005A659B" w:rsidP="005A659B">
      <w:r w:rsidRPr="005A659B">
        <w:rPr>
          <w:noProof/>
        </w:rPr>
        <mc:AlternateContent>
          <mc:Choice Requires="wps">
            <w:drawing>
              <wp:anchor distT="0" distB="0" distL="114300" distR="114300" simplePos="0" relativeHeight="251667456" behindDoc="0" locked="0" layoutInCell="1" allowOverlap="1" wp14:anchorId="010C04F7" wp14:editId="48E1E0D3">
                <wp:simplePos x="0" y="0"/>
                <wp:positionH relativeFrom="margin">
                  <wp:align>left</wp:align>
                </wp:positionH>
                <wp:positionV relativeFrom="paragraph">
                  <wp:posOffset>9525</wp:posOffset>
                </wp:positionV>
                <wp:extent cx="3657600" cy="1914525"/>
                <wp:effectExtent l="0" t="0" r="19050" b="28575"/>
                <wp:wrapSquare wrapText="bothSides"/>
                <wp:docPr id="7" name="Text Box 7"/>
                <wp:cNvGraphicFramePr/>
                <a:graphic xmlns:a="http://schemas.openxmlformats.org/drawingml/2006/main">
                  <a:graphicData uri="http://schemas.microsoft.com/office/word/2010/wordprocessingShape">
                    <wps:wsp>
                      <wps:cNvSpPr txBox="1"/>
                      <wps:spPr>
                        <a:xfrm>
                          <a:off x="0" y="0"/>
                          <a:ext cx="3657600" cy="1914525"/>
                        </a:xfrm>
                        <a:prstGeom prst="round2DiagRect">
                          <a:avLst>
                            <a:gd name="adj1" fmla="val 23919"/>
                            <a:gd name="adj2" fmla="val 0"/>
                          </a:avLst>
                        </a:prstGeom>
                        <a:solidFill>
                          <a:sysClr val="window" lastClr="FFFFFF"/>
                        </a:solidFill>
                        <a:ln w="6350">
                          <a:solidFill>
                            <a:prstClr val="black"/>
                          </a:solidFill>
                        </a:ln>
                      </wps:spPr>
                      <wps:txbx>
                        <w:txbxContent>
                          <w:p w14:paraId="5ECEF51D" w14:textId="5082670D" w:rsidR="00F67BB4" w:rsidRPr="00B3613F" w:rsidRDefault="00F67BB4" w:rsidP="005A659B">
                            <w:pPr>
                              <w:pStyle w:val="Heading3"/>
                              <w:numPr>
                                <w:ilvl w:val="0"/>
                                <w:numId w:val="0"/>
                              </w:numPr>
                              <w:ind w:left="720" w:hanging="720"/>
                              <w:rPr>
                                <w:sz w:val="20"/>
                                <w:szCs w:val="20"/>
                              </w:rPr>
                            </w:pPr>
                            <w:bookmarkStart w:id="38" w:name="_Toc29171472"/>
                            <w:r w:rsidRPr="00B3613F">
                              <w:rPr>
                                <w:sz w:val="20"/>
                                <w:szCs w:val="20"/>
                              </w:rPr>
                              <w:t>A Brief Explanation of</w:t>
                            </w:r>
                            <w:r>
                              <w:rPr>
                                <w:sz w:val="20"/>
                                <w:szCs w:val="20"/>
                              </w:rPr>
                              <w:t xml:space="preserve"> Excels Goal Seek Function</w:t>
                            </w:r>
                            <w:bookmarkEnd w:id="38"/>
                          </w:p>
                          <w:p w14:paraId="050E9113" w14:textId="0C264106" w:rsidR="00F67BB4" w:rsidRDefault="00F67BB4" w:rsidP="005A659B">
                            <w:r>
                              <w:t>The “Goal Seek” function uses a what-if style analysis to set a value of a cell to a specified value by changing a cell that drives the calculation of the original cell. So, in the case of the calculations found here the function changes the “Net Enthalpy” to the value of “Ideal Enthalpy” by changing “Flame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C04F7" id="Text Box 7" o:spid="_x0000_s1030" style="position:absolute;margin-left:0;margin-top:.75pt;width:4in;height:150.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657600,1914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" adj="-11796480,,5400" path="m457935,l3657600,r,l3657600,1456590v,252911,-205024,457935,-457935,457935l,1914525r,l,457935c,205024,205024,,457935,xe" fillcolor="window" strokeweight=".5pt">
                <v:stroke joinstyle="miter"/>
                <v:formulas/>
                <v:path arrowok="t" o:connecttype="custom" o:connectlocs="457935,0;3657600,0;3657600,0;3657600,1456590;3199665,1914525;0,1914525;0,1914525;0,457935;457935,0" o:connectangles="0,0,0,0,0,0,0,0,0" textboxrect="0,0,3657600,1914525"/>
                <v:textbox>
                  <w:txbxContent>
                    <w:p w14:paraId="5ECEF51D" w14:textId="5082670D" w:rsidR="00F67BB4" w:rsidRPr="00B3613F" w:rsidRDefault="00F67BB4" w:rsidP="005A659B">
                      <w:pPr>
                        <w:pStyle w:val="Heading3"/>
                        <w:numPr>
                          <w:ilvl w:val="0"/>
                          <w:numId w:val="0"/>
                        </w:numPr>
                        <w:ind w:left="720" w:hanging="720"/>
                        <w:rPr>
                          <w:sz w:val="20"/>
                          <w:szCs w:val="20"/>
                        </w:rPr>
                      </w:pPr>
                      <w:bookmarkStart w:id="39" w:name="_Toc29171472"/>
                      <w:r w:rsidRPr="00B3613F">
                        <w:rPr>
                          <w:sz w:val="20"/>
                          <w:szCs w:val="20"/>
                        </w:rPr>
                        <w:t>A Brief Explanation of</w:t>
                      </w:r>
                      <w:r>
                        <w:rPr>
                          <w:sz w:val="20"/>
                          <w:szCs w:val="20"/>
                        </w:rPr>
                        <w:t xml:space="preserve"> Excels Goal Seek Function</w:t>
                      </w:r>
                      <w:bookmarkEnd w:id="39"/>
                    </w:p>
                    <w:p w14:paraId="050E9113" w14:textId="0C264106" w:rsidR="00F67BB4" w:rsidRDefault="00F67BB4" w:rsidP="005A659B">
                      <w:r>
                        <w:t>The “Goal Seek” function uses a what-if style analysis to set a value of a cell to a specified value by changing a cell that drives the calculation of the original cell. So, in the case of the calculations found here the function changes the “Net Enthalpy” to the value of “Ideal Enthalpy” by changing “Flame Temperature”.</w:t>
                      </w:r>
                    </w:p>
                  </w:txbxContent>
                </v:textbox>
                <w10:wrap type="square" anchorx="margin"/>
              </v:shape>
            </w:pict>
          </mc:Fallback>
        </mc:AlternateContent>
      </w:r>
      <w:r>
        <w:t xml:space="preserve">Due, to the nature of Excels Goal Seek function the value that is to be </w:t>
      </w:r>
      <w:r w:rsidR="00762B0A">
        <w:t>the goal has to be input manually</w:t>
      </w:r>
      <w:r w:rsidR="00D53790">
        <w:t>, due to this it can be a very laborious process to “seek” large ranges of data using this tool, to this end a “Macro” was used to modify the base VBA code of the Goal Seek function to allow for larger ranges of data to be selected to speed up the process of correcting the flame temperatures thus the Individual Enthalpies/Net Enthalpy needed for further calculations in the model.</w:t>
      </w:r>
    </w:p>
    <w:p w14:paraId="5142CAB5" w14:textId="77777777" w:rsidR="00D53790" w:rsidRDefault="00D53790" w:rsidP="00D53790">
      <w:pPr>
        <w:keepNext/>
        <w:jc w:val="center"/>
      </w:pPr>
      <w:r w:rsidRPr="00D53790">
        <w:drawing>
          <wp:inline distT="0" distB="0" distL="0" distR="0" wp14:anchorId="4BF69901" wp14:editId="070C30D4">
            <wp:extent cx="4667250" cy="2627332"/>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74930" cy="2631656"/>
                    </a:xfrm>
                    <a:prstGeom prst="rect">
                      <a:avLst/>
                    </a:prstGeom>
                  </pic:spPr>
                </pic:pic>
              </a:graphicData>
            </a:graphic>
          </wp:inline>
        </w:drawing>
      </w:r>
    </w:p>
    <w:p w14:paraId="0E104A3A" w14:textId="5C77D9BB" w:rsidR="00D53790" w:rsidRDefault="00D53790" w:rsidP="00D53790">
      <w:pPr>
        <w:pStyle w:val="Caption"/>
        <w:jc w:val="center"/>
      </w:pPr>
      <w:bookmarkStart w:id="40" w:name="_Toc29171496"/>
      <w:r>
        <w:t xml:space="preserve">Figure </w:t>
      </w:r>
      <w:r>
        <w:fldChar w:fldCharType="begin"/>
      </w:r>
      <w:r>
        <w:instrText xml:space="preserve"> SEQ Figure \* ARABIC </w:instrText>
      </w:r>
      <w:r>
        <w:fldChar w:fldCharType="separate"/>
      </w:r>
      <w:r w:rsidR="003D5B51">
        <w:rPr>
          <w:noProof/>
        </w:rPr>
        <w:t>4</w:t>
      </w:r>
      <w:r>
        <w:fldChar w:fldCharType="end"/>
      </w:r>
      <w:r>
        <w:t>: VBA code used to modify the Goal Seek function to accommodate faster processing of data through the Fuel Equivalence Ratio range</w:t>
      </w:r>
      <w:bookmarkEnd w:id="40"/>
    </w:p>
    <w:p w14:paraId="4A4AEB2A" w14:textId="4AC3E6A1" w:rsidR="005A659B" w:rsidRDefault="00114217" w:rsidP="005A659B">
      <w:r>
        <w:t xml:space="preserve">Essentially, what this code does is changes the need to input the value into the Goal Seek function tool and, if the correct format is followed, simply pressing [Ctrl] and the [q] key will carry out the what-if analysis for all of the values through the fuel equivalence range. </w:t>
      </w:r>
    </w:p>
    <w:p w14:paraId="58738C13" w14:textId="63D189B8" w:rsidR="00114217" w:rsidRDefault="00114217" w:rsidP="005A659B"/>
    <w:p w14:paraId="789D495B" w14:textId="45142F61" w:rsidR="00114217" w:rsidRDefault="00114217" w:rsidP="005A659B"/>
    <w:p w14:paraId="326A77E0" w14:textId="3985ABD6" w:rsidR="00114217" w:rsidRDefault="00114217" w:rsidP="005A659B"/>
    <w:p w14:paraId="581DF3F4" w14:textId="1024AEDC" w:rsidR="00114217" w:rsidRDefault="00114217" w:rsidP="005A659B"/>
    <w:p w14:paraId="6A54F1E1" w14:textId="57D03B46" w:rsidR="00114217" w:rsidRDefault="00114217" w:rsidP="005A659B"/>
    <w:p w14:paraId="6A7ED3E7" w14:textId="1629772D" w:rsidR="00114217" w:rsidRDefault="00114217" w:rsidP="00114217">
      <w:pPr>
        <w:pStyle w:val="Heading3"/>
        <w:rPr>
          <w:vertAlign w:val="subscript"/>
        </w:rPr>
      </w:pPr>
      <w:bookmarkStart w:id="41" w:name="_Toc29171473"/>
      <w:r>
        <w:lastRenderedPageBreak/>
        <w:t>Concentrations of O</w:t>
      </w:r>
      <w:r>
        <w:rPr>
          <w:vertAlign w:val="subscript"/>
        </w:rPr>
        <w:t xml:space="preserve">2 </w:t>
      </w:r>
      <w:r>
        <w:t>and N</w:t>
      </w:r>
      <w:r>
        <w:rPr>
          <w:vertAlign w:val="subscript"/>
        </w:rPr>
        <w:t>2</w:t>
      </w:r>
      <w:bookmarkEnd w:id="41"/>
    </w:p>
    <w:p w14:paraId="60227504" w14:textId="3679EE1D" w:rsidR="00E87DD0" w:rsidRDefault="004B5A19" w:rsidP="00114217">
      <w:pPr>
        <w:rPr>
          <w:rFonts w:cs="Arial"/>
        </w:rPr>
      </w:pPr>
      <w:r>
        <w:t>To calculate the overall NOx produced the concentrations of O</w:t>
      </w:r>
      <w:r>
        <w:rPr>
          <w:vertAlign w:val="subscript"/>
        </w:rPr>
        <w:t xml:space="preserve">2 </w:t>
      </w:r>
      <w:r>
        <w:t>and N</w:t>
      </w:r>
      <w:r>
        <w:rPr>
          <w:vertAlign w:val="subscript"/>
        </w:rPr>
        <w:t>2</w:t>
      </w:r>
      <w:r>
        <w:t xml:space="preserve"> must first be known. To find these values the starting point is to find the overall amount of substance involved in the reaction this value is known as the alpha value (</w:t>
      </w:r>
      <w:r w:rsidRPr="004B5A19">
        <w:rPr>
          <w:rFonts w:cs="Arial"/>
        </w:rPr>
        <w:t>α</w:t>
      </w:r>
      <w:r>
        <w:rPr>
          <w:rFonts w:cs="Arial"/>
        </w:rPr>
        <w:t xml:space="preserve">), this value represents the number of kilo-moles in the mixture. </w:t>
      </w:r>
      <w:r w:rsidR="00E87DD0">
        <w:rPr>
          <w:rFonts w:cs="Arial"/>
        </w:rPr>
        <w:t>To calculate this value the following equation must be used</w:t>
      </w:r>
      <w:r w:rsidR="0040588C">
        <w:rPr>
          <w:rFonts w:cs="Arial"/>
        </w:rPr>
        <w:t>:</w:t>
      </w:r>
    </w:p>
    <w:p w14:paraId="7EB0969D" w14:textId="7A7A834E" w:rsidR="0040588C" w:rsidRDefault="0040588C" w:rsidP="0040588C">
      <w:pPr>
        <w:pStyle w:val="Heading4"/>
      </w:pPr>
      <w:r>
        <w:t>Swallowing Capacity</w:t>
      </w:r>
    </w:p>
    <w:p w14:paraId="0C2888BC" w14:textId="030A813D" w:rsidR="0040588C" w:rsidRDefault="0040588C" w:rsidP="00114217">
      <w:pPr>
        <w:rPr>
          <w:rFonts w:cs="Arial"/>
        </w:rPr>
      </w:pPr>
      <w:proofErr w:type="gramStart"/>
      <w:r>
        <w:rPr>
          <w:rFonts w:cs="Arial"/>
        </w:rPr>
        <w:t>Firstly</w:t>
      </w:r>
      <w:proofErr w:type="gramEnd"/>
      <w:r>
        <w:rPr>
          <w:rFonts w:cs="Arial"/>
        </w:rPr>
        <w:t xml:space="preserve"> the total amount swallowed by each intake</w:t>
      </w:r>
      <w:r w:rsidR="00F67BB4">
        <w:rPr>
          <w:rFonts w:cs="Arial"/>
        </w:rPr>
        <w:t xml:space="preserve"> (</w:t>
      </w:r>
      <w:proofErr w:type="spellStart"/>
      <w:r w:rsidR="00F67BB4">
        <w:rPr>
          <w:rFonts w:cs="Arial"/>
        </w:rPr>
        <w:t>kmol</w:t>
      </w:r>
      <w:proofErr w:type="spellEnd"/>
      <w:r w:rsidR="00F67BB4">
        <w:rPr>
          <w:rFonts w:cs="Arial"/>
        </w:rPr>
        <w:t>)</w:t>
      </w:r>
      <w:r>
        <w:rPr>
          <w:rFonts w:cs="Arial"/>
        </w:rPr>
        <w:t>, denoted as “n” must be found and can be described by the Ideal Gas Equation:</w:t>
      </w:r>
    </w:p>
    <w:p w14:paraId="1FA6AA6B" w14:textId="6C2AA5E4" w:rsidR="0040588C" w:rsidRPr="0040588C" w:rsidRDefault="0040588C" w:rsidP="00114217">
      <w:pPr>
        <w:rPr>
          <w:rFonts w:eastAsiaTheme="minorEastAsia" w:cs="Arial"/>
        </w:rPr>
      </w:pPr>
      <m:oMathPara>
        <m:oMath>
          <m:r>
            <w:rPr>
              <w:rFonts w:ascii="Cambria Math" w:hAnsi="Cambria Math" w:cs="Arial"/>
            </w:rPr>
            <m:t>n=</m:t>
          </m:r>
          <m:f>
            <m:fPr>
              <m:ctrlPr>
                <w:rPr>
                  <w:rFonts w:ascii="Cambria Math" w:hAnsi="Cambria Math" w:cs="Arial"/>
                  <w:i/>
                </w:rPr>
              </m:ctrlPr>
            </m:fPr>
            <m:num>
              <m:r>
                <w:rPr>
                  <w:rFonts w:ascii="Cambria Math" w:hAnsi="Cambria Math" w:cs="Arial"/>
                </w:rPr>
                <m:t>PV</m:t>
              </m:r>
            </m:num>
            <m:den>
              <m:r>
                <w:rPr>
                  <w:rFonts w:ascii="Cambria Math" w:hAnsi="Cambria Math" w:cs="Arial"/>
                </w:rPr>
                <m:t>RT</m:t>
              </m:r>
            </m:den>
          </m:f>
        </m:oMath>
      </m:oMathPara>
    </w:p>
    <w:p w14:paraId="19F63EC0" w14:textId="61BA552C" w:rsidR="0040588C" w:rsidRPr="0040588C" w:rsidRDefault="0040588C" w:rsidP="00114217">
      <w:pPr>
        <w:rPr>
          <w:rFonts w:eastAsiaTheme="minorEastAsia" w:cs="Arial"/>
        </w:rPr>
      </w:pPr>
      <m:oMathPara>
        <m:oMath>
          <m:r>
            <w:rPr>
              <w:rFonts w:ascii="Cambria Math" w:eastAsiaTheme="minorEastAsia" w:hAnsi="Cambria Math" w:cs="Arial"/>
            </w:rPr>
            <m:t>P=Ambient Pressure</m:t>
          </m:r>
          <m:r>
            <w:rPr>
              <w:rFonts w:ascii="Cambria Math" w:eastAsiaTheme="minorEastAsia" w:hAnsi="Cambria Math" w:cs="Arial"/>
            </w:rPr>
            <m:t xml:space="preserve"> in Pascals</m:t>
          </m:r>
          <m:r>
            <w:rPr>
              <w:rFonts w:ascii="Cambria Math" w:eastAsiaTheme="minorEastAsia" w:hAnsi="Cambria Math" w:cs="Arial"/>
            </w:rPr>
            <m:t xml:space="preserve">   </m:t>
          </m:r>
        </m:oMath>
      </m:oMathPara>
    </w:p>
    <w:p w14:paraId="3B2B06E7" w14:textId="741B6D3C" w:rsidR="0040588C" w:rsidRDefault="0040588C" w:rsidP="00114217">
      <w:pPr>
        <w:rPr>
          <w:rFonts w:eastAsiaTheme="minorEastAsia" w:cs="Arial"/>
        </w:rPr>
      </w:pPr>
      <m:oMath>
        <m:r>
          <w:rPr>
            <w:rFonts w:ascii="Cambria Math" w:eastAsiaTheme="minorEastAsia" w:hAnsi="Cambria Math" w:cs="Arial"/>
          </w:rPr>
          <m:t xml:space="preserve">  V=Volume of combustion area</m:t>
        </m:r>
        <m:r>
          <w:rPr>
            <w:rFonts w:ascii="Cambria Math" w:eastAsiaTheme="minorEastAsia" w:hAnsi="Cambria Math" w:cs="Arial"/>
          </w:rPr>
          <m:t xml:space="preserve"> </m:t>
        </m:r>
        <m:d>
          <m:dPr>
            <m:ctrlPr>
              <w:rPr>
                <w:rFonts w:ascii="Cambria Math" w:eastAsiaTheme="minorEastAsia" w:hAnsi="Cambria Math" w:cs="Arial"/>
                <w:i/>
              </w:rPr>
            </m:ctrlPr>
          </m:dPr>
          <m:e>
            <m:r>
              <w:rPr>
                <w:rFonts w:ascii="Cambria Math" w:eastAsiaTheme="minorEastAsia" w:hAnsi="Cambria Math" w:cs="Arial"/>
              </w:rPr>
              <m:t xml:space="preserve">Clearance or Head Volume </m:t>
            </m:r>
            <m:r>
              <w:rPr>
                <w:rFonts w:ascii="Cambria Math" w:eastAsiaTheme="minorEastAsia" w:hAnsi="Cambria Math" w:cs="Calibri"/>
              </w:rPr>
              <m:t>×</m:t>
            </m:r>
            <m:r>
              <w:rPr>
                <w:rFonts w:ascii="Cambria Math" w:eastAsiaTheme="minorEastAsia" w:hAnsi="Cambria Math" w:cs="Arial"/>
              </w:rPr>
              <m:t>Volumetric efficieny of the motor</m:t>
            </m:r>
          </m:e>
        </m:d>
        <m:r>
          <w:rPr>
            <w:rFonts w:ascii="Cambria Math" w:eastAsiaTheme="minorEastAsia" w:hAnsi="Cambria Math" w:cs="Arial"/>
          </w:rPr>
          <m:t xml:space="preserve"> in cubic centimeters</m:t>
        </m:r>
      </m:oMath>
      <w:r>
        <w:rPr>
          <w:rFonts w:eastAsiaTheme="minorEastAsia" w:cs="Arial"/>
        </w:rPr>
        <w:t xml:space="preserve"> </w:t>
      </w:r>
    </w:p>
    <w:p w14:paraId="15B41225" w14:textId="46483DE3" w:rsidR="0040588C" w:rsidRPr="00A726E0" w:rsidRDefault="0040588C" w:rsidP="00114217">
      <w:pPr>
        <w:rPr>
          <w:rFonts w:eastAsiaTheme="minorEastAsia" w:cs="Arial"/>
        </w:rPr>
      </w:pPr>
      <m:oMathPara>
        <m:oMath>
          <m:r>
            <w:rPr>
              <w:rFonts w:ascii="Cambria Math" w:eastAsiaTheme="minorEastAsia" w:hAnsi="Cambria Math" w:cs="Arial"/>
            </w:rPr>
            <m:t xml:space="preserve">R=Universal Gas Constant </m:t>
          </m:r>
        </m:oMath>
      </m:oMathPara>
    </w:p>
    <w:p w14:paraId="5C7B02E2" w14:textId="4136BF7A" w:rsidR="00A726E0" w:rsidRPr="00A726E0" w:rsidRDefault="00A726E0" w:rsidP="00114217">
      <w:pPr>
        <w:rPr>
          <w:rFonts w:eastAsiaTheme="minorEastAsia" w:cs="Arial"/>
        </w:rPr>
      </w:pPr>
      <m:oMathPara>
        <m:oMath>
          <m:r>
            <w:rPr>
              <w:rFonts w:ascii="Cambria Math" w:eastAsiaTheme="minorEastAsia" w:hAnsi="Cambria Math" w:cs="Arial"/>
            </w:rPr>
            <m:t>T=Ambient Temperature</m:t>
          </m:r>
          <m:r>
            <w:rPr>
              <w:rFonts w:ascii="Cambria Math" w:eastAsiaTheme="minorEastAsia" w:hAnsi="Cambria Math" w:cs="Arial"/>
            </w:rPr>
            <m:t xml:space="preserve"> in Kelvin</m:t>
          </m:r>
        </m:oMath>
      </m:oMathPara>
    </w:p>
    <w:p w14:paraId="374550D1" w14:textId="39EBB597" w:rsidR="00A726E0" w:rsidRDefault="00A726E0" w:rsidP="00A726E0">
      <w:pPr>
        <w:pStyle w:val="Heading4"/>
        <w:rPr>
          <w:rFonts w:eastAsiaTheme="minorEastAsia"/>
        </w:rPr>
      </w:pPr>
      <w:r>
        <w:rPr>
          <w:rFonts w:eastAsiaTheme="minorEastAsia"/>
        </w:rPr>
        <w:t>Alpha Value (</w:t>
      </w:r>
      <w:r>
        <w:rPr>
          <w:rFonts w:ascii="Calibri" w:eastAsiaTheme="minorEastAsia" w:hAnsi="Calibri" w:cs="Calibri"/>
        </w:rPr>
        <w:t>α</w:t>
      </w:r>
      <w:r>
        <w:rPr>
          <w:rFonts w:eastAsiaTheme="minorEastAsia"/>
        </w:rPr>
        <w:t>)</w:t>
      </w:r>
    </w:p>
    <w:p w14:paraId="22A22F1C" w14:textId="2CA0848A" w:rsidR="00A726E0" w:rsidRDefault="00CC6132" w:rsidP="00A726E0">
      <w:r>
        <w:t>The “alpha” variable provides a multiplier that can ensure that the total number of kmols in the reaction remains balanced throughout the change in fuel equivalence ratio this is better explained by the equation shown below:</w:t>
      </w:r>
    </w:p>
    <w:p w14:paraId="25096F63" w14:textId="1B38E16D" w:rsidR="00CC6132" w:rsidRPr="00CC6132" w:rsidRDefault="00CC6132" w:rsidP="00A726E0">
      <w:pPr>
        <w:rPr>
          <w:rFonts w:eastAsiaTheme="minorEastAsia"/>
        </w:rPr>
      </w:pPr>
      <m:oMathPara>
        <m:oMath>
          <m:r>
            <w:rPr>
              <w:rFonts w:ascii="Cambria Math" w:hAnsi="Cambria Math"/>
            </w:rPr>
            <m:t>α(</m:t>
          </m:r>
          <m:r>
            <w:rPr>
              <w:rFonts w:ascii="Cambria Math" w:hAnsi="Cambria Math" w:cs="Calibri"/>
            </w:rPr>
            <m:t>φ</m:t>
          </m:r>
          <m:sSub>
            <m:sSubPr>
              <m:ctrlPr>
                <w:rPr>
                  <w:rFonts w:ascii="Cambria Math" w:hAnsi="Cambria Math" w:cs="Calibri"/>
                  <w:i/>
                </w:rPr>
              </m:ctrlPr>
            </m:sSubPr>
            <m:e>
              <m:r>
                <w:rPr>
                  <w:rFonts w:ascii="Cambria Math" w:hAnsi="Cambria Math" w:cs="Calibri"/>
                </w:rPr>
                <m:t>C</m:t>
              </m:r>
            </m:e>
            <m:sub>
              <m:r>
                <w:rPr>
                  <w:rFonts w:ascii="Cambria Math" w:hAnsi="Cambria Math" w:cs="Calibri"/>
                </w:rPr>
                <m:t>8</m:t>
              </m:r>
            </m:sub>
          </m:sSub>
          <m:sSub>
            <m:sSubPr>
              <m:ctrlPr>
                <w:rPr>
                  <w:rFonts w:ascii="Cambria Math" w:hAnsi="Cambria Math" w:cs="Calibri"/>
                  <w:i/>
                </w:rPr>
              </m:ctrlPr>
            </m:sSubPr>
            <m:e>
              <m:r>
                <w:rPr>
                  <w:rFonts w:ascii="Cambria Math" w:hAnsi="Cambria Math" w:cs="Calibri"/>
                </w:rPr>
                <m:t>H</m:t>
              </m:r>
            </m:e>
            <m:sub>
              <m:r>
                <w:rPr>
                  <w:rFonts w:ascii="Cambria Math" w:hAnsi="Cambria Math" w:cs="Calibri"/>
                </w:rPr>
                <m:t>18</m:t>
              </m:r>
            </m:sub>
          </m:sSub>
          <m:r>
            <w:rPr>
              <w:rFonts w:ascii="Cambria Math" w:hAnsi="Cambria Math" w:cs="Calibri"/>
            </w:rPr>
            <m:t>+12.5</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O</m:t>
                  </m:r>
                </m:e>
                <m:sub>
                  <m:r>
                    <w:rPr>
                      <w:rFonts w:ascii="Cambria Math" w:hAnsi="Cambria Math" w:cs="Calibri"/>
                    </w:rPr>
                    <m:t>2</m:t>
                  </m:r>
                </m:sub>
              </m:sSub>
              <m:r>
                <w:rPr>
                  <w:rFonts w:ascii="Cambria Math" w:hAnsi="Cambria Math" w:cs="Calibri"/>
                </w:rPr>
                <m:t>+3.76</m:t>
              </m:r>
              <m:sSub>
                <m:sSubPr>
                  <m:ctrlPr>
                    <w:rPr>
                      <w:rFonts w:ascii="Cambria Math" w:hAnsi="Cambria Math" w:cs="Calibri"/>
                      <w:i/>
                    </w:rPr>
                  </m:ctrlPr>
                </m:sSubPr>
                <m:e>
                  <m:r>
                    <w:rPr>
                      <w:rFonts w:ascii="Cambria Math" w:hAnsi="Cambria Math" w:cs="Calibri"/>
                    </w:rPr>
                    <m:t>N</m:t>
                  </m:r>
                </m:e>
                <m:sub>
                  <m:r>
                    <w:rPr>
                      <w:rFonts w:ascii="Cambria Math" w:hAnsi="Cambria Math" w:cs="Calibri"/>
                    </w:rPr>
                    <m:t>2</m:t>
                  </m:r>
                </m:sub>
              </m:sSub>
            </m:e>
          </m:d>
          <m:r>
            <w:rPr>
              <w:rFonts w:ascii="Cambria Math" w:hAnsi="Cambria Math" w:cs="Calibri"/>
            </w:rPr>
            <m:t>→α(</m:t>
          </m:r>
          <m:sSub>
            <m:sSubPr>
              <m:ctrlPr>
                <w:rPr>
                  <w:rFonts w:ascii="Cambria Math" w:hAnsi="Cambria Math" w:cs="Calibri"/>
                  <w:i/>
                </w:rPr>
              </m:ctrlPr>
            </m:sSubPr>
            <m:e>
              <m:r>
                <w:rPr>
                  <w:rFonts w:ascii="Cambria Math" w:hAnsi="Cambria Math" w:cs="Calibri"/>
                </w:rPr>
                <m:t>n</m:t>
              </m:r>
            </m:e>
            <m:sub>
              <m:r>
                <w:rPr>
                  <w:rFonts w:ascii="Cambria Math" w:hAnsi="Cambria Math" w:cs="Calibri"/>
                </w:rPr>
                <m:t>1</m:t>
              </m:r>
            </m:sub>
          </m:sSub>
          <m:r>
            <w:rPr>
              <w:rFonts w:ascii="Cambria Math" w:hAnsi="Cambria Math" w:cs="Calibri"/>
            </w:rPr>
            <m:t>C</m:t>
          </m:r>
          <m:sSub>
            <m:sSubPr>
              <m:ctrlPr>
                <w:rPr>
                  <w:rFonts w:ascii="Cambria Math" w:hAnsi="Cambria Math" w:cs="Calibri"/>
                  <w:i/>
                </w:rPr>
              </m:ctrlPr>
            </m:sSubPr>
            <m:e>
              <m:r>
                <w:rPr>
                  <w:rFonts w:ascii="Cambria Math" w:hAnsi="Cambria Math" w:cs="Calibri"/>
                </w:rPr>
                <m:t>O</m:t>
              </m:r>
            </m:e>
            <m:sub>
              <m:r>
                <w:rPr>
                  <w:rFonts w:ascii="Cambria Math" w:hAnsi="Cambria Math" w:cs="Calibri"/>
                </w:rPr>
                <m:t>2</m:t>
              </m:r>
            </m:sub>
          </m:sSub>
          <m:r>
            <w:rPr>
              <w:rFonts w:ascii="Cambria Math" w:hAnsi="Cambria Math" w:cs="Calibri"/>
            </w:rPr>
            <m:t>+</m:t>
          </m:r>
          <m:sSub>
            <m:sSubPr>
              <m:ctrlPr>
                <w:rPr>
                  <w:rFonts w:ascii="Cambria Math" w:hAnsi="Cambria Math" w:cs="Calibri"/>
                  <w:i/>
                </w:rPr>
              </m:ctrlPr>
            </m:sSubPr>
            <m:e>
              <m:r>
                <w:rPr>
                  <w:rFonts w:ascii="Cambria Math" w:hAnsi="Cambria Math" w:cs="Calibri"/>
                </w:rPr>
                <m:t>n</m:t>
              </m:r>
            </m:e>
            <m:sub>
              <m:r>
                <w:rPr>
                  <w:rFonts w:ascii="Cambria Math" w:hAnsi="Cambria Math" w:cs="Calibri"/>
                </w:rPr>
                <m:t>2</m:t>
              </m:r>
            </m:sub>
          </m:sSub>
          <m:r>
            <w:rPr>
              <w:rFonts w:ascii="Cambria Math" w:hAnsi="Cambria Math" w:cs="Calibri"/>
            </w:rPr>
            <m:t>CO+</m:t>
          </m:r>
          <m:sSub>
            <m:sSubPr>
              <m:ctrlPr>
                <w:rPr>
                  <w:rFonts w:ascii="Cambria Math" w:hAnsi="Cambria Math" w:cs="Calibri"/>
                  <w:i/>
                </w:rPr>
              </m:ctrlPr>
            </m:sSubPr>
            <m:e>
              <m:r>
                <w:rPr>
                  <w:rFonts w:ascii="Cambria Math" w:hAnsi="Cambria Math" w:cs="Calibri"/>
                </w:rPr>
                <m:t>n</m:t>
              </m:r>
            </m:e>
            <m:sub>
              <m:r>
                <w:rPr>
                  <w:rFonts w:ascii="Cambria Math" w:hAnsi="Cambria Math" w:cs="Calibri"/>
                </w:rPr>
                <m:t>3</m:t>
              </m:r>
            </m:sub>
          </m:sSub>
          <m:sSub>
            <m:sSubPr>
              <m:ctrlPr>
                <w:rPr>
                  <w:rFonts w:ascii="Cambria Math" w:hAnsi="Cambria Math" w:cs="Calibri"/>
                  <w:i/>
                </w:rPr>
              </m:ctrlPr>
            </m:sSubPr>
            <m:e>
              <m:r>
                <w:rPr>
                  <w:rFonts w:ascii="Cambria Math" w:hAnsi="Cambria Math" w:cs="Calibri"/>
                </w:rPr>
                <m:t>H</m:t>
              </m:r>
            </m:e>
            <m:sub>
              <m:r>
                <w:rPr>
                  <w:rFonts w:ascii="Cambria Math" w:hAnsi="Cambria Math" w:cs="Calibri"/>
                </w:rPr>
                <m:t>2</m:t>
              </m:r>
            </m:sub>
          </m:sSub>
          <m:r>
            <w:rPr>
              <w:rFonts w:ascii="Cambria Math" w:hAnsi="Cambria Math" w:cs="Calibri"/>
            </w:rPr>
            <m:t>O+</m:t>
          </m:r>
          <m:sSub>
            <m:sSubPr>
              <m:ctrlPr>
                <w:rPr>
                  <w:rFonts w:ascii="Cambria Math" w:hAnsi="Cambria Math" w:cs="Calibri"/>
                  <w:i/>
                </w:rPr>
              </m:ctrlPr>
            </m:sSubPr>
            <m:e>
              <m:r>
                <w:rPr>
                  <w:rFonts w:ascii="Cambria Math" w:hAnsi="Cambria Math" w:cs="Calibri"/>
                </w:rPr>
                <m:t>n</m:t>
              </m:r>
            </m:e>
            <m:sub>
              <m:r>
                <w:rPr>
                  <w:rFonts w:ascii="Cambria Math" w:hAnsi="Cambria Math" w:cs="Calibri"/>
                </w:rPr>
                <m:t>4</m:t>
              </m:r>
            </m:sub>
          </m:sSub>
          <m:sSub>
            <m:sSubPr>
              <m:ctrlPr>
                <w:rPr>
                  <w:rFonts w:ascii="Cambria Math" w:hAnsi="Cambria Math" w:cs="Calibri"/>
                  <w:i/>
                </w:rPr>
              </m:ctrlPr>
            </m:sSubPr>
            <m:e>
              <m:r>
                <w:rPr>
                  <w:rFonts w:ascii="Cambria Math" w:hAnsi="Cambria Math" w:cs="Calibri"/>
                </w:rPr>
                <m:t>N</m:t>
              </m:r>
            </m:e>
            <m:sub>
              <m:r>
                <w:rPr>
                  <w:rFonts w:ascii="Cambria Math" w:hAnsi="Cambria Math" w:cs="Calibri"/>
                </w:rPr>
                <m:t>2</m:t>
              </m:r>
            </m:sub>
          </m:sSub>
          <m:r>
            <w:rPr>
              <w:rFonts w:ascii="Cambria Math" w:hAnsi="Cambria Math" w:cs="Calibri"/>
            </w:rPr>
            <m:t>)</m:t>
          </m:r>
        </m:oMath>
      </m:oMathPara>
    </w:p>
    <w:p w14:paraId="688F2482" w14:textId="65C0D908" w:rsidR="00643AAE" w:rsidRDefault="00643AAE" w:rsidP="00A726E0">
      <w:pPr>
        <w:rPr>
          <w:rFonts w:eastAsiaTheme="minorEastAsia"/>
        </w:rPr>
      </w:pPr>
      <w:r>
        <w:rPr>
          <w:rFonts w:eastAsiaTheme="minorEastAsia"/>
        </w:rPr>
        <w:t>If either side of the reaction must be equal to the total swallowing capacity of the system (</w:t>
      </w:r>
      <m:oMath>
        <m:r>
          <w:rPr>
            <w:rFonts w:ascii="Cambria Math" w:eastAsiaTheme="minorEastAsia" w:hAnsi="Cambria Math"/>
          </w:rPr>
          <m:t>n</m:t>
        </m:r>
      </m:oMath>
      <w:r>
        <w:rPr>
          <w:rFonts w:eastAsiaTheme="minorEastAsia"/>
        </w:rPr>
        <w:t>), it can be rearranged to show the value of alpha:</w:t>
      </w:r>
    </w:p>
    <w:p w14:paraId="702CE41E" w14:textId="05EE7F8D" w:rsidR="00CC6132" w:rsidRPr="00643AAE" w:rsidRDefault="00643AAE" w:rsidP="00A726E0">
      <w:pPr>
        <w:rPr>
          <w:rFonts w:eastAsiaTheme="minorEastAsia"/>
        </w:rPr>
      </w:pPr>
      <m:oMathPara>
        <m:oMath>
          <m:r>
            <w:rPr>
              <w:rFonts w:ascii="Cambria Math" w:hAnsi="Cambria Math"/>
            </w:rPr>
            <m:t>α=</m:t>
          </m:r>
          <m:f>
            <m:fPr>
              <m:ctrlPr>
                <w:rPr>
                  <w:rFonts w:ascii="Cambria Math" w:hAnsi="Cambria Math"/>
                  <w:i/>
                </w:rPr>
              </m:ctrlPr>
            </m:fPr>
            <m:num>
              <m:r>
                <w:rPr>
                  <w:rFonts w:ascii="Cambria Math" w:hAnsi="Cambria Math"/>
                </w:rPr>
                <m:t>n</m:t>
              </m:r>
            </m:num>
            <m:den>
              <m:r>
                <w:rPr>
                  <w:rFonts w:ascii="Cambria Math" w:hAnsi="Cambria Math"/>
                </w:rPr>
                <m:t>φ+12.5</m:t>
              </m:r>
              <m:d>
                <m:dPr>
                  <m:ctrlPr>
                    <w:rPr>
                      <w:rFonts w:ascii="Cambria Math" w:hAnsi="Cambria Math"/>
                      <w:i/>
                    </w:rPr>
                  </m:ctrlPr>
                </m:dPr>
                <m:e>
                  <m:r>
                    <w:rPr>
                      <w:rFonts w:ascii="Cambria Math" w:hAnsi="Cambria Math"/>
                    </w:rPr>
                    <m:t>1+3.76</m:t>
                  </m:r>
                </m:e>
              </m:d>
            </m:den>
          </m:f>
        </m:oMath>
      </m:oMathPara>
    </w:p>
    <w:p w14:paraId="299FE6B1" w14:textId="3342967D" w:rsidR="00643AAE" w:rsidRDefault="008E75EF" w:rsidP="00A726E0">
      <w:pPr>
        <w:rPr>
          <w:rFonts w:eastAsiaTheme="minorEastAsia"/>
        </w:rPr>
      </w:pPr>
      <w:r>
        <w:rPr>
          <w:rFonts w:eastAsiaTheme="minorEastAsia"/>
        </w:rPr>
        <w:t>As can be seen here, the value of alpha will change with fuel equivalence ratio and thus changing the equations relating to it relative to the reduction of fuel in the reaction.</w:t>
      </w:r>
    </w:p>
    <w:p w14:paraId="5E9F3AC2" w14:textId="1A2AFF29" w:rsidR="008E75EF" w:rsidRDefault="008E75EF" w:rsidP="008E75EF">
      <w:pPr>
        <w:pStyle w:val="Heading4"/>
      </w:pPr>
      <w:r>
        <w:t xml:space="preserve">Concentrations </w:t>
      </w:r>
    </w:p>
    <w:p w14:paraId="7E8B8269" w14:textId="7A2885E4" w:rsidR="008E75EF" w:rsidRDefault="008E75EF" w:rsidP="008E75EF">
      <w:r>
        <w:t>Now the coefficients representing the respective concentrations can be calculated using the following equation</w:t>
      </w:r>
      <w:r>
        <w:rPr>
          <w:rStyle w:val="FootnoteReference"/>
        </w:rPr>
        <w:footnoteReference w:id="11"/>
      </w:r>
      <w:r>
        <w:t>:</w:t>
      </w:r>
    </w:p>
    <w:p w14:paraId="1B8D8389" w14:textId="15C3A394" w:rsidR="008E75EF" w:rsidRPr="008E75EF" w:rsidRDefault="008E75EF" w:rsidP="008E75EF">
      <m:oMathPara>
        <m:oMath>
          <m:r>
            <w:rPr>
              <w:rFonts w:ascii="Cambria Math" w:hAnsi="Cambria Math"/>
            </w:rPr>
            <m:t xml:space="preserve">Concentration </m:t>
          </m:r>
          <m:r>
            <w:rPr>
              <w:rFonts w:ascii="Cambria Math" w:hAnsi="Cambria Math"/>
            </w:rPr>
            <m:t>C</m:t>
          </m:r>
          <m:r>
            <w:rPr>
              <w:rFonts w:ascii="Cambria Math" w:hAnsi="Cambria Math"/>
            </w:rPr>
            <m:t xml:space="preserve">oefficient= </m:t>
          </m:r>
          <m:f>
            <m:fPr>
              <m:ctrlPr>
                <w:rPr>
                  <w:rFonts w:ascii="Cambria Math" w:hAnsi="Cambria Math"/>
                  <w:i/>
                </w:rPr>
              </m:ctrlPr>
            </m:fPr>
            <m:num>
              <m:r>
                <w:rPr>
                  <w:rFonts w:ascii="Cambria Math" w:hAnsi="Cambria Math"/>
                </w:rPr>
                <m:t>Parts</m:t>
              </m:r>
              <m:r>
                <w:rPr>
                  <w:rFonts w:ascii="Cambria Math" w:hAnsi="Cambria Math"/>
                </w:rPr>
                <m:t xml:space="preserve"> of component in combusted product</m:t>
              </m:r>
              <m:r>
                <w:rPr>
                  <w:rFonts w:ascii="Cambria Math" w:hAnsi="Cambria Math" w:cs="Calibri"/>
                </w:rPr>
                <m:t>×</m:t>
              </m:r>
              <m:r>
                <w:rPr>
                  <w:rFonts w:ascii="Cambria Math" w:hAnsi="Cambria Math"/>
                </w:rPr>
                <m:t>α</m:t>
              </m:r>
            </m:num>
            <m:den>
              <m:r>
                <w:rPr>
                  <w:rFonts w:ascii="Cambria Math" w:hAnsi="Cambria Math"/>
                </w:rPr>
                <m:t>Clearance or Head Volume</m:t>
              </m:r>
            </m:den>
          </m:f>
        </m:oMath>
      </m:oMathPara>
    </w:p>
    <w:p w14:paraId="43CE6DFE" w14:textId="5EFA5B94" w:rsidR="005A659B" w:rsidRDefault="005F195E" w:rsidP="005A659B">
      <w:r>
        <w:lastRenderedPageBreak/>
        <w:t>These Concentration Coefficients (O</w:t>
      </w:r>
      <w:r>
        <w:rPr>
          <w:vertAlign w:val="subscript"/>
        </w:rPr>
        <w:t>2</w:t>
      </w:r>
      <w:r>
        <w:t xml:space="preserve"> or N</w:t>
      </w:r>
      <w:r>
        <w:rPr>
          <w:vertAlign w:val="subscript"/>
        </w:rPr>
        <w:t>2</w:t>
      </w:r>
      <w:r>
        <w:t>) are</w:t>
      </w:r>
      <w:r w:rsidRPr="005F195E">
        <w:t xml:space="preserve"> </w:t>
      </w:r>
      <w:r>
        <w:t>the final step needed to begin actually applying the Zeldovich Model.</w:t>
      </w:r>
    </w:p>
    <w:p w14:paraId="0D2B1B4E" w14:textId="463E8C7F" w:rsidR="005F195E" w:rsidRDefault="005F195E" w:rsidP="005F195E">
      <w:pPr>
        <w:pStyle w:val="Heading2"/>
      </w:pPr>
      <w:bookmarkStart w:id="42" w:name="_Ref29165188"/>
      <w:bookmarkStart w:id="43" w:name="_Toc29171474"/>
      <w:r>
        <w:t>The Zeldovich model</w:t>
      </w:r>
      <w:bookmarkEnd w:id="42"/>
      <w:bookmarkEnd w:id="43"/>
    </w:p>
    <w:p w14:paraId="68A0B043" w14:textId="138A144E" w:rsidR="005F195E" w:rsidRDefault="005F195E" w:rsidP="005F195E">
      <w:r>
        <w:t>Once all the prior steps have been undertaken the application of the Zeldovich model can be undertaken. The equation used for this basic iteration of the Zeldovich model is thus:</w:t>
      </w:r>
    </w:p>
    <w:p w14:paraId="7868A717" w14:textId="6B09C636" w:rsidR="007511D9" w:rsidRPr="007511D9" w:rsidRDefault="007511D9" w:rsidP="005F195E">
      <w:pPr>
        <w:rPr>
          <w:rFonts w:eastAsiaTheme="minorEastAsia"/>
        </w:rPr>
      </w:pPr>
      <m:oMathPara>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x</m:t>
              </m:r>
            </m:sub>
          </m:sSub>
          <m:r>
            <w:rPr>
              <w:rFonts w:ascii="Cambria Math" w:hAnsi="Cambria Math"/>
            </w:rPr>
            <m:t xml:space="preserve">Production= Gas Kinetic Collison Rate ×Concentration Coeff. </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 xml:space="preserve">×Concentration Coeff. </m:t>
          </m:r>
          <m:sSup>
            <m:sSupPr>
              <m:ctrlPr>
                <w:rPr>
                  <w:rFonts w:ascii="Cambria Math" w:hAnsi="Cambria Math"/>
                  <w:i/>
                </w:rPr>
              </m:ctrlPr>
            </m:sSupPr>
            <m:e>
              <m:sSub>
                <m:sSubPr>
                  <m:ctrlPr>
                    <w:rPr>
                      <w:rFonts w:ascii="Cambria Math" w:hAnsi="Cambria Math"/>
                      <w:i/>
                    </w:rPr>
                  </m:ctrlPr>
                </m:sSubPr>
                <m:e>
                  <m:r>
                    <w:rPr>
                      <w:rFonts w:ascii="Cambria Math" w:hAnsi="Cambria Math"/>
                    </w:rPr>
                    <m:t>O</m:t>
                  </m:r>
                </m:e>
                <m:sub>
                  <m:r>
                    <w:rPr>
                      <w:rFonts w:ascii="Cambria Math" w:hAnsi="Cambria Math"/>
                    </w:rPr>
                    <m:t>2</m:t>
                  </m:r>
                </m:sub>
              </m:sSub>
            </m:e>
            <m:sup>
              <m:r>
                <w:rPr>
                  <w:rFonts w:ascii="Cambria Math" w:hAnsi="Cambria Math"/>
                </w:rPr>
                <m:t>0.5</m:t>
              </m:r>
            </m:sup>
          </m:sSup>
          <m:r>
            <w:rPr>
              <w:rFonts w:ascii="Cambria Math" w:hAnsi="Cambria Math"/>
            </w:rPr>
            <m:t>×</m:t>
          </m:r>
          <m:func>
            <m:funcPr>
              <m:ctrlPr>
                <w:rPr>
                  <w:rFonts w:ascii="Cambria Math" w:hAnsi="Cambria Math"/>
                </w:rPr>
              </m:ctrlPr>
            </m:funcPr>
            <m:fName>
              <m:r>
                <m:rPr>
                  <m:sty m:val="p"/>
                </m:rPr>
                <w:rPr>
                  <w:rFonts w:ascii="Cambria Math" w:hAnsi="Cambria Math"/>
                </w:rPr>
                <m:t>exp</m:t>
              </m:r>
              <m:ctrlPr>
                <w:rPr>
                  <w:rFonts w:ascii="Cambria Math" w:hAnsi="Cambria Math"/>
                  <w:i/>
                </w:rPr>
              </m:ctrlPr>
            </m:fName>
            <m:e>
              <m:d>
                <m:dPr>
                  <m:ctrlPr>
                    <w:rPr>
                      <w:rFonts w:ascii="Cambria Math" w:hAnsi="Cambria Math"/>
                      <w:i/>
                    </w:rPr>
                  </m:ctrlPr>
                </m:dPr>
                <m:e>
                  <m:f>
                    <m:fPr>
                      <m:ctrlPr>
                        <w:rPr>
                          <w:rFonts w:ascii="Cambria Math" w:hAnsi="Cambria Math"/>
                          <w:i/>
                        </w:rPr>
                      </m:ctrlPr>
                    </m:fPr>
                    <m:num>
                      <m:r>
                        <w:rPr>
                          <w:rFonts w:ascii="Cambria Math" w:hAnsi="Cambria Math"/>
                        </w:rPr>
                        <m:t>Energy required for reaction</m:t>
                      </m:r>
                    </m:num>
                    <m:den>
                      <m:r>
                        <w:rPr>
                          <w:rFonts w:ascii="Cambria Math" w:hAnsi="Cambria Math"/>
                        </w:rPr>
                        <m:t>R</m:t>
                      </m:r>
                      <m:r>
                        <w:rPr>
                          <w:rFonts w:ascii="Cambria Math" w:hAnsi="Cambria Math"/>
                        </w:rPr>
                        <m:t>×</m:t>
                      </m:r>
                      <m:r>
                        <w:rPr>
                          <w:rFonts w:ascii="Cambria Math" w:hAnsi="Cambria Math"/>
                        </w:rPr>
                        <m:t>T</m:t>
                      </m:r>
                    </m:den>
                  </m:f>
                  <m:ctrlPr>
                    <w:rPr>
                      <w:rFonts w:ascii="Cambria Math" w:eastAsiaTheme="minorEastAsia" w:hAnsi="Cambria Math"/>
                      <w:i/>
                    </w:rPr>
                  </m:ctrlPr>
                </m:e>
              </m:d>
            </m:e>
          </m:func>
        </m:oMath>
      </m:oMathPara>
    </w:p>
    <w:p w14:paraId="3339ADCF" w14:textId="6C2E3ECD" w:rsidR="005F195E" w:rsidRDefault="00990727" w:rsidP="005F195E">
      <w:r>
        <w:t xml:space="preserve">To </w:t>
      </w:r>
      <w:r w:rsidR="00986D93">
        <w:t>provide a reasonable estimation of NOx production the model will uses the assumption of a pressure increase</w:t>
      </w:r>
      <w:r w:rsidR="00C95339">
        <w:t xml:space="preserve"> of 2 bar per degree</w:t>
      </w:r>
      <w:r w:rsidR="00986D93">
        <w:t xml:space="preserve"> from 10bar to 40bar over a 15-degree crank angle rotation event from combustion start. As the equation above will output a value in relation to kmols/m</w:t>
      </w:r>
      <w:r w:rsidR="00986D93">
        <w:rPr>
          <w:vertAlign w:val="superscript"/>
        </w:rPr>
        <w:t>3</w:t>
      </w:r>
      <w:r w:rsidR="00986D93">
        <w:t xml:space="preserve">/second, volume and time components must be added to produce data in the desired format. </w:t>
      </w:r>
    </w:p>
    <w:p w14:paraId="1C173490" w14:textId="388A8F4C" w:rsidR="00986D93" w:rsidRDefault="00986D93" w:rsidP="005F195E">
      <w:r>
        <w:t>The revised equation appears as so:</w:t>
      </w:r>
    </w:p>
    <w:p w14:paraId="36A83758" w14:textId="485DFE9C" w:rsidR="00986D93" w:rsidRPr="007511D9" w:rsidRDefault="00986D93" w:rsidP="005F195E">
      <w:pPr>
        <w:rPr>
          <w:rFonts w:eastAsiaTheme="minorEastAsia"/>
        </w:rPr>
      </w:pPr>
      <m:oMathPara>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x</m:t>
              </m:r>
            </m:sub>
          </m:sSub>
          <m:r>
            <w:rPr>
              <w:rFonts w:ascii="Cambria Math" w:hAnsi="Cambria Math"/>
            </w:rPr>
            <m:t>Production per degree of crank rotation=</m:t>
          </m:r>
          <m:d>
            <m:dPr>
              <m:ctrlPr>
                <w:rPr>
                  <w:rFonts w:ascii="Cambria Math" w:hAnsi="Cambria Math"/>
                  <w:i/>
                </w:rPr>
              </m:ctrlPr>
            </m:dPr>
            <m:e>
              <m:f>
                <m:fPr>
                  <m:ctrlPr>
                    <w:rPr>
                      <w:rFonts w:ascii="Cambria Math" w:hAnsi="Cambria Math"/>
                      <w:i/>
                    </w:rPr>
                  </m:ctrlPr>
                </m:fPr>
                <m:num>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x</m:t>
                      </m:r>
                    </m:sub>
                  </m:sSub>
                  <m:r>
                    <w:rPr>
                      <w:rFonts w:ascii="Cambria Math" w:hAnsi="Cambria Math"/>
                    </w:rPr>
                    <m:t>Production</m:t>
                  </m:r>
                </m:num>
                <m:den>
                  <m:r>
                    <w:rPr>
                      <w:rFonts w:ascii="Cambria Math" w:hAnsi="Cambria Math"/>
                    </w:rPr>
                    <m:t>Time per degree of crank rotation</m:t>
                  </m:r>
                </m:den>
              </m:f>
            </m:e>
          </m:d>
          <m:r>
            <w:rPr>
              <w:rFonts w:ascii="Cambria Math" w:hAnsi="Cambria Math"/>
            </w:rPr>
            <m:t>×Clearance or Head Volume</m:t>
          </m:r>
        </m:oMath>
      </m:oMathPara>
    </w:p>
    <w:p w14:paraId="1CD88028" w14:textId="19066A27" w:rsidR="008D260C" w:rsidRDefault="007511D9" w:rsidP="005F195E">
      <w:pPr>
        <w:rPr>
          <w:rFonts w:eastAsiaTheme="minorEastAsia"/>
        </w:rPr>
      </w:pPr>
      <w:r>
        <w:rPr>
          <w:rFonts w:eastAsiaTheme="minorEastAsia"/>
        </w:rPr>
        <w:t>The only remaining unknow</w:t>
      </w:r>
      <w:r w:rsidR="008D260C">
        <w:rPr>
          <w:rFonts w:eastAsiaTheme="minorEastAsia"/>
        </w:rPr>
        <w:t>n is</w:t>
      </w:r>
      <w:r>
        <w:rPr>
          <w:rFonts w:eastAsiaTheme="minorEastAsia"/>
        </w:rPr>
        <w:t xml:space="preserve"> </w:t>
      </w:r>
      <w:r w:rsidR="008D260C">
        <w:rPr>
          <w:rFonts w:eastAsiaTheme="minorEastAsia"/>
        </w:rPr>
        <w:t>the</w:t>
      </w:r>
      <w:r w:rsidR="00C95339">
        <w:rPr>
          <w:rFonts w:eastAsiaTheme="minorEastAsia"/>
        </w:rPr>
        <w:t xml:space="preserve"> burn zone</w:t>
      </w:r>
      <w:r w:rsidR="008D260C">
        <w:rPr>
          <w:rFonts w:eastAsiaTheme="minorEastAsia"/>
        </w:rPr>
        <w:t xml:space="preserve"> temperature value at a given crank angle during combustion (T) and, through rearrangement of the Adiabatic, Ideal Gas, Expansion equation this value can be determined like so</w:t>
      </w:r>
      <w:r w:rsidR="00966158">
        <w:rPr>
          <w:rStyle w:val="FootnoteReference"/>
          <w:rFonts w:eastAsiaTheme="minorEastAsia"/>
        </w:rPr>
        <w:footnoteReference w:id="12"/>
      </w:r>
      <w:r w:rsidR="008D260C">
        <w:rPr>
          <w:rFonts w:eastAsiaTheme="minorEastAsia"/>
        </w:rPr>
        <w:t>:</w:t>
      </w:r>
    </w:p>
    <w:p w14:paraId="58FD787E" w14:textId="166E8AB7" w:rsidR="007511D9" w:rsidRPr="00C95339" w:rsidRDefault="00C95339" w:rsidP="008D260C">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2</m:t>
                      </m:r>
                    </m:sub>
                    <m:sup>
                      <m:r>
                        <w:rPr>
                          <w:rFonts w:ascii="Cambria Math" w:eastAsiaTheme="minorEastAsia" w:hAnsi="Cambria Math"/>
                        </w:rPr>
                        <m:t>γ-1</m:t>
                      </m:r>
                    </m:sup>
                  </m:sSubSup>
                </m:num>
                <m:den>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1</m:t>
                      </m:r>
                    </m:sub>
                    <m:sup>
                      <m:r>
                        <w:rPr>
                          <w:rFonts w:ascii="Cambria Math" w:eastAsiaTheme="minorEastAsia" w:hAnsi="Cambria Math"/>
                        </w:rPr>
                        <m:t>γ-1</m:t>
                      </m:r>
                    </m:sup>
                  </m:sSubSup>
                </m:den>
              </m:f>
            </m:e>
          </m:d>
          <m:r>
            <w:rPr>
              <w:rFonts w:ascii="Cambria Math" w:eastAsiaTheme="minorEastAsia" w:hAnsi="Cambria Math"/>
            </w:rPr>
            <m:t>×</m:t>
          </m:r>
          <m:sSup>
            <m:sSupPr>
              <m:ctrlPr>
                <w:rPr>
                  <w:rFonts w:ascii="Cambria Math" w:eastAsiaTheme="minorEastAsia" w:hAnsi="Cambria Math"/>
                  <w:i/>
                </w:rPr>
              </m:ctrlPr>
            </m:sSupPr>
            <m:e>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1</m:t>
                  </m:r>
                </m:sub>
                <m:sup>
                  <m:r>
                    <w:rPr>
                      <w:rFonts w:ascii="Cambria Math" w:eastAsiaTheme="minorEastAsia" w:hAnsi="Cambria Math"/>
                    </w:rPr>
                    <m:t>γ</m:t>
                  </m:r>
                </m:sup>
              </m:sSubSup>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γ</m:t>
                  </m:r>
                </m:den>
              </m:f>
            </m:sup>
          </m:sSup>
        </m:oMath>
      </m:oMathPara>
    </w:p>
    <w:p w14:paraId="56FEA281" w14:textId="62D0004D" w:rsidR="00805D5E" w:rsidRDefault="00805D5E" w:rsidP="00C95339">
      <w:pPr>
        <w:rPr>
          <w:rFonts w:eastAsiaTheme="minorEastAsia"/>
        </w:rPr>
      </w:pPr>
      <w:r>
        <w:rPr>
          <w:rFonts w:eastAsiaTheme="minorEastAsia"/>
        </w:rPr>
        <w:t>This allows the calculation of NOx per degree at each individual fuel equivalence ratio. If the sum of the NOx per degree is then calculated over the combustion event for each fuel equivalence ratio</w:t>
      </w:r>
      <w:r w:rsidR="00932126">
        <w:rPr>
          <w:rFonts w:eastAsiaTheme="minorEastAsia"/>
        </w:rPr>
        <w:t xml:space="preserve"> (NOx per cycle)</w:t>
      </w:r>
      <w:r>
        <w:rPr>
          <w:rFonts w:eastAsiaTheme="minorEastAsia"/>
        </w:rPr>
        <w:t xml:space="preserve"> there is only one final step in calculating the NOx Parts Per Million in combusted products and that is that the total amount of combusted product must be calculated to allow calculation of the content of NOx.</w:t>
      </w:r>
    </w:p>
    <w:p w14:paraId="29CC4E3F" w14:textId="149BC40E" w:rsidR="00C95339" w:rsidRPr="00805D5E" w:rsidRDefault="00805D5E" w:rsidP="00C95339">
      <w:pPr>
        <w:rPr>
          <w:rFonts w:eastAsiaTheme="minorEastAsia"/>
        </w:rPr>
      </w:pPr>
      <w:r>
        <w:rPr>
          <w:rFonts w:eastAsiaTheme="minorEastAsia"/>
        </w:rPr>
        <w:t>The equation to calculate the total combusted products is simply:</w:t>
      </w:r>
    </w:p>
    <w:p w14:paraId="39289EDA" w14:textId="36BD0A61" w:rsidR="00805D5E" w:rsidRPr="0069326F" w:rsidRDefault="0069326F" w:rsidP="00C95339">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Parts of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+Parts of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 xml:space="preserve">O+Parts of </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+Parts of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×α=Total combusted products</m:t>
          </m:r>
        </m:oMath>
      </m:oMathPara>
    </w:p>
    <w:p w14:paraId="2A41ED54" w14:textId="7105EC1E" w:rsidR="0069326F" w:rsidRDefault="0069326F" w:rsidP="00C95339">
      <w:pPr>
        <w:rPr>
          <w:rFonts w:eastAsiaTheme="minorEastAsia"/>
        </w:rPr>
      </w:pPr>
      <w:r>
        <w:rPr>
          <w:rFonts w:eastAsiaTheme="minorEastAsia"/>
        </w:rPr>
        <w:t>This then coupled with the sum of NOx per each degree of combustion event at each fuel equivalence ratio will provide the NOx PPM value at each fuel equivalence ratio as so:</w:t>
      </w:r>
    </w:p>
    <w:p w14:paraId="0B402753" w14:textId="0F6339C4" w:rsidR="00932126" w:rsidRPr="00932126" w:rsidRDefault="00932126" w:rsidP="00C95339">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NOx per cycle</m:t>
              </m:r>
            </m:num>
            <m:den>
              <m:r>
                <w:rPr>
                  <w:rFonts w:ascii="Cambria Math" w:eastAsiaTheme="minorEastAsia" w:hAnsi="Cambria Math"/>
                </w:rPr>
                <m:t>Total combusted products</m:t>
              </m:r>
            </m:den>
          </m:f>
          <m:r>
            <w:rPr>
              <w:rFonts w:ascii="Cambria Math" w:eastAsiaTheme="minorEastAsia" w:hAnsi="Cambria Math"/>
            </w:rPr>
            <m:t>=NOx parts per million</m:t>
          </m:r>
        </m:oMath>
      </m:oMathPara>
    </w:p>
    <w:p w14:paraId="6CABC86D" w14:textId="18000D29" w:rsidR="00932126" w:rsidRDefault="00932126" w:rsidP="00C95339">
      <w:pPr>
        <w:rPr>
          <w:rFonts w:eastAsiaTheme="minorEastAsia"/>
        </w:rPr>
      </w:pPr>
    </w:p>
    <w:p w14:paraId="5505A633" w14:textId="54C5D73B" w:rsidR="00840DA5" w:rsidRDefault="00840DA5" w:rsidP="00C95339">
      <w:pPr>
        <w:rPr>
          <w:rFonts w:eastAsiaTheme="minorEastAsia"/>
        </w:rPr>
      </w:pPr>
    </w:p>
    <w:p w14:paraId="3D6716D6" w14:textId="60D600F7" w:rsidR="00840DA5" w:rsidRDefault="00840DA5" w:rsidP="00840DA5">
      <w:pPr>
        <w:pStyle w:val="Heading2"/>
        <w:rPr>
          <w:rFonts w:eastAsiaTheme="minorEastAsia"/>
        </w:rPr>
      </w:pPr>
      <w:bookmarkStart w:id="44" w:name="_Toc29171475"/>
      <w:r>
        <w:rPr>
          <w:rFonts w:eastAsiaTheme="minorEastAsia"/>
        </w:rPr>
        <w:t>Exhaust Gas Recirculation</w:t>
      </w:r>
      <w:bookmarkEnd w:id="44"/>
    </w:p>
    <w:p w14:paraId="0CEFE72A" w14:textId="584E629D" w:rsidR="00840DA5" w:rsidRDefault="00CF7B1D" w:rsidP="00840DA5">
      <w:r>
        <w:t xml:space="preserve">The primary reason for recirculating exhaust gasses back into the combustion chamber each cycle is to reduce in-cylinder temperature to reduce the overall NOx produced per cycle, as can be seen by the results in the accompanying Excel workbook the greater volume of EGR the lower the flame temperatures seen and thus the lower the PPM of NOx produced. </w:t>
      </w:r>
    </w:p>
    <w:p w14:paraId="5229F986" w14:textId="4A2E0D06" w:rsidR="00CF7B1D" w:rsidRDefault="00CF7B1D" w:rsidP="00840DA5">
      <w:r>
        <w:t>The methodology used for calculating this EGR effect on combustion is as follows:</w:t>
      </w:r>
    </w:p>
    <w:p w14:paraId="63B668D5" w14:textId="0AC41566" w:rsidR="00CF7B1D" w:rsidRDefault="00CF7B1D" w:rsidP="00CF7B1D">
      <w:pPr>
        <w:pStyle w:val="Heading3"/>
      </w:pPr>
      <w:bookmarkStart w:id="45" w:name="_Toc29171476"/>
      <w:r>
        <w:t>Components of combusted products</w:t>
      </w:r>
      <w:bookmarkEnd w:id="45"/>
    </w:p>
    <w:p w14:paraId="0D43F50C" w14:textId="200FC535" w:rsidR="0069326F" w:rsidRPr="004435AC" w:rsidRDefault="00CF7B1D" w:rsidP="00C95339">
      <w:pPr>
        <w:rPr>
          <w:rFonts w:eastAsiaTheme="minorEastAsia"/>
        </w:rPr>
      </w:pPr>
      <w:r>
        <w:t xml:space="preserve">Much the same as </w:t>
      </w:r>
      <w:r>
        <w:fldChar w:fldCharType="begin"/>
      </w:r>
      <w:r>
        <w:instrText xml:space="preserve"> REF _Ref29164033 \r \h </w:instrText>
      </w:r>
      <w:r>
        <w:fldChar w:fldCharType="separate"/>
      </w:r>
      <w:r>
        <w:t>2.2.1</w:t>
      </w:r>
      <w:r>
        <w:fldChar w:fldCharType="end"/>
      </w:r>
      <w:r>
        <w:t xml:space="preserve"> t</w:t>
      </w:r>
      <w:r w:rsidR="004435AC">
        <w:t>he parts of the individual combusted components must be calculated:</w:t>
      </w:r>
      <m:oMath>
        <m:r>
          <w:rPr>
            <w:rFonts w:ascii="Cambria Math" w:hAnsi="Cambria Math"/>
          </w:rPr>
          <w:br/>
        </m:r>
      </m:oMath>
      <m:oMathPara>
        <m:oMath>
          <m:r>
            <w:rPr>
              <w:rFonts w:ascii="Cambria Math" w:hAnsi="Cambria Math"/>
            </w:rPr>
            <m:t xml:space="preserve">Calculation of parts of individual combusted component=Stoiciometric number of parts of component produced </m:t>
          </m:r>
          <m:r>
            <w:rPr>
              <w:rFonts w:ascii="Cambria Math" w:hAnsi="Cambria Math" w:cs="Calibri"/>
            </w:rPr>
            <m:t>×</m:t>
          </m:r>
          <m:r>
            <w:rPr>
              <w:rFonts w:ascii="Cambria Math" w:hAnsi="Cambria Math"/>
            </w:rPr>
            <m:t>Fuel Equivalence ratio</m:t>
          </m:r>
        </m:oMath>
      </m:oMathPara>
    </w:p>
    <w:p w14:paraId="180D3D86" w14:textId="451D2D82" w:rsidR="004435AC" w:rsidRDefault="004435AC" w:rsidP="00C95339">
      <w:pPr>
        <w:rPr>
          <w:rFonts w:eastAsiaTheme="minorEastAsia"/>
        </w:rPr>
      </w:pPr>
      <w:r>
        <w:rPr>
          <w:rFonts w:eastAsiaTheme="minorEastAsia"/>
        </w:rPr>
        <w:t>Once this has been done the result must be multiplied by the level of EGR being applied like so</w:t>
      </w:r>
      <w:r w:rsidR="00F07B17">
        <w:rPr>
          <w:rStyle w:val="FootnoteReference"/>
          <w:rFonts w:eastAsiaTheme="minorEastAsia"/>
        </w:rPr>
        <w:footnoteReference w:id="13"/>
      </w:r>
      <w:r>
        <w:rPr>
          <w:rFonts w:eastAsiaTheme="minorEastAsia"/>
        </w:rPr>
        <w:t>:</w:t>
      </w:r>
    </w:p>
    <w:p w14:paraId="1E292D57" w14:textId="3C4884D8" w:rsidR="004435AC" w:rsidRPr="004435AC" w:rsidRDefault="00F07B17" w:rsidP="00C95339">
      <m:oMathPara>
        <m:oMath>
          <m:r>
            <w:rPr>
              <w:rFonts w:ascii="Cambria Math" w:hAnsi="Cambria Math"/>
            </w:rPr>
            <m:t>Calculation of parts of individual combusted component incliuding EGR=Calculated parts of individual combusted component×(EGR percentage+1)</m:t>
          </m:r>
        </m:oMath>
      </m:oMathPara>
    </w:p>
    <w:p w14:paraId="29B104F9" w14:textId="69873CA0" w:rsidR="00966158" w:rsidRDefault="0041475A" w:rsidP="0041475A">
      <w:pPr>
        <w:pStyle w:val="Heading3"/>
        <w:rPr>
          <w:rFonts w:eastAsiaTheme="minorEastAsia"/>
        </w:rPr>
      </w:pPr>
      <w:bookmarkStart w:id="46" w:name="_Toc29171477"/>
      <w:r>
        <w:rPr>
          <w:rFonts w:eastAsiaTheme="minorEastAsia"/>
        </w:rPr>
        <w:t>Repeat prior steps</w:t>
      </w:r>
      <w:bookmarkEnd w:id="46"/>
    </w:p>
    <w:p w14:paraId="042DC1FC" w14:textId="74B6FDED" w:rsidR="0041475A" w:rsidRDefault="0041475A" w:rsidP="0041475A">
      <w:r>
        <w:t xml:space="preserve">Once the number of combusted components with respect to EGR has be determined the steps seen in sections </w:t>
      </w:r>
      <w:r>
        <w:fldChar w:fldCharType="begin"/>
      </w:r>
      <w:r>
        <w:instrText xml:space="preserve"> REF _Ref29165183 \r \h </w:instrText>
      </w:r>
      <w:r>
        <w:fldChar w:fldCharType="separate"/>
      </w:r>
      <w:r>
        <w:t>2.2</w:t>
      </w:r>
      <w:r>
        <w:fldChar w:fldCharType="end"/>
      </w:r>
      <w:r>
        <w:t xml:space="preserve"> and </w:t>
      </w:r>
      <w:r>
        <w:fldChar w:fldCharType="begin"/>
      </w:r>
      <w:r>
        <w:instrText xml:space="preserve"> REF _Ref29165188 \r \h </w:instrText>
      </w:r>
      <w:r>
        <w:fldChar w:fldCharType="separate"/>
      </w:r>
      <w:r>
        <w:t>2.3</w:t>
      </w:r>
      <w:r>
        <w:fldChar w:fldCharType="end"/>
      </w:r>
      <w:r>
        <w:t xml:space="preserve"> can be carried out in the same manner, being careful to remember to re-calculate flame temperature and net enthalpies.</w:t>
      </w:r>
    </w:p>
    <w:p w14:paraId="11307CE9" w14:textId="77777777" w:rsidR="006D4AD3" w:rsidRDefault="0041475A" w:rsidP="0041475A">
      <w:r>
        <w:t xml:space="preserve">A point of note here is that for the purposes of this work the “alpha” has been left the same as with zero EGR, this is using the assumption that the </w:t>
      </w:r>
      <w:r w:rsidR="006D4AD3">
        <w:t>additional products can fit into the working of combustion to allow an increase in the O</w:t>
      </w:r>
      <w:r w:rsidR="006D4AD3">
        <w:rPr>
          <w:vertAlign w:val="subscript"/>
        </w:rPr>
        <w:t>2</w:t>
      </w:r>
      <w:r w:rsidR="006D4AD3">
        <w:t xml:space="preserve"> and N</w:t>
      </w:r>
      <w:r w:rsidR="006D4AD3">
        <w:rPr>
          <w:vertAlign w:val="subscript"/>
        </w:rPr>
        <w:t>2</w:t>
      </w:r>
      <w:r w:rsidR="006D4AD3">
        <w:t xml:space="preserve"> concentrations inline with the EGR addition.</w:t>
      </w:r>
    </w:p>
    <w:p w14:paraId="4AC99FCE" w14:textId="77777777" w:rsidR="004778F7" w:rsidRDefault="004778F7" w:rsidP="004778F7">
      <w:pPr>
        <w:pStyle w:val="Heading3"/>
      </w:pPr>
      <w:bookmarkStart w:id="47" w:name="_Toc29171478"/>
      <w:r>
        <w:t>Reduction in NOx production with EGR</w:t>
      </w:r>
      <w:bookmarkEnd w:id="47"/>
      <w:r>
        <w:t xml:space="preserve"> </w:t>
      </w:r>
    </w:p>
    <w:p w14:paraId="2B385494" w14:textId="7ECD184E" w:rsidR="0041475A" w:rsidRDefault="004778F7" w:rsidP="004778F7">
      <w:r>
        <w:t>This simple calculation allows for the percentage improvement/reduction comparison over 0%EGR in NOx that EGR displays:</w:t>
      </w:r>
    </w:p>
    <w:p w14:paraId="1D2A5390" w14:textId="653C7AD1" w:rsidR="004778F7" w:rsidRPr="00286752" w:rsidRDefault="004778F7" w:rsidP="004778F7">
      <w:pPr>
        <w:rPr>
          <w:rFonts w:eastAsiaTheme="minorEastAsia"/>
        </w:rPr>
      </w:pPr>
      <m:oMathPara>
        <m:oMath>
          <m:f>
            <m:fPr>
              <m:ctrlPr>
                <w:rPr>
                  <w:rFonts w:ascii="Cambria Math" w:hAnsi="Cambria Math"/>
                  <w:i/>
                </w:rPr>
              </m:ctrlPr>
            </m:fPr>
            <m:num>
              <m:r>
                <w:rPr>
                  <w:rFonts w:ascii="Cambria Math" w:hAnsi="Cambria Math"/>
                </w:rPr>
                <m:t xml:space="preserve">Average NOx PPM </m:t>
              </m:r>
              <m:r>
                <m:t>@</m:t>
              </m:r>
              <m:r>
                <w:rPr>
                  <w:rFonts w:ascii="Cambria Math" w:hAnsi="Cambria Math"/>
                </w:rPr>
                <m:t xml:space="preserve"> 0% EGR-Average Nox PP</m:t>
              </m:r>
              <m:r>
                <w:rPr>
                  <w:rFonts w:ascii="Cambria Math" w:hAnsi="Cambria Math"/>
                </w:rPr>
                <m:t>M</m:t>
              </m:r>
              <m:r>
                <w:rPr>
                  <w:rFonts w:ascii="Cambria Math" w:hAnsi="Cambria Math"/>
                </w:rPr>
                <m:t xml:space="preserve"> </m:t>
              </m:r>
              <m:r>
                <m:t>@</m:t>
              </m:r>
              <m:r>
                <w:rPr>
                  <w:rFonts w:ascii="Cambria Math" w:hAnsi="Cambria Math"/>
                </w:rPr>
                <m:t xml:space="preserve"> x% </m:t>
              </m:r>
              <m:r>
                <w:rPr>
                  <w:rFonts w:ascii="Cambria Math" w:hAnsi="Cambria Math"/>
                </w:rPr>
                <m:t>EGR</m:t>
              </m:r>
            </m:num>
            <m:den>
              <m:r>
                <w:rPr>
                  <w:rFonts w:ascii="Cambria Math" w:hAnsi="Cambria Math"/>
                </w:rPr>
                <m:t>Average NOx PPM</m:t>
              </m:r>
              <m:r>
                <w:rPr>
                  <w:rFonts w:ascii="Cambria Math" w:hAnsi="Cambria Math"/>
                </w:rPr>
                <m:t xml:space="preserve"> @ 0% EGR</m:t>
              </m:r>
            </m:den>
          </m:f>
          <m:r>
            <w:rPr>
              <w:rFonts w:ascii="Cambria Math" w:eastAsiaTheme="minorEastAsia" w:hAnsi="Cambria Math"/>
            </w:rPr>
            <m:t xml:space="preserve"> ×100</m:t>
          </m:r>
        </m:oMath>
      </m:oMathPara>
    </w:p>
    <w:p w14:paraId="5C40821C" w14:textId="64D38BDF" w:rsidR="00286752" w:rsidRPr="00286752" w:rsidRDefault="00286752" w:rsidP="004778F7">
      <w:pPr>
        <w:rPr>
          <w:rFonts w:eastAsiaTheme="minorEastAsia"/>
        </w:rPr>
      </w:pPr>
      <w:r>
        <w:rPr>
          <w:rFonts w:eastAsiaTheme="minorEastAsia"/>
        </w:rPr>
        <w:t>A table of the values calculated can be seen in the excel workbook in sheet “EGR NOx PPM Comparison”</w:t>
      </w:r>
      <w:r w:rsidR="00616D5D">
        <w:rPr>
          <w:rFonts w:eastAsiaTheme="minorEastAsia"/>
        </w:rPr>
        <w:t>.</w:t>
      </w:r>
    </w:p>
    <w:p w14:paraId="5550C009" w14:textId="77777777" w:rsidR="00966158" w:rsidRPr="00966158" w:rsidRDefault="00966158" w:rsidP="008D260C">
      <w:pPr>
        <w:jc w:val="center"/>
        <w:rPr>
          <w:rFonts w:eastAsiaTheme="minorEastAsia"/>
        </w:rPr>
      </w:pPr>
    </w:p>
    <w:p w14:paraId="4913B93C" w14:textId="098FB2FD" w:rsidR="005A659B" w:rsidRDefault="005A659B" w:rsidP="005A659B"/>
    <w:p w14:paraId="6ECF031C" w14:textId="4A115C0E" w:rsidR="005A659B" w:rsidRDefault="00616D5D" w:rsidP="00616D5D">
      <w:pPr>
        <w:pStyle w:val="Heading1"/>
      </w:pPr>
      <w:bookmarkStart w:id="48" w:name="_Toc29171479"/>
      <w:r>
        <w:lastRenderedPageBreak/>
        <w:t>Results</w:t>
      </w:r>
      <w:bookmarkEnd w:id="48"/>
      <w:r>
        <w:t xml:space="preserve"> </w:t>
      </w:r>
    </w:p>
    <w:p w14:paraId="170570FC" w14:textId="098D13A1" w:rsidR="00616D5D" w:rsidRPr="00616D5D" w:rsidRDefault="00616D5D" w:rsidP="00616D5D">
      <w:r>
        <w:t>The following graphs provide the overview of results found during this model:</w:t>
      </w:r>
    </w:p>
    <w:p w14:paraId="15770D82" w14:textId="77777777" w:rsidR="00616D5D" w:rsidRDefault="00616D5D" w:rsidP="00616D5D">
      <w:pPr>
        <w:keepNext/>
      </w:pPr>
      <w:r>
        <w:rPr>
          <w:noProof/>
        </w:rPr>
        <w:drawing>
          <wp:inline distT="0" distB="0" distL="0" distR="0" wp14:anchorId="3F6EC468" wp14:editId="2300588A">
            <wp:extent cx="6045200" cy="3530600"/>
            <wp:effectExtent l="0" t="0" r="0" b="0"/>
            <wp:docPr id="9" name="Chart 9">
              <a:extLst xmlns:a="http://schemas.openxmlformats.org/drawingml/2006/main">
                <a:ext uri="{FF2B5EF4-FFF2-40B4-BE49-F238E27FC236}">
                  <a16:creationId xmlns:a16="http://schemas.microsoft.com/office/drawing/2014/main" id="{D12E3A91-E1FA-4239-8AA1-9F026B4D9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C588C7E" w14:textId="4DC8F9FE" w:rsidR="005A659B" w:rsidRDefault="00616D5D" w:rsidP="00616D5D">
      <w:pPr>
        <w:pStyle w:val="Caption"/>
        <w:jc w:val="center"/>
      </w:pPr>
      <w:bookmarkStart w:id="49" w:name="_Toc29171497"/>
      <w:r>
        <w:t xml:space="preserve">Figure </w:t>
      </w:r>
      <w:r>
        <w:fldChar w:fldCharType="begin"/>
      </w:r>
      <w:r>
        <w:instrText xml:space="preserve"> SEQ Figure \* ARABIC </w:instrText>
      </w:r>
      <w:r>
        <w:fldChar w:fldCharType="separate"/>
      </w:r>
      <w:r w:rsidR="003D5B51">
        <w:rPr>
          <w:noProof/>
        </w:rPr>
        <w:t>5</w:t>
      </w:r>
      <w:r>
        <w:fldChar w:fldCharType="end"/>
      </w:r>
      <w:r>
        <w:t>: Graph of NOx Production at differing fuel equivalence ratios against EGR fraction in lean burn conditions</w:t>
      </w:r>
      <w:bookmarkEnd w:id="49"/>
    </w:p>
    <w:p w14:paraId="3F7391AE" w14:textId="77777777" w:rsidR="006B13B8" w:rsidRDefault="00616D5D" w:rsidP="006B13B8">
      <w:pPr>
        <w:keepNext/>
      </w:pPr>
      <w:r>
        <w:rPr>
          <w:noProof/>
        </w:rPr>
        <w:drawing>
          <wp:inline distT="0" distB="0" distL="0" distR="0" wp14:anchorId="18E76F43" wp14:editId="74D22F2B">
            <wp:extent cx="6036733" cy="3784600"/>
            <wp:effectExtent l="0" t="0" r="2540" b="6350"/>
            <wp:docPr id="10" name="Chart 10">
              <a:extLst xmlns:a="http://schemas.openxmlformats.org/drawingml/2006/main">
                <a:ext uri="{FF2B5EF4-FFF2-40B4-BE49-F238E27FC236}">
                  <a16:creationId xmlns:a16="http://schemas.microsoft.com/office/drawing/2014/main" id="{C8BDD78B-FDC2-4F67-B6AB-8CF0308CAC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9AA2AF5" w14:textId="3772730A" w:rsidR="005A659B" w:rsidRDefault="006B13B8" w:rsidP="006B13B8">
      <w:pPr>
        <w:pStyle w:val="Caption"/>
        <w:jc w:val="center"/>
      </w:pPr>
      <w:bookmarkStart w:id="50" w:name="_Toc29171498"/>
      <w:r>
        <w:t xml:space="preserve">Figure </w:t>
      </w:r>
      <w:r>
        <w:fldChar w:fldCharType="begin"/>
      </w:r>
      <w:r>
        <w:instrText xml:space="preserve"> SEQ Figure \* ARABIC </w:instrText>
      </w:r>
      <w:r>
        <w:fldChar w:fldCharType="separate"/>
      </w:r>
      <w:r w:rsidR="003D5B51">
        <w:rPr>
          <w:noProof/>
        </w:rPr>
        <w:t>6</w:t>
      </w:r>
      <w:r>
        <w:fldChar w:fldCharType="end"/>
      </w:r>
      <w:r>
        <w:t>: Graph displaying the relationship between EGR and NOx production</w:t>
      </w:r>
      <w:bookmarkEnd w:id="50"/>
    </w:p>
    <w:p w14:paraId="1A141551" w14:textId="5A038BAB" w:rsidR="00381F8D" w:rsidRDefault="00381F8D" w:rsidP="00381F8D">
      <w:pPr>
        <w:pStyle w:val="Heading2"/>
      </w:pPr>
      <w:bookmarkStart w:id="51" w:name="_Toc29171480"/>
      <w:r>
        <w:lastRenderedPageBreak/>
        <w:t>Overview</w:t>
      </w:r>
      <w:bookmarkEnd w:id="51"/>
      <w:r>
        <w:t xml:space="preserve"> </w:t>
      </w:r>
    </w:p>
    <w:p w14:paraId="613D6767" w14:textId="58ED138E" w:rsidR="005A659B" w:rsidRDefault="006B13B8" w:rsidP="005A659B">
      <w:r>
        <w:t>The graphs prior re-affirm the points made throughout the methodology that:</w:t>
      </w:r>
    </w:p>
    <w:p w14:paraId="215C737E" w14:textId="082491D5" w:rsidR="006B13B8" w:rsidRDefault="006B13B8" w:rsidP="006B13B8">
      <w:pPr>
        <w:pStyle w:val="ListParagraph"/>
        <w:numPr>
          <w:ilvl w:val="0"/>
          <w:numId w:val="5"/>
        </w:numPr>
      </w:pPr>
      <w:r>
        <w:t>Increased EGR reduced NOx production significantly, in the case of the cases shown, up to +90%.</w:t>
      </w:r>
    </w:p>
    <w:p w14:paraId="7DFB50A6" w14:textId="6E0FAADA" w:rsidR="006B13B8" w:rsidRDefault="006B13B8" w:rsidP="006B13B8">
      <w:pPr>
        <w:pStyle w:val="ListParagraph"/>
        <w:numPr>
          <w:ilvl w:val="0"/>
          <w:numId w:val="5"/>
        </w:numPr>
      </w:pPr>
      <w:r>
        <w:t>At lower fuel equivalence ratios where flame temperatures are lower the level of NOx production is reduced. An interesting caveat to this rule is that as the fuel equivalence ratio is reduced there is a higher concentration of O</w:t>
      </w:r>
      <w:r>
        <w:rPr>
          <w:vertAlign w:val="subscript"/>
        </w:rPr>
        <w:t>2</w:t>
      </w:r>
      <w:r>
        <w:t xml:space="preserve"> to bond with the Nitrogen in the reaction but due to the lower temperatures there is less energy in the system create these bonds, there is a “cross-over” point in these two counter-acting situations at </w:t>
      </w:r>
      <w:r w:rsidR="00057ACD">
        <w:rPr>
          <w:rFonts w:ascii="Calibri" w:hAnsi="Calibri"/>
        </w:rPr>
        <w:t>φ</w:t>
      </w:r>
      <w:r>
        <w:t>0.97 where the “sweet-spot” for maximum NOx production can be seen as there is the greatest possible “free” O</w:t>
      </w:r>
      <w:r>
        <w:rPr>
          <w:vertAlign w:val="subscript"/>
        </w:rPr>
        <w:t>2</w:t>
      </w:r>
      <w:r>
        <w:t xml:space="preserve"> in the </w:t>
      </w:r>
      <w:r w:rsidR="00057ACD">
        <w:t>h</w:t>
      </w:r>
      <w:r>
        <w:t xml:space="preserve">ighest possible temperature to provide energy to allow the creation of NOx, any higher temp and the </w:t>
      </w:r>
      <w:r w:rsidR="00057ACD">
        <w:t>O</w:t>
      </w:r>
      <w:r w:rsidR="00057ACD">
        <w:rPr>
          <w:vertAlign w:val="subscript"/>
        </w:rPr>
        <w:t>2</w:t>
      </w:r>
      <w:r w:rsidR="00057ACD">
        <w:t xml:space="preserve"> level is decreased further, and lower the fuel equivalence ratio (and therefore the O</w:t>
      </w:r>
      <w:r w:rsidR="00057ACD">
        <w:rPr>
          <w:vertAlign w:val="subscript"/>
        </w:rPr>
        <w:t>2</w:t>
      </w:r>
      <w:r w:rsidR="00057ACD">
        <w:t xml:space="preserve"> concentration) the less energy in the system to form the bonds. </w:t>
      </w:r>
      <w:r>
        <w:t xml:space="preserve"> </w:t>
      </w:r>
    </w:p>
    <w:p w14:paraId="6A1A4F20" w14:textId="19E24ECE" w:rsidR="003D5B51" w:rsidRDefault="003D5B51" w:rsidP="006B13B8">
      <w:pPr>
        <w:pStyle w:val="ListParagraph"/>
        <w:numPr>
          <w:ilvl w:val="0"/>
          <w:numId w:val="5"/>
        </w:numPr>
      </w:pPr>
      <w:r>
        <w:t>When compared to graphs found in Fundamentals of Combustion Processes</w:t>
      </w:r>
      <w:sdt>
        <w:sdtPr>
          <w:id w:val="920149715"/>
          <w:citation/>
        </w:sdtPr>
        <w:sdtContent>
          <w:r>
            <w:fldChar w:fldCharType="begin"/>
          </w:r>
          <w:r>
            <w:rPr>
              <w:lang w:val="en-US"/>
            </w:rPr>
            <w:instrText xml:space="preserve"> CITATION McA111 \l 1033 </w:instrText>
          </w:r>
          <w:r>
            <w:fldChar w:fldCharType="separate"/>
          </w:r>
          <w:r w:rsidR="00A553C5">
            <w:rPr>
              <w:noProof/>
              <w:lang w:val="en-US"/>
            </w:rPr>
            <w:t xml:space="preserve"> </w:t>
          </w:r>
          <w:r w:rsidR="00A553C5" w:rsidRPr="00A553C5">
            <w:rPr>
              <w:noProof/>
              <w:lang w:val="en-US"/>
            </w:rPr>
            <w:t>(McAllister S, 2011)</w:t>
          </w:r>
          <w:r>
            <w:fldChar w:fldCharType="end"/>
          </w:r>
        </w:sdtContent>
      </w:sdt>
      <w:r>
        <w:t xml:space="preserve"> the overall trend is relatively similar (the assumptions made, and further modelling considerations should correct the results seen here more in line with the graph seen below):</w:t>
      </w:r>
    </w:p>
    <w:p w14:paraId="5D66A1DD" w14:textId="77777777" w:rsidR="003D5B51" w:rsidRDefault="003D5B51" w:rsidP="003D5B51">
      <w:pPr>
        <w:pStyle w:val="ListParagraph"/>
        <w:keepNext/>
      </w:pPr>
      <w:r w:rsidRPr="003D5B51">
        <w:drawing>
          <wp:inline distT="0" distB="0" distL="0" distR="0" wp14:anchorId="043713C1" wp14:editId="3C18A237">
            <wp:extent cx="5223933" cy="236451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34453" cy="2369279"/>
                    </a:xfrm>
                    <a:prstGeom prst="rect">
                      <a:avLst/>
                    </a:prstGeom>
                  </pic:spPr>
                </pic:pic>
              </a:graphicData>
            </a:graphic>
          </wp:inline>
        </w:drawing>
      </w:r>
    </w:p>
    <w:p w14:paraId="20429E66" w14:textId="4FF1C0A7" w:rsidR="003D5B51" w:rsidRDefault="003D5B51" w:rsidP="003D5B51">
      <w:pPr>
        <w:pStyle w:val="Caption"/>
        <w:jc w:val="center"/>
      </w:pPr>
      <w:bookmarkStart w:id="52" w:name="_Toc29171499"/>
      <w:r>
        <w:t xml:space="preserve">Figure </w:t>
      </w:r>
      <w:r>
        <w:fldChar w:fldCharType="begin"/>
      </w:r>
      <w:r>
        <w:instrText xml:space="preserve"> SEQ Figure \* ARABIC </w:instrText>
      </w:r>
      <w:r>
        <w:fldChar w:fldCharType="separate"/>
      </w:r>
      <w:r>
        <w:rPr>
          <w:noProof/>
        </w:rPr>
        <w:t>7</w:t>
      </w:r>
      <w:r>
        <w:fldChar w:fldCharType="end"/>
      </w:r>
      <w:r>
        <w:t>: Graph displaying the trend of NOx production at differing equivalence ratios</w:t>
      </w:r>
      <w:bookmarkEnd w:id="52"/>
    </w:p>
    <w:p w14:paraId="31D272DA" w14:textId="2E0905EF" w:rsidR="005A659B" w:rsidRDefault="003D5B51" w:rsidP="003D5B51">
      <w:pPr>
        <w:pStyle w:val="Heading2"/>
      </w:pPr>
      <w:bookmarkStart w:id="53" w:name="_Toc29171481"/>
      <w:r>
        <w:t>Major Assumptions</w:t>
      </w:r>
      <w:r w:rsidR="00381F8D">
        <w:t xml:space="preserve"> Seen</w:t>
      </w:r>
      <w:bookmarkEnd w:id="53"/>
    </w:p>
    <w:p w14:paraId="2B357FDC" w14:textId="75681CEE" w:rsidR="00F67BB4" w:rsidRPr="00F67BB4" w:rsidRDefault="00F67BB4" w:rsidP="00F67BB4">
      <w:r>
        <w:t>Some of the assumptions made during this work that hinder full analysis or create inaccuracies:</w:t>
      </w:r>
    </w:p>
    <w:p w14:paraId="0C50A267" w14:textId="0D4CBC81" w:rsidR="003D5B51" w:rsidRDefault="003D5B51" w:rsidP="003D5B51">
      <w:pPr>
        <w:pStyle w:val="ListParagraph"/>
        <w:numPr>
          <w:ilvl w:val="0"/>
          <w:numId w:val="6"/>
        </w:numPr>
      </w:pPr>
      <w:r>
        <w:t>This method only works in “lean” burn conditions.</w:t>
      </w:r>
    </w:p>
    <w:p w14:paraId="53E86233" w14:textId="57DE8161" w:rsidR="003D5B51" w:rsidRDefault="003D5B51" w:rsidP="003D5B51">
      <w:pPr>
        <w:pStyle w:val="ListParagraph"/>
        <w:numPr>
          <w:ilvl w:val="0"/>
          <w:numId w:val="6"/>
        </w:numPr>
      </w:pPr>
      <w:r>
        <w:t>Further NOx production methods not explored.</w:t>
      </w:r>
    </w:p>
    <w:p w14:paraId="0E165210" w14:textId="1EC78D53" w:rsidR="003D5B51" w:rsidRDefault="003D5B51" w:rsidP="003D5B51">
      <w:pPr>
        <w:pStyle w:val="ListParagraph"/>
        <w:numPr>
          <w:ilvl w:val="0"/>
          <w:numId w:val="6"/>
        </w:numPr>
      </w:pPr>
      <w:r>
        <w:t>“Reverse Reactions” not considered.</w:t>
      </w:r>
    </w:p>
    <w:p w14:paraId="7349D0F8" w14:textId="1CA5E997" w:rsidR="003D5B51" w:rsidRDefault="003D5B51" w:rsidP="003D5B51">
      <w:pPr>
        <w:pStyle w:val="ListParagraph"/>
        <w:numPr>
          <w:ilvl w:val="0"/>
          <w:numId w:val="6"/>
        </w:numPr>
      </w:pPr>
      <w:r>
        <w:t xml:space="preserve">Idealised </w:t>
      </w:r>
      <w:r w:rsidR="00381F8D">
        <w:t>conditions:</w:t>
      </w:r>
      <w:r>
        <w:t xml:space="preserve"> Dry air, ambient conditions assumed, </w:t>
      </w:r>
      <w:r w:rsidR="00381F8D">
        <w:t xml:space="preserve">“perfect” values for percentage </w:t>
      </w:r>
      <w:r w:rsidR="00F67BB4">
        <w:t xml:space="preserve">of </w:t>
      </w:r>
      <w:r w:rsidR="00381F8D">
        <w:t>EGR</w:t>
      </w:r>
      <w:r w:rsidR="00F67BB4">
        <w:t xml:space="preserve"> and </w:t>
      </w:r>
      <w:r w:rsidR="00381F8D">
        <w:t>Fuel Equivalence Ratio etc.</w:t>
      </w:r>
    </w:p>
    <w:p w14:paraId="0B629008" w14:textId="1435821A" w:rsidR="00381F8D" w:rsidRDefault="00381F8D" w:rsidP="003D5B51">
      <w:pPr>
        <w:pStyle w:val="ListParagraph"/>
        <w:numPr>
          <w:ilvl w:val="0"/>
          <w:numId w:val="6"/>
        </w:numPr>
      </w:pPr>
      <w:r>
        <w:t>Single-zone style of model.</w:t>
      </w:r>
    </w:p>
    <w:p w14:paraId="63F8716D" w14:textId="5EA2ABD7" w:rsidR="00443626" w:rsidRPr="00443626" w:rsidRDefault="00381F8D" w:rsidP="00F67BB4">
      <w:pPr>
        <w:pStyle w:val="ListParagraph"/>
        <w:numPr>
          <w:ilvl w:val="0"/>
          <w:numId w:val="6"/>
        </w:numPr>
      </w:pPr>
      <w:r>
        <w:t xml:space="preserve">Values taken from other methods that have conflicting magnitudes across the field, </w:t>
      </w:r>
      <w:proofErr w:type="spellStart"/>
      <w:r>
        <w:t>Merker</w:t>
      </w:r>
      <w:proofErr w:type="spellEnd"/>
      <w:r>
        <w:t xml:space="preserve"> for Activation Energy etc.</w:t>
      </w:r>
    </w:p>
    <w:bookmarkStart w:id="54" w:name="_Toc29171482" w:displacedByCustomXml="next"/>
    <w:sdt>
      <w:sdtPr>
        <w:rPr>
          <w:rFonts w:eastAsiaTheme="minorHAnsi" w:cstheme="minorBidi"/>
          <w:color w:val="auto"/>
          <w:sz w:val="20"/>
          <w:szCs w:val="22"/>
        </w:rPr>
        <w:id w:val="15049759"/>
        <w:docPartObj>
          <w:docPartGallery w:val="Bibliographies"/>
          <w:docPartUnique/>
        </w:docPartObj>
      </w:sdtPr>
      <w:sdtContent>
        <w:p w14:paraId="7A60008E" w14:textId="43BE8EA3" w:rsidR="001E7D90" w:rsidRDefault="001E7D90" w:rsidP="00DE74CE">
          <w:pPr>
            <w:pStyle w:val="Heading1"/>
            <w:jc w:val="both"/>
          </w:pPr>
          <w:r>
            <w:t>References</w:t>
          </w:r>
          <w:bookmarkEnd w:id="54"/>
        </w:p>
        <w:sdt>
          <w:sdtPr>
            <w:id w:val="-573587230"/>
            <w:bibliography/>
          </w:sdtPr>
          <w:sdtContent>
            <w:p w14:paraId="0D5C6933" w14:textId="77777777" w:rsidR="00A553C5" w:rsidRDefault="001E7D90" w:rsidP="00A553C5">
              <w:pPr>
                <w:pStyle w:val="Bibliography"/>
                <w:rPr>
                  <w:noProof/>
                  <w:sz w:val="24"/>
                  <w:szCs w:val="24"/>
                </w:rPr>
              </w:pPr>
              <w:r>
                <w:fldChar w:fldCharType="begin"/>
              </w:r>
              <w:r>
                <w:instrText xml:space="preserve"> BIBLIOGRAPHY </w:instrText>
              </w:r>
              <w:r>
                <w:fldChar w:fldCharType="separate"/>
              </w:r>
              <w:r w:rsidR="00A553C5">
                <w:rPr>
                  <w:noProof/>
                </w:rPr>
                <w:t xml:space="preserve">McAllister S, C. J.-Y. F.-P. A., 2011. Combustion Stoiciometry. In: L. F, ed. </w:t>
              </w:r>
              <w:r w:rsidR="00A553C5">
                <w:rPr>
                  <w:i/>
                  <w:iCs/>
                  <w:noProof/>
                </w:rPr>
                <w:t xml:space="preserve">Fundamentals of Combustion Processes. </w:t>
              </w:r>
              <w:r w:rsidR="00A553C5">
                <w:rPr>
                  <w:noProof/>
                </w:rPr>
                <w:t>Berkeley, CA: Springer Science+Business Media, pp. 17-19.</w:t>
              </w:r>
            </w:p>
            <w:p w14:paraId="2D3C9402" w14:textId="77777777" w:rsidR="00A553C5" w:rsidRDefault="00A553C5" w:rsidP="00A553C5">
              <w:pPr>
                <w:pStyle w:val="Bibliography"/>
                <w:rPr>
                  <w:noProof/>
                </w:rPr>
              </w:pPr>
              <w:r>
                <w:rPr>
                  <w:noProof/>
                </w:rPr>
                <w:t xml:space="preserve">McAllister S, C. J.-Y. F.-P. A., 2011. </w:t>
              </w:r>
              <w:r>
                <w:rPr>
                  <w:i/>
                  <w:iCs/>
                  <w:noProof/>
                </w:rPr>
                <w:t xml:space="preserve">Fundamentals of Combustion Processes. </w:t>
              </w:r>
              <w:r>
                <w:rPr>
                  <w:noProof/>
                </w:rPr>
                <w:t>1st ed. Berkeley, CA: Springer Science+Business Media.</w:t>
              </w:r>
            </w:p>
            <w:p w14:paraId="0806D956" w14:textId="77777777" w:rsidR="00A553C5" w:rsidRDefault="00A553C5" w:rsidP="00A553C5">
              <w:pPr>
                <w:pStyle w:val="Bibliography"/>
                <w:rPr>
                  <w:noProof/>
                </w:rPr>
              </w:pPr>
              <w:r>
                <w:rPr>
                  <w:noProof/>
                </w:rPr>
                <w:t xml:space="preserve">Wieser M, C. T., 2010. Atomic weights of the elements 2009. </w:t>
              </w:r>
              <w:r>
                <w:rPr>
                  <w:i/>
                  <w:iCs/>
                  <w:noProof/>
                </w:rPr>
                <w:t xml:space="preserve">Pure Appl. Chem., </w:t>
              </w:r>
              <w:r>
                <w:rPr>
                  <w:noProof/>
                </w:rPr>
                <w:t>83(2), pp. 359-396.</w:t>
              </w:r>
            </w:p>
            <w:p w14:paraId="50023F52" w14:textId="242F4032" w:rsidR="001E7D90" w:rsidRDefault="001E7D90" w:rsidP="00A553C5">
              <w:pPr>
                <w:jc w:val="both"/>
              </w:pPr>
              <w:r>
                <w:rPr>
                  <w:b/>
                  <w:bCs/>
                  <w:noProof/>
                </w:rPr>
                <w:fldChar w:fldCharType="end"/>
              </w:r>
            </w:p>
          </w:sdtContent>
        </w:sdt>
      </w:sdtContent>
    </w:sdt>
    <w:p w14:paraId="7FB5533C" w14:textId="63971DF1" w:rsidR="00F67BB4" w:rsidRDefault="00F67BB4" w:rsidP="00F67BB4">
      <w:pPr>
        <w:pStyle w:val="Heading1"/>
      </w:pPr>
      <w:r>
        <w:t>Figures</w:t>
      </w:r>
    </w:p>
    <w:p w14:paraId="54CC6A7C" w14:textId="12E89553" w:rsidR="00F67BB4" w:rsidRDefault="00F67BB4">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29171493" w:history="1">
        <w:r w:rsidRPr="00CB7E18">
          <w:rPr>
            <w:rStyle w:val="Hyperlink"/>
            <w:noProof/>
          </w:rPr>
          <w:t>Figure 1:Table of Enthalpies of Formation of Common Combustion Species</w:t>
        </w:r>
        <w:r>
          <w:rPr>
            <w:noProof/>
            <w:webHidden/>
          </w:rPr>
          <w:tab/>
        </w:r>
        <w:r>
          <w:rPr>
            <w:noProof/>
            <w:webHidden/>
          </w:rPr>
          <w:fldChar w:fldCharType="begin"/>
        </w:r>
        <w:r>
          <w:rPr>
            <w:noProof/>
            <w:webHidden/>
          </w:rPr>
          <w:instrText xml:space="preserve"> PAGEREF _Toc29171493 \h </w:instrText>
        </w:r>
        <w:r>
          <w:rPr>
            <w:noProof/>
            <w:webHidden/>
          </w:rPr>
        </w:r>
        <w:r>
          <w:rPr>
            <w:noProof/>
            <w:webHidden/>
          </w:rPr>
          <w:fldChar w:fldCharType="separate"/>
        </w:r>
        <w:r>
          <w:rPr>
            <w:noProof/>
            <w:webHidden/>
          </w:rPr>
          <w:t>2</w:t>
        </w:r>
        <w:r>
          <w:rPr>
            <w:noProof/>
            <w:webHidden/>
          </w:rPr>
          <w:fldChar w:fldCharType="end"/>
        </w:r>
      </w:hyperlink>
    </w:p>
    <w:p w14:paraId="411DFC46" w14:textId="3977EFA8" w:rsidR="00F67BB4" w:rsidRDefault="00F67BB4">
      <w:pPr>
        <w:pStyle w:val="TableofFigures"/>
        <w:tabs>
          <w:tab w:val="right" w:leader="dot" w:pos="9016"/>
        </w:tabs>
        <w:rPr>
          <w:rFonts w:asciiTheme="minorHAnsi" w:eastAsiaTheme="minorEastAsia" w:hAnsiTheme="minorHAnsi"/>
          <w:noProof/>
          <w:sz w:val="22"/>
          <w:lang w:eastAsia="en-GB"/>
        </w:rPr>
      </w:pPr>
      <w:hyperlink r:id="rId25" w:anchor="_Toc29171494" w:history="1">
        <w:r w:rsidRPr="00CB7E18">
          <w:rPr>
            <w:rStyle w:val="Hyperlink"/>
            <w:noProof/>
          </w:rPr>
          <w:t>Figure 2: Feedback Cycle used to calculate Net Enthalpy for Flame Temperature</w:t>
        </w:r>
        <w:r>
          <w:rPr>
            <w:noProof/>
            <w:webHidden/>
          </w:rPr>
          <w:tab/>
        </w:r>
        <w:r>
          <w:rPr>
            <w:noProof/>
            <w:webHidden/>
          </w:rPr>
          <w:fldChar w:fldCharType="begin"/>
        </w:r>
        <w:r>
          <w:rPr>
            <w:noProof/>
            <w:webHidden/>
          </w:rPr>
          <w:instrText xml:space="preserve"> PAGEREF _Toc29171494 \h </w:instrText>
        </w:r>
        <w:r>
          <w:rPr>
            <w:noProof/>
            <w:webHidden/>
          </w:rPr>
        </w:r>
        <w:r>
          <w:rPr>
            <w:noProof/>
            <w:webHidden/>
          </w:rPr>
          <w:fldChar w:fldCharType="separate"/>
        </w:r>
        <w:r>
          <w:rPr>
            <w:noProof/>
            <w:webHidden/>
          </w:rPr>
          <w:t>5</w:t>
        </w:r>
        <w:r>
          <w:rPr>
            <w:noProof/>
            <w:webHidden/>
          </w:rPr>
          <w:fldChar w:fldCharType="end"/>
        </w:r>
      </w:hyperlink>
    </w:p>
    <w:p w14:paraId="3663F27B" w14:textId="792B1263" w:rsidR="00F67BB4" w:rsidRDefault="00F67BB4">
      <w:pPr>
        <w:pStyle w:val="TableofFigures"/>
        <w:tabs>
          <w:tab w:val="right" w:leader="dot" w:pos="9016"/>
        </w:tabs>
        <w:rPr>
          <w:rFonts w:asciiTheme="minorHAnsi" w:eastAsiaTheme="minorEastAsia" w:hAnsiTheme="minorHAnsi"/>
          <w:noProof/>
          <w:sz w:val="22"/>
          <w:lang w:eastAsia="en-GB"/>
        </w:rPr>
      </w:pPr>
      <w:hyperlink w:anchor="_Toc29171495" w:history="1">
        <w:r w:rsidRPr="00CB7E18">
          <w:rPr>
            <w:rStyle w:val="Hyperlink"/>
            <w:noProof/>
          </w:rPr>
          <w:t>Figure 3: Example section of table showing enthalpy values at varying temperatures</w:t>
        </w:r>
        <w:r>
          <w:rPr>
            <w:noProof/>
            <w:webHidden/>
          </w:rPr>
          <w:tab/>
        </w:r>
        <w:r>
          <w:rPr>
            <w:noProof/>
            <w:webHidden/>
          </w:rPr>
          <w:fldChar w:fldCharType="begin"/>
        </w:r>
        <w:r>
          <w:rPr>
            <w:noProof/>
            <w:webHidden/>
          </w:rPr>
          <w:instrText xml:space="preserve"> PAGEREF _Toc29171495 \h </w:instrText>
        </w:r>
        <w:r>
          <w:rPr>
            <w:noProof/>
            <w:webHidden/>
          </w:rPr>
        </w:r>
        <w:r>
          <w:rPr>
            <w:noProof/>
            <w:webHidden/>
          </w:rPr>
          <w:fldChar w:fldCharType="separate"/>
        </w:r>
        <w:r>
          <w:rPr>
            <w:noProof/>
            <w:webHidden/>
          </w:rPr>
          <w:t>6</w:t>
        </w:r>
        <w:r>
          <w:rPr>
            <w:noProof/>
            <w:webHidden/>
          </w:rPr>
          <w:fldChar w:fldCharType="end"/>
        </w:r>
      </w:hyperlink>
    </w:p>
    <w:p w14:paraId="335A257C" w14:textId="5CBC3D65" w:rsidR="00F67BB4" w:rsidRDefault="00F67BB4">
      <w:pPr>
        <w:pStyle w:val="TableofFigures"/>
        <w:tabs>
          <w:tab w:val="right" w:leader="dot" w:pos="9016"/>
        </w:tabs>
        <w:rPr>
          <w:rFonts w:asciiTheme="minorHAnsi" w:eastAsiaTheme="minorEastAsia" w:hAnsiTheme="minorHAnsi"/>
          <w:noProof/>
          <w:sz w:val="22"/>
          <w:lang w:eastAsia="en-GB"/>
        </w:rPr>
      </w:pPr>
      <w:hyperlink w:anchor="_Toc29171496" w:history="1">
        <w:r w:rsidRPr="00CB7E18">
          <w:rPr>
            <w:rStyle w:val="Hyperlink"/>
            <w:noProof/>
          </w:rPr>
          <w:t>Figure 4: VBA code used to modify the Goal Seek function to accommodate faster processing of data through the Fuel Equivalence Ratio range</w:t>
        </w:r>
        <w:r>
          <w:rPr>
            <w:noProof/>
            <w:webHidden/>
          </w:rPr>
          <w:tab/>
        </w:r>
        <w:r>
          <w:rPr>
            <w:noProof/>
            <w:webHidden/>
          </w:rPr>
          <w:fldChar w:fldCharType="begin"/>
        </w:r>
        <w:r>
          <w:rPr>
            <w:noProof/>
            <w:webHidden/>
          </w:rPr>
          <w:instrText xml:space="preserve"> PAGEREF _Toc29171496 \h </w:instrText>
        </w:r>
        <w:r>
          <w:rPr>
            <w:noProof/>
            <w:webHidden/>
          </w:rPr>
        </w:r>
        <w:r>
          <w:rPr>
            <w:noProof/>
            <w:webHidden/>
          </w:rPr>
          <w:fldChar w:fldCharType="separate"/>
        </w:r>
        <w:r>
          <w:rPr>
            <w:noProof/>
            <w:webHidden/>
          </w:rPr>
          <w:t>7</w:t>
        </w:r>
        <w:r>
          <w:rPr>
            <w:noProof/>
            <w:webHidden/>
          </w:rPr>
          <w:fldChar w:fldCharType="end"/>
        </w:r>
      </w:hyperlink>
    </w:p>
    <w:p w14:paraId="245CE6DB" w14:textId="13FE9052" w:rsidR="00F67BB4" w:rsidRDefault="00F67BB4">
      <w:pPr>
        <w:pStyle w:val="TableofFigures"/>
        <w:tabs>
          <w:tab w:val="right" w:leader="dot" w:pos="9016"/>
        </w:tabs>
        <w:rPr>
          <w:rFonts w:asciiTheme="minorHAnsi" w:eastAsiaTheme="minorEastAsia" w:hAnsiTheme="minorHAnsi"/>
          <w:noProof/>
          <w:sz w:val="22"/>
          <w:lang w:eastAsia="en-GB"/>
        </w:rPr>
      </w:pPr>
      <w:hyperlink w:anchor="_Toc29171497" w:history="1">
        <w:r w:rsidRPr="00CB7E18">
          <w:rPr>
            <w:rStyle w:val="Hyperlink"/>
            <w:noProof/>
          </w:rPr>
          <w:t>Figure 5: Graph of NOx Production at differing fuel equivalence ratios against EGR fraction in lean burn conditions</w:t>
        </w:r>
        <w:r>
          <w:rPr>
            <w:noProof/>
            <w:webHidden/>
          </w:rPr>
          <w:tab/>
        </w:r>
        <w:r>
          <w:rPr>
            <w:noProof/>
            <w:webHidden/>
          </w:rPr>
          <w:fldChar w:fldCharType="begin"/>
        </w:r>
        <w:r>
          <w:rPr>
            <w:noProof/>
            <w:webHidden/>
          </w:rPr>
          <w:instrText xml:space="preserve"> PAGEREF _Toc29171497 \h </w:instrText>
        </w:r>
        <w:r>
          <w:rPr>
            <w:noProof/>
            <w:webHidden/>
          </w:rPr>
        </w:r>
        <w:r>
          <w:rPr>
            <w:noProof/>
            <w:webHidden/>
          </w:rPr>
          <w:fldChar w:fldCharType="separate"/>
        </w:r>
        <w:r>
          <w:rPr>
            <w:noProof/>
            <w:webHidden/>
          </w:rPr>
          <w:t>11</w:t>
        </w:r>
        <w:r>
          <w:rPr>
            <w:noProof/>
            <w:webHidden/>
          </w:rPr>
          <w:fldChar w:fldCharType="end"/>
        </w:r>
      </w:hyperlink>
    </w:p>
    <w:p w14:paraId="1B112D1D" w14:textId="171538DD" w:rsidR="00F67BB4" w:rsidRDefault="00F67BB4">
      <w:pPr>
        <w:pStyle w:val="TableofFigures"/>
        <w:tabs>
          <w:tab w:val="right" w:leader="dot" w:pos="9016"/>
        </w:tabs>
        <w:rPr>
          <w:rFonts w:asciiTheme="minorHAnsi" w:eastAsiaTheme="minorEastAsia" w:hAnsiTheme="minorHAnsi"/>
          <w:noProof/>
          <w:sz w:val="22"/>
          <w:lang w:eastAsia="en-GB"/>
        </w:rPr>
      </w:pPr>
      <w:hyperlink w:anchor="_Toc29171498" w:history="1">
        <w:r w:rsidRPr="00CB7E18">
          <w:rPr>
            <w:rStyle w:val="Hyperlink"/>
            <w:noProof/>
          </w:rPr>
          <w:t>Figure 6: Graph displaying the relationship between EGR and NOx production</w:t>
        </w:r>
        <w:r>
          <w:rPr>
            <w:noProof/>
            <w:webHidden/>
          </w:rPr>
          <w:tab/>
        </w:r>
        <w:r>
          <w:rPr>
            <w:noProof/>
            <w:webHidden/>
          </w:rPr>
          <w:fldChar w:fldCharType="begin"/>
        </w:r>
        <w:r>
          <w:rPr>
            <w:noProof/>
            <w:webHidden/>
          </w:rPr>
          <w:instrText xml:space="preserve"> PAGEREF _Toc29171498 \h </w:instrText>
        </w:r>
        <w:r>
          <w:rPr>
            <w:noProof/>
            <w:webHidden/>
          </w:rPr>
        </w:r>
        <w:r>
          <w:rPr>
            <w:noProof/>
            <w:webHidden/>
          </w:rPr>
          <w:fldChar w:fldCharType="separate"/>
        </w:r>
        <w:r>
          <w:rPr>
            <w:noProof/>
            <w:webHidden/>
          </w:rPr>
          <w:t>11</w:t>
        </w:r>
        <w:r>
          <w:rPr>
            <w:noProof/>
            <w:webHidden/>
          </w:rPr>
          <w:fldChar w:fldCharType="end"/>
        </w:r>
      </w:hyperlink>
    </w:p>
    <w:p w14:paraId="7CFC64EF" w14:textId="500CB780" w:rsidR="00F67BB4" w:rsidRDefault="00F67BB4">
      <w:pPr>
        <w:pStyle w:val="TableofFigures"/>
        <w:tabs>
          <w:tab w:val="right" w:leader="dot" w:pos="9016"/>
        </w:tabs>
        <w:rPr>
          <w:rFonts w:asciiTheme="minorHAnsi" w:eastAsiaTheme="minorEastAsia" w:hAnsiTheme="minorHAnsi"/>
          <w:noProof/>
          <w:sz w:val="22"/>
          <w:lang w:eastAsia="en-GB"/>
        </w:rPr>
      </w:pPr>
      <w:hyperlink w:anchor="_Toc29171499" w:history="1">
        <w:r w:rsidRPr="00CB7E18">
          <w:rPr>
            <w:rStyle w:val="Hyperlink"/>
            <w:noProof/>
          </w:rPr>
          <w:t>Figure 7: Graph displaying the trend of NOx production at differing equivalence ratios</w:t>
        </w:r>
        <w:r>
          <w:rPr>
            <w:noProof/>
            <w:webHidden/>
          </w:rPr>
          <w:tab/>
        </w:r>
        <w:r>
          <w:rPr>
            <w:noProof/>
            <w:webHidden/>
          </w:rPr>
          <w:fldChar w:fldCharType="begin"/>
        </w:r>
        <w:r>
          <w:rPr>
            <w:noProof/>
            <w:webHidden/>
          </w:rPr>
          <w:instrText xml:space="preserve"> PAGEREF _Toc29171499 \h </w:instrText>
        </w:r>
        <w:r>
          <w:rPr>
            <w:noProof/>
            <w:webHidden/>
          </w:rPr>
        </w:r>
        <w:r>
          <w:rPr>
            <w:noProof/>
            <w:webHidden/>
          </w:rPr>
          <w:fldChar w:fldCharType="separate"/>
        </w:r>
        <w:r>
          <w:rPr>
            <w:noProof/>
            <w:webHidden/>
          </w:rPr>
          <w:t>12</w:t>
        </w:r>
        <w:r>
          <w:rPr>
            <w:noProof/>
            <w:webHidden/>
          </w:rPr>
          <w:fldChar w:fldCharType="end"/>
        </w:r>
      </w:hyperlink>
    </w:p>
    <w:p w14:paraId="14A1D84C" w14:textId="4B84D792" w:rsidR="007A50BC" w:rsidRDefault="00F67BB4" w:rsidP="00DE74CE">
      <w:pPr>
        <w:jc w:val="both"/>
      </w:pPr>
      <w:r>
        <w:fldChar w:fldCharType="end"/>
      </w:r>
      <w:r>
        <w:t xml:space="preserve"> </w:t>
      </w:r>
    </w:p>
    <w:sectPr w:rsidR="007A50BC" w:rsidSect="00ED57B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784EB" w14:textId="77777777" w:rsidR="00F67BB4" w:rsidRDefault="00F67BB4" w:rsidP="007A50BC">
      <w:pPr>
        <w:spacing w:after="0" w:line="240" w:lineRule="auto"/>
      </w:pPr>
      <w:r>
        <w:separator/>
      </w:r>
    </w:p>
  </w:endnote>
  <w:endnote w:type="continuationSeparator" w:id="0">
    <w:p w14:paraId="03D04977" w14:textId="77777777" w:rsidR="00F67BB4" w:rsidRDefault="00F67BB4" w:rsidP="007A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677072"/>
      <w:docPartObj>
        <w:docPartGallery w:val="Page Numbers (Bottom of Page)"/>
        <w:docPartUnique/>
      </w:docPartObj>
    </w:sdtPr>
    <w:sdtEndPr>
      <w:rPr>
        <w:color w:val="7F7F7F" w:themeColor="background1" w:themeShade="7F"/>
        <w:spacing w:val="60"/>
      </w:rPr>
    </w:sdtEndPr>
    <w:sdtContent>
      <w:p w14:paraId="38005462" w14:textId="77777777" w:rsidR="00F67BB4" w:rsidRDefault="00F67BB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fldChar w:fldCharType="end"/>
        </w:r>
        <w:r>
          <w:t xml:space="preserve"> | </w:t>
        </w:r>
        <w:r>
          <w:rPr>
            <w:color w:val="7F7F7F" w:themeColor="background1" w:themeShade="7F"/>
            <w:spacing w:val="60"/>
          </w:rPr>
          <w:t>Page</w:t>
        </w:r>
      </w:p>
    </w:sdtContent>
  </w:sdt>
  <w:p w14:paraId="7FB21767" w14:textId="77777777" w:rsidR="00F67BB4" w:rsidRDefault="00F67B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454745"/>
      <w:docPartObj>
        <w:docPartGallery w:val="Page Numbers (Bottom of Page)"/>
        <w:docPartUnique/>
      </w:docPartObj>
    </w:sdtPr>
    <w:sdtEndPr>
      <w:rPr>
        <w:color w:val="7F7F7F" w:themeColor="background1" w:themeShade="7F"/>
        <w:spacing w:val="60"/>
      </w:rPr>
    </w:sdtEndPr>
    <w:sdtContent>
      <w:p w14:paraId="6292ECCA" w14:textId="77777777" w:rsidR="00F67BB4" w:rsidRDefault="00F67BB4">
        <w:pPr>
          <w:pStyle w:val="Footer"/>
          <w:pBdr>
            <w:top w:val="single" w:sz="4" w:space="1" w:color="D9D9D9" w:themeColor="background1" w:themeShade="D9"/>
          </w:pBdr>
          <w:jc w:val="right"/>
        </w:pPr>
        <w:r>
          <w:t>Owen Lyndon Lord</w:t>
        </w:r>
        <w:r>
          <w:fldChar w:fldCharType="begin"/>
        </w:r>
        <w:r>
          <w:instrText xml:space="preserve"> PAGE   \* MERGEFORMAT </w:instrText>
        </w:r>
        <w:r>
          <w:fldChar w:fldCharType="separate"/>
        </w:r>
        <w:r>
          <w:rPr>
            <w:noProof/>
          </w:rPr>
          <w:t xml:space="preserve"> </w:t>
        </w:r>
        <w:r>
          <w:rPr>
            <w:noProof/>
          </w:rPr>
          <w:fldChar w:fldCharType="end"/>
        </w:r>
        <w:r>
          <w:t xml:space="preserve"> | </w:t>
        </w:r>
        <w:r>
          <w:rPr>
            <w:color w:val="7F7F7F" w:themeColor="background1" w:themeShade="7F"/>
            <w:spacing w:val="60"/>
          </w:rPr>
          <w:t>P150216</w:t>
        </w:r>
      </w:p>
    </w:sdtContent>
  </w:sdt>
  <w:p w14:paraId="3992DF45" w14:textId="77777777" w:rsidR="00F67BB4" w:rsidRDefault="00F67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D673B" w14:textId="77777777" w:rsidR="00F67BB4" w:rsidRDefault="00F67BB4" w:rsidP="007A50BC">
      <w:pPr>
        <w:spacing w:after="0" w:line="240" w:lineRule="auto"/>
      </w:pPr>
      <w:r>
        <w:separator/>
      </w:r>
    </w:p>
  </w:footnote>
  <w:footnote w:type="continuationSeparator" w:id="0">
    <w:p w14:paraId="3E926573" w14:textId="77777777" w:rsidR="00F67BB4" w:rsidRDefault="00F67BB4" w:rsidP="007A50BC">
      <w:pPr>
        <w:spacing w:after="0" w:line="240" w:lineRule="auto"/>
      </w:pPr>
      <w:r>
        <w:continuationSeparator/>
      </w:r>
    </w:p>
  </w:footnote>
  <w:footnote w:id="1">
    <w:p w14:paraId="4DE377DC" w14:textId="698E4AD0" w:rsidR="00F67BB4" w:rsidRPr="000862F1" w:rsidRDefault="00F67BB4">
      <w:pPr>
        <w:pStyle w:val="FootnoteText"/>
        <w:rPr>
          <w:lang w:val="en-US"/>
        </w:rPr>
      </w:pPr>
      <w:r>
        <w:rPr>
          <w:rStyle w:val="FootnoteReference"/>
        </w:rPr>
        <w:footnoteRef/>
      </w:r>
      <w:r>
        <w:t xml:space="preserve"> </w:t>
      </w:r>
      <w:r w:rsidRPr="000862F1">
        <w:rPr>
          <w:sz w:val="14"/>
          <w:szCs w:val="14"/>
        </w:rPr>
        <w:t>Enthalpies of Formation for common products and reactants taken from “Fundamentals of Combustion Processes” (McAllister S, 2011)</w:t>
      </w:r>
      <w:r>
        <w:rPr>
          <w:sz w:val="14"/>
          <w:szCs w:val="14"/>
        </w:rPr>
        <w:t>.</w:t>
      </w:r>
    </w:p>
  </w:footnote>
  <w:footnote w:id="2">
    <w:p w14:paraId="0A38F2AF" w14:textId="24AAC560" w:rsidR="00F67BB4" w:rsidRPr="00D56068" w:rsidRDefault="00F67BB4">
      <w:pPr>
        <w:pStyle w:val="FootnoteText"/>
        <w:rPr>
          <w:sz w:val="16"/>
          <w:szCs w:val="16"/>
          <w:lang w:val="en-US"/>
        </w:rPr>
      </w:pPr>
      <w:r w:rsidRPr="00D56068">
        <w:rPr>
          <w:rStyle w:val="FootnoteReference"/>
          <w:sz w:val="16"/>
          <w:szCs w:val="16"/>
        </w:rPr>
        <w:footnoteRef/>
      </w:r>
      <w:r w:rsidRPr="00D56068">
        <w:rPr>
          <w:sz w:val="16"/>
          <w:szCs w:val="16"/>
        </w:rPr>
        <w:t xml:space="preserve"> </w:t>
      </w:r>
      <w:r w:rsidRPr="000862F1">
        <w:rPr>
          <w:sz w:val="14"/>
          <w:szCs w:val="14"/>
          <w:lang w:val="en-US"/>
        </w:rPr>
        <w:t>Species in their most stable form have enthalpies of formation of zero, as seen in the equation above with O</w:t>
      </w:r>
      <w:r w:rsidRPr="000862F1">
        <w:rPr>
          <w:sz w:val="14"/>
          <w:szCs w:val="14"/>
          <w:vertAlign w:val="subscript"/>
          <w:lang w:val="en-US"/>
        </w:rPr>
        <w:t xml:space="preserve">2 </w:t>
      </w:r>
      <w:r w:rsidRPr="000862F1">
        <w:rPr>
          <w:sz w:val="14"/>
          <w:szCs w:val="14"/>
          <w:lang w:val="en-US"/>
        </w:rPr>
        <w:t>and N</w:t>
      </w:r>
      <w:r w:rsidRPr="000862F1">
        <w:rPr>
          <w:sz w:val="14"/>
          <w:szCs w:val="14"/>
          <w:vertAlign w:val="subscript"/>
          <w:lang w:val="en-US"/>
        </w:rPr>
        <w:t xml:space="preserve">2 </w:t>
      </w:r>
      <w:r w:rsidRPr="000862F1">
        <w:rPr>
          <w:sz w:val="14"/>
          <w:szCs w:val="14"/>
          <w:lang w:val="en-US"/>
        </w:rPr>
        <w:t>being represented by an enthalpy of 0 MJ/</w:t>
      </w:r>
      <w:proofErr w:type="spellStart"/>
      <w:r w:rsidRPr="000862F1">
        <w:rPr>
          <w:sz w:val="14"/>
          <w:szCs w:val="14"/>
          <w:lang w:val="en-US"/>
        </w:rPr>
        <w:t>kmol</w:t>
      </w:r>
      <w:proofErr w:type="spellEnd"/>
      <w:r w:rsidRPr="000862F1">
        <w:rPr>
          <w:sz w:val="14"/>
          <w:szCs w:val="14"/>
          <w:lang w:val="en-US"/>
        </w:rPr>
        <w:t xml:space="preserve">. </w:t>
      </w:r>
    </w:p>
  </w:footnote>
  <w:footnote w:id="3">
    <w:p w14:paraId="408C8E7B" w14:textId="10C42021" w:rsidR="00F67BB4" w:rsidRPr="00730E25" w:rsidRDefault="00F67BB4">
      <w:pPr>
        <w:pStyle w:val="FootnoteText"/>
        <w:rPr>
          <w:lang w:val="en-US"/>
        </w:rPr>
      </w:pPr>
      <w:r w:rsidRPr="00730E25">
        <w:rPr>
          <w:rStyle w:val="FootnoteReference"/>
          <w:sz w:val="16"/>
          <w:szCs w:val="16"/>
        </w:rPr>
        <w:footnoteRef/>
      </w:r>
      <w:r w:rsidRPr="00730E25">
        <w:rPr>
          <w:sz w:val="16"/>
          <w:szCs w:val="16"/>
        </w:rPr>
        <w:t xml:space="preserve"> As can be seen in the work undertaken in 2 Task 2: NO</w:t>
      </w:r>
      <w:r w:rsidRPr="00730E25">
        <w:rPr>
          <w:sz w:val="16"/>
          <w:szCs w:val="16"/>
          <w:vertAlign w:val="subscript"/>
        </w:rPr>
        <w:t>x</w:t>
      </w:r>
      <w:r w:rsidRPr="00730E25">
        <w:rPr>
          <w:sz w:val="16"/>
          <w:szCs w:val="16"/>
        </w:rPr>
        <w:t xml:space="preserve"> Production Modelling using the Simple Zeldovich </w:t>
      </w:r>
      <w:r>
        <w:rPr>
          <w:sz w:val="16"/>
          <w:szCs w:val="16"/>
        </w:rPr>
        <w:t>M</w:t>
      </w:r>
      <w:r w:rsidRPr="00730E25">
        <w:rPr>
          <w:sz w:val="16"/>
          <w:szCs w:val="16"/>
        </w:rPr>
        <w:t>odel.</w:t>
      </w:r>
    </w:p>
  </w:footnote>
  <w:footnote w:id="4">
    <w:p w14:paraId="3E2FAA89" w14:textId="678EAA23" w:rsidR="00F67BB4" w:rsidRPr="00D1574E" w:rsidRDefault="00F67BB4">
      <w:pPr>
        <w:pStyle w:val="FootnoteText"/>
        <w:rPr>
          <w:lang w:val="en-US"/>
        </w:rPr>
      </w:pPr>
      <w:r w:rsidRPr="00D1574E">
        <w:rPr>
          <w:rStyle w:val="FootnoteReference"/>
          <w:sz w:val="16"/>
          <w:szCs w:val="16"/>
        </w:rPr>
        <w:footnoteRef/>
      </w:r>
      <w:r w:rsidRPr="00D1574E">
        <w:rPr>
          <w:sz w:val="16"/>
          <w:szCs w:val="16"/>
        </w:rPr>
        <w:t xml:space="preserve"> </w:t>
      </w:r>
      <w:r w:rsidRPr="00D1574E">
        <w:rPr>
          <w:sz w:val="16"/>
          <w:szCs w:val="16"/>
          <w:lang w:val="en-US"/>
        </w:rPr>
        <w:t>Where a greater volume of air (with respect to fuel) is present during combustion resulting in complete combustion of the fuel without complete use of the air supplied to the reaction.</w:t>
      </w:r>
    </w:p>
  </w:footnote>
  <w:footnote w:id="5">
    <w:p w14:paraId="6ADA41E6" w14:textId="4B0CEC41" w:rsidR="00F67BB4" w:rsidRPr="000679F9" w:rsidRDefault="00F67BB4">
      <w:pPr>
        <w:pStyle w:val="FootnoteText"/>
        <w:rPr>
          <w:lang w:val="en-US"/>
        </w:rPr>
      </w:pPr>
      <w:r>
        <w:rPr>
          <w:rStyle w:val="FootnoteReference"/>
        </w:rPr>
        <w:footnoteRef/>
      </w:r>
      <w:r>
        <w:t xml:space="preserve"> </w:t>
      </w:r>
      <w:r>
        <w:rPr>
          <w:sz w:val="16"/>
          <w:szCs w:val="16"/>
        </w:rPr>
        <w:t>A</w:t>
      </w:r>
      <w:r w:rsidRPr="000679F9">
        <w:rPr>
          <w:sz w:val="16"/>
          <w:szCs w:val="16"/>
        </w:rPr>
        <w:t xml:space="preserve"> further understanding</w:t>
      </w:r>
      <w:r>
        <w:rPr>
          <w:sz w:val="16"/>
          <w:szCs w:val="16"/>
        </w:rPr>
        <w:t>,</w:t>
      </w:r>
      <w:r w:rsidRPr="000679F9">
        <w:rPr>
          <w:sz w:val="16"/>
          <w:szCs w:val="16"/>
        </w:rPr>
        <w:t xml:space="preserve"> as this basic work still lies within the field of Thermal NOx production, just in its simplest</w:t>
      </w:r>
      <w:r>
        <w:rPr>
          <w:sz w:val="16"/>
          <w:szCs w:val="16"/>
        </w:rPr>
        <w:t>, most assumptive form.</w:t>
      </w:r>
    </w:p>
  </w:footnote>
  <w:footnote w:id="6">
    <w:p w14:paraId="765A0594" w14:textId="1D450E4B" w:rsidR="00F67BB4" w:rsidRPr="00CC22B0" w:rsidRDefault="00F67BB4">
      <w:pPr>
        <w:pStyle w:val="FootnoteText"/>
        <w:rPr>
          <w:lang w:val="en-US"/>
        </w:rPr>
      </w:pPr>
      <w:r>
        <w:rPr>
          <w:rStyle w:val="FootnoteReference"/>
        </w:rPr>
        <w:footnoteRef/>
      </w:r>
      <w:r w:rsidRPr="002D26AC">
        <w:rPr>
          <w:sz w:val="16"/>
          <w:szCs w:val="16"/>
        </w:rPr>
        <w:t xml:space="preserve"> </w:t>
      </w:r>
      <w:r w:rsidRPr="002D26AC">
        <w:rPr>
          <w:sz w:val="16"/>
          <w:szCs w:val="16"/>
          <w:lang w:val="en-US"/>
        </w:rPr>
        <w:t>A “Fuel Equivalence Ratio” value pertains to the volume of fuel in relation to air in the system in relation to stoichiometry. So, in the case of Iso-Octane a fuel equivalence ratio (</w:t>
      </w:r>
      <w:r w:rsidRPr="002D26AC">
        <w:rPr>
          <w:rFonts w:ascii="Calibri" w:hAnsi="Calibri" w:cs="Calibri"/>
          <w:sz w:val="16"/>
          <w:szCs w:val="16"/>
          <w:lang w:val="en-US"/>
        </w:rPr>
        <w:t>φ</w:t>
      </w:r>
      <w:r w:rsidRPr="002D26AC">
        <w:rPr>
          <w:sz w:val="16"/>
          <w:szCs w:val="16"/>
          <w:lang w:val="en-US"/>
        </w:rPr>
        <w:t xml:space="preserve">) of 1 would be equal to the fuels stoichiometric Air-Fuel Ratio which is 15.1 parts air to 1 part fuel, therefore it follows that a </w:t>
      </w:r>
      <w:r w:rsidRPr="002D26AC">
        <w:rPr>
          <w:rFonts w:ascii="Calibri" w:hAnsi="Calibri" w:cs="Calibri"/>
          <w:sz w:val="16"/>
          <w:szCs w:val="16"/>
          <w:lang w:val="en-US"/>
        </w:rPr>
        <w:t>φ</w:t>
      </w:r>
      <w:r w:rsidRPr="002D26AC">
        <w:rPr>
          <w:sz w:val="16"/>
          <w:szCs w:val="16"/>
          <w:lang w:val="en-US"/>
        </w:rPr>
        <w:t xml:space="preserve"> of 0.99 would mean that there is 1% more air than stoichiometric value required as there is the equivalent of 99% of stoichiometric fuel value in the system. This condition of excess air is our “lean” combustion condition.</w:t>
      </w:r>
    </w:p>
  </w:footnote>
  <w:footnote w:id="7">
    <w:p w14:paraId="26AE256A" w14:textId="1547B2BD" w:rsidR="00F67BB4" w:rsidRPr="00450FF1" w:rsidRDefault="00F67BB4">
      <w:pPr>
        <w:pStyle w:val="FootnoteText"/>
        <w:rPr>
          <w:lang w:val="en-US"/>
        </w:rPr>
      </w:pPr>
      <w:r w:rsidRPr="00450FF1">
        <w:rPr>
          <w:rStyle w:val="FootnoteReference"/>
          <w:sz w:val="16"/>
          <w:szCs w:val="16"/>
        </w:rPr>
        <w:footnoteRef/>
      </w:r>
      <w:r w:rsidRPr="00450FF1">
        <w:rPr>
          <w:sz w:val="16"/>
          <w:szCs w:val="16"/>
        </w:rPr>
        <w:t xml:space="preserve"> This value can be totally random as it just allows a “jumping-off” point for the calculation loop to start from.</w:t>
      </w:r>
    </w:p>
  </w:footnote>
  <w:footnote w:id="8">
    <w:p w14:paraId="334D51F1" w14:textId="77777777" w:rsidR="00F67BB4" w:rsidRPr="002D26AC" w:rsidRDefault="00F67BB4" w:rsidP="00450FF1">
      <w:pPr>
        <w:pStyle w:val="FootnoteText"/>
        <w:rPr>
          <w:lang w:val="en-US"/>
        </w:rPr>
      </w:pPr>
      <w:r w:rsidRPr="000F7D6C">
        <w:rPr>
          <w:rStyle w:val="FootnoteReference"/>
        </w:rPr>
        <w:footnoteRef/>
      </w:r>
      <w:r w:rsidRPr="002D26AC">
        <w:rPr>
          <w:sz w:val="16"/>
          <w:szCs w:val="16"/>
        </w:rPr>
        <w:t xml:space="preserve"> </w:t>
      </w:r>
      <w:r w:rsidRPr="002D26AC">
        <w:rPr>
          <w:sz w:val="16"/>
          <w:szCs w:val="16"/>
          <w:lang w:val="en-US"/>
        </w:rPr>
        <w:t xml:space="preserve">At each </w:t>
      </w:r>
      <w:r w:rsidRPr="002D26AC">
        <w:rPr>
          <w:rFonts w:ascii="Calibri" w:hAnsi="Calibri" w:cs="Calibri"/>
          <w:sz w:val="16"/>
          <w:szCs w:val="16"/>
          <w:lang w:val="en-US"/>
        </w:rPr>
        <w:t>φ</w:t>
      </w:r>
      <w:r w:rsidRPr="002D26AC">
        <w:rPr>
          <w:sz w:val="16"/>
          <w:szCs w:val="16"/>
          <w:lang w:val="en-US"/>
        </w:rPr>
        <w:t xml:space="preserve"> value the individual enthalpies must be multiplied by the </w:t>
      </w:r>
      <w:r w:rsidRPr="002D26AC">
        <w:rPr>
          <w:rFonts w:ascii="Calibri" w:hAnsi="Calibri" w:cs="Calibri"/>
          <w:sz w:val="16"/>
          <w:szCs w:val="16"/>
          <w:lang w:val="en-US"/>
        </w:rPr>
        <w:t>φ</w:t>
      </w:r>
      <w:r w:rsidRPr="002D26AC">
        <w:rPr>
          <w:sz w:val="16"/>
          <w:szCs w:val="16"/>
          <w:lang w:val="en-US"/>
        </w:rPr>
        <w:t xml:space="preserve"> value to provide an accurate “Ideal” Net Enthalpy value.</w:t>
      </w:r>
    </w:p>
  </w:footnote>
  <w:footnote w:id="9">
    <w:p w14:paraId="382F03EA" w14:textId="15BF1A60" w:rsidR="00F67BB4" w:rsidRPr="000F7D6C" w:rsidRDefault="00F67BB4">
      <w:pPr>
        <w:pStyle w:val="FootnoteText"/>
        <w:rPr>
          <w:lang w:val="en-US"/>
        </w:rPr>
      </w:pPr>
      <w:r>
        <w:rPr>
          <w:rStyle w:val="FootnoteReference"/>
        </w:rPr>
        <w:footnoteRef/>
      </w:r>
      <w:r>
        <w:t xml:space="preserve"> </w:t>
      </w:r>
      <w:r w:rsidRPr="000F7D6C">
        <w:rPr>
          <w:sz w:val="16"/>
          <w:szCs w:val="16"/>
        </w:rPr>
        <w:t>The curve fit method for this made use of the LINEST and INDEX tools in Excel rather than the inefficient method of plotting graphs to differentiate the curve equation</w:t>
      </w:r>
      <w:r>
        <w:rPr>
          <w:sz w:val="16"/>
          <w:szCs w:val="16"/>
        </w:rPr>
        <w:t xml:space="preserve"> values used for interpolation</w:t>
      </w:r>
      <w:r w:rsidRPr="000F7D6C">
        <w:rPr>
          <w:sz w:val="16"/>
          <w:szCs w:val="16"/>
        </w:rPr>
        <w:t>.</w:t>
      </w:r>
    </w:p>
  </w:footnote>
  <w:footnote w:id="10">
    <w:p w14:paraId="6FC2E3B6" w14:textId="369806DE" w:rsidR="00F67BB4" w:rsidRPr="00F67BB4" w:rsidRDefault="00F67BB4">
      <w:pPr>
        <w:pStyle w:val="FootnoteText"/>
        <w:rPr>
          <w:lang w:val="en-US"/>
        </w:rPr>
      </w:pPr>
      <w:r>
        <w:rPr>
          <w:rStyle w:val="FootnoteReference"/>
        </w:rPr>
        <w:footnoteRef/>
      </w:r>
      <w:r>
        <w:t xml:space="preserve"> </w:t>
      </w:r>
      <w:r w:rsidRPr="00F67BB4">
        <w:rPr>
          <w:sz w:val="16"/>
          <w:szCs w:val="16"/>
          <w:lang w:val="en-US"/>
        </w:rPr>
        <w:t>As the work carried out only considers a single kilo-mole of substance the values for enthalpy are shown in MJ only.</w:t>
      </w:r>
    </w:p>
  </w:footnote>
  <w:footnote w:id="11">
    <w:p w14:paraId="7FA56D44" w14:textId="47D3E137" w:rsidR="00F67BB4" w:rsidRPr="008E75EF" w:rsidRDefault="00F67BB4">
      <w:pPr>
        <w:pStyle w:val="FootnoteText"/>
        <w:rPr>
          <w:lang w:val="en-US"/>
        </w:rPr>
      </w:pPr>
      <w:r>
        <w:rPr>
          <w:rStyle w:val="FootnoteReference"/>
        </w:rPr>
        <w:footnoteRef/>
      </w:r>
      <w:r>
        <w:t xml:space="preserve"> </w:t>
      </w:r>
      <w:r w:rsidRPr="008E75EF">
        <w:rPr>
          <w:sz w:val="16"/>
          <w:szCs w:val="16"/>
          <w:lang w:val="en-US"/>
        </w:rPr>
        <w:t>The</w:t>
      </w:r>
      <w:r>
        <w:rPr>
          <w:sz w:val="16"/>
          <w:szCs w:val="16"/>
          <w:lang w:val="en-US"/>
        </w:rPr>
        <w:t xml:space="preserve"> method of </w:t>
      </w:r>
      <w:proofErr w:type="spellStart"/>
      <w:r>
        <w:rPr>
          <w:sz w:val="16"/>
          <w:szCs w:val="16"/>
          <w:lang w:val="en-US"/>
        </w:rPr>
        <w:t>calulating</w:t>
      </w:r>
      <w:proofErr w:type="spellEnd"/>
      <w:r w:rsidRPr="008E75EF">
        <w:rPr>
          <w:sz w:val="16"/>
          <w:szCs w:val="16"/>
          <w:lang w:val="en-US"/>
        </w:rPr>
        <w:t xml:space="preserve"> “No. of components in combusted product” is </w:t>
      </w:r>
      <w:r>
        <w:rPr>
          <w:sz w:val="16"/>
          <w:szCs w:val="16"/>
          <w:lang w:val="en-US"/>
        </w:rPr>
        <w:t>shown</w:t>
      </w:r>
      <w:r w:rsidRPr="008E75EF">
        <w:rPr>
          <w:sz w:val="16"/>
          <w:szCs w:val="16"/>
          <w:lang w:val="en-US"/>
        </w:rPr>
        <w:t xml:space="preserve"> during </w:t>
      </w:r>
      <w:r w:rsidRPr="008E75EF">
        <w:rPr>
          <w:sz w:val="16"/>
          <w:szCs w:val="16"/>
          <w:lang w:val="en-US"/>
        </w:rPr>
        <w:fldChar w:fldCharType="begin"/>
      </w:r>
      <w:r w:rsidRPr="008E75EF">
        <w:rPr>
          <w:sz w:val="16"/>
          <w:szCs w:val="16"/>
          <w:lang w:val="en-US"/>
        </w:rPr>
        <w:instrText xml:space="preserve"> REF _Ref29154870 \r \h </w:instrText>
      </w:r>
      <w:r w:rsidRPr="008E75EF">
        <w:rPr>
          <w:sz w:val="16"/>
          <w:szCs w:val="16"/>
          <w:lang w:val="en-US"/>
        </w:rPr>
      </w:r>
      <w:r w:rsidRPr="008E75EF">
        <w:rPr>
          <w:sz w:val="16"/>
          <w:szCs w:val="16"/>
          <w:lang w:val="en-US"/>
        </w:rPr>
        <w:instrText xml:space="preserve"> \* MERGEFORMAT </w:instrText>
      </w:r>
      <w:r w:rsidRPr="008E75EF">
        <w:rPr>
          <w:sz w:val="16"/>
          <w:szCs w:val="16"/>
          <w:lang w:val="en-US"/>
        </w:rPr>
        <w:fldChar w:fldCharType="separate"/>
      </w:r>
      <w:r w:rsidRPr="008E75EF">
        <w:rPr>
          <w:sz w:val="16"/>
          <w:szCs w:val="16"/>
          <w:lang w:val="en-US"/>
        </w:rPr>
        <w:t>2.2.1</w:t>
      </w:r>
      <w:r w:rsidRPr="008E75EF">
        <w:rPr>
          <w:sz w:val="16"/>
          <w:szCs w:val="16"/>
          <w:lang w:val="en-US"/>
        </w:rPr>
        <w:fldChar w:fldCharType="end"/>
      </w:r>
      <w:r w:rsidRPr="008E75EF">
        <w:rPr>
          <w:sz w:val="16"/>
          <w:szCs w:val="16"/>
          <w:lang w:val="en-US"/>
        </w:rPr>
        <w:t>.</w:t>
      </w:r>
    </w:p>
  </w:footnote>
  <w:footnote w:id="12">
    <w:p w14:paraId="7B7F3DBA" w14:textId="7BF6DC96" w:rsidR="00F67BB4" w:rsidRPr="00966158" w:rsidRDefault="00F67BB4">
      <w:pPr>
        <w:pStyle w:val="FootnoteText"/>
        <w:rPr>
          <w:lang w:val="en-US"/>
        </w:rPr>
      </w:pPr>
      <w:r>
        <w:rPr>
          <w:rStyle w:val="FootnoteReference"/>
        </w:rPr>
        <w:footnoteRef/>
      </w:r>
      <w:r>
        <w:t xml:space="preserve"> </w:t>
      </w:r>
      <w:r w:rsidRPr="00966158">
        <w:rPr>
          <w:sz w:val="16"/>
          <w:szCs w:val="16"/>
          <w:lang w:val="en-US"/>
        </w:rPr>
        <w:t>Here the Polytropic index value of the process is represented by gamma (</w:t>
      </w:r>
      <w:r w:rsidRPr="00966158">
        <w:rPr>
          <w:rFonts w:ascii="Times New Roman" w:hAnsi="Times New Roman" w:cs="Times New Roman"/>
          <w:sz w:val="16"/>
          <w:szCs w:val="16"/>
          <w:lang w:val="en-US"/>
        </w:rPr>
        <w:t>γ</w:t>
      </w:r>
      <w:r w:rsidRPr="00966158">
        <w:rPr>
          <w:sz w:val="16"/>
          <w:szCs w:val="16"/>
          <w:lang w:val="en-US"/>
        </w:rPr>
        <w:t>).</w:t>
      </w:r>
    </w:p>
  </w:footnote>
  <w:footnote w:id="13">
    <w:p w14:paraId="0B67A24E" w14:textId="12E9F983" w:rsidR="00F67BB4" w:rsidRPr="00F07B17" w:rsidRDefault="00F67BB4">
      <w:pPr>
        <w:pStyle w:val="FootnoteText"/>
        <w:rPr>
          <w:lang w:val="en-US"/>
        </w:rPr>
      </w:pPr>
      <w:r>
        <w:rPr>
          <w:rStyle w:val="FootnoteReference"/>
        </w:rPr>
        <w:footnoteRef/>
      </w:r>
      <w:r>
        <w:t xml:space="preserve"> </w:t>
      </w:r>
      <w:r w:rsidRPr="00F07B17">
        <w:rPr>
          <w:sz w:val="16"/>
          <w:szCs w:val="16"/>
          <w:lang w:val="en-US"/>
        </w:rPr>
        <w:t>The “+1” seen in this equation is just to convert a percentage of EGR into a coefficient for addition of EGR e.g. 5% EGR is 0.05 so to get an addition of 5% a value of 1.05 is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18B22" w14:textId="1B6CA492" w:rsidR="00F67BB4" w:rsidRDefault="00F67BB4">
    <w:pPr>
      <w:pStyle w:val="Header"/>
    </w:pPr>
    <w:r w:rsidRPr="007C2365">
      <w:rPr>
        <w:noProof/>
        <w:lang w:val="en-US"/>
      </w:rPr>
      <w:drawing>
        <wp:anchor distT="0" distB="0" distL="114300" distR="114300" simplePos="0" relativeHeight="251658240" behindDoc="1" locked="0" layoutInCell="1" allowOverlap="1" wp14:anchorId="3F63F6AA" wp14:editId="78FAA528">
          <wp:simplePos x="0" y="0"/>
          <wp:positionH relativeFrom="column">
            <wp:posOffset>4521200</wp:posOffset>
          </wp:positionH>
          <wp:positionV relativeFrom="paragraph">
            <wp:posOffset>-341630</wp:posOffset>
          </wp:positionV>
          <wp:extent cx="1793875" cy="706341"/>
          <wp:effectExtent l="0" t="0" r="0" b="0"/>
          <wp:wrapNone/>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696" cy="715327"/>
                  </a:xfrm>
                  <a:prstGeom prst="rect">
                    <a:avLst/>
                  </a:prstGeom>
                  <a:noFill/>
                  <a:ln>
                    <a:noFill/>
                  </a:ln>
                </pic:spPr>
              </pic:pic>
            </a:graphicData>
          </a:graphic>
          <wp14:sizeRelH relativeFrom="page">
            <wp14:pctWidth>0</wp14:pctWidth>
          </wp14:sizeRelH>
          <wp14:sizeRelV relativeFrom="page">
            <wp14:pctHeight>0</wp14:pctHeight>
          </wp14:sizeRelV>
        </wp:anchor>
      </w:drawing>
    </w:r>
    <w:r>
      <w:t>6</w:t>
    </w:r>
    <w:r w:rsidRPr="007C2365">
      <w:rPr>
        <w:vertAlign w:val="superscript"/>
      </w:rPr>
      <w:t>th</w:t>
    </w:r>
    <w:r>
      <w:t xml:space="preserve"> January 2020</w:t>
    </w:r>
    <w:r>
      <w:ptab w:relativeTo="margin" w:alignment="center" w:leader="none"/>
    </w:r>
    <w:r>
      <w:t>Owen Williams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21D"/>
    <w:multiLevelType w:val="hybridMultilevel"/>
    <w:tmpl w:val="9D7AD8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2D747C"/>
    <w:multiLevelType w:val="multilevel"/>
    <w:tmpl w:val="446EA6A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vertAlign w:val="baseli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C7231FA"/>
    <w:multiLevelType w:val="hybridMultilevel"/>
    <w:tmpl w:val="06A64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65236"/>
    <w:multiLevelType w:val="hybridMultilevel"/>
    <w:tmpl w:val="5018FF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C66671"/>
    <w:multiLevelType w:val="hybridMultilevel"/>
    <w:tmpl w:val="A522A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BC"/>
    <w:rsid w:val="000002A7"/>
    <w:rsid w:val="00030E31"/>
    <w:rsid w:val="00054438"/>
    <w:rsid w:val="00054A9B"/>
    <w:rsid w:val="00055063"/>
    <w:rsid w:val="00057ACD"/>
    <w:rsid w:val="00064A2F"/>
    <w:rsid w:val="000679F9"/>
    <w:rsid w:val="00080E18"/>
    <w:rsid w:val="000862F1"/>
    <w:rsid w:val="000B1536"/>
    <w:rsid w:val="000C2AA3"/>
    <w:rsid w:val="000C7CA5"/>
    <w:rsid w:val="000F7D6C"/>
    <w:rsid w:val="00114217"/>
    <w:rsid w:val="00126DEE"/>
    <w:rsid w:val="0015064E"/>
    <w:rsid w:val="0018729B"/>
    <w:rsid w:val="001A103C"/>
    <w:rsid w:val="001B3251"/>
    <w:rsid w:val="001C32AC"/>
    <w:rsid w:val="001C3725"/>
    <w:rsid w:val="001E43EA"/>
    <w:rsid w:val="001E65B8"/>
    <w:rsid w:val="001E7D90"/>
    <w:rsid w:val="0024149A"/>
    <w:rsid w:val="00254BDC"/>
    <w:rsid w:val="002710D9"/>
    <w:rsid w:val="00286752"/>
    <w:rsid w:val="00295D3E"/>
    <w:rsid w:val="002A563F"/>
    <w:rsid w:val="002B021D"/>
    <w:rsid w:val="002D26AC"/>
    <w:rsid w:val="00312A0B"/>
    <w:rsid w:val="00340D54"/>
    <w:rsid w:val="00363BEF"/>
    <w:rsid w:val="0036404E"/>
    <w:rsid w:val="00376D6D"/>
    <w:rsid w:val="00381F8D"/>
    <w:rsid w:val="00384C0C"/>
    <w:rsid w:val="00387392"/>
    <w:rsid w:val="00394248"/>
    <w:rsid w:val="003A6A79"/>
    <w:rsid w:val="003C2970"/>
    <w:rsid w:val="003D446D"/>
    <w:rsid w:val="003D5B51"/>
    <w:rsid w:val="003D60F3"/>
    <w:rsid w:val="003F02A8"/>
    <w:rsid w:val="003F3B36"/>
    <w:rsid w:val="0040588C"/>
    <w:rsid w:val="0041475A"/>
    <w:rsid w:val="0041583C"/>
    <w:rsid w:val="00427873"/>
    <w:rsid w:val="004435AC"/>
    <w:rsid w:val="00443626"/>
    <w:rsid w:val="00450FF1"/>
    <w:rsid w:val="004778F7"/>
    <w:rsid w:val="004B5A19"/>
    <w:rsid w:val="004C6C05"/>
    <w:rsid w:val="004D06EC"/>
    <w:rsid w:val="00506945"/>
    <w:rsid w:val="00572E49"/>
    <w:rsid w:val="005A0E0E"/>
    <w:rsid w:val="005A659B"/>
    <w:rsid w:val="005C6C50"/>
    <w:rsid w:val="005D5CCE"/>
    <w:rsid w:val="005F195E"/>
    <w:rsid w:val="00605ADD"/>
    <w:rsid w:val="00613EFE"/>
    <w:rsid w:val="00616D5D"/>
    <w:rsid w:val="00632983"/>
    <w:rsid w:val="00643AAE"/>
    <w:rsid w:val="00643B57"/>
    <w:rsid w:val="0069326F"/>
    <w:rsid w:val="006B13B8"/>
    <w:rsid w:val="006D4AD3"/>
    <w:rsid w:val="006D52D3"/>
    <w:rsid w:val="00727F05"/>
    <w:rsid w:val="00730E25"/>
    <w:rsid w:val="00743BB7"/>
    <w:rsid w:val="007511D9"/>
    <w:rsid w:val="00762B0A"/>
    <w:rsid w:val="00767572"/>
    <w:rsid w:val="007A50BC"/>
    <w:rsid w:val="007B3CB6"/>
    <w:rsid w:val="007C2365"/>
    <w:rsid w:val="007C5736"/>
    <w:rsid w:val="007D4ABE"/>
    <w:rsid w:val="007D640E"/>
    <w:rsid w:val="007F2CA7"/>
    <w:rsid w:val="00805D5E"/>
    <w:rsid w:val="00820E60"/>
    <w:rsid w:val="00822DE6"/>
    <w:rsid w:val="00840DA5"/>
    <w:rsid w:val="00891DA0"/>
    <w:rsid w:val="008B240B"/>
    <w:rsid w:val="008D260C"/>
    <w:rsid w:val="008E75EF"/>
    <w:rsid w:val="008F3B33"/>
    <w:rsid w:val="008F409D"/>
    <w:rsid w:val="00910DE6"/>
    <w:rsid w:val="00932126"/>
    <w:rsid w:val="00952A62"/>
    <w:rsid w:val="0096074D"/>
    <w:rsid w:val="00962CED"/>
    <w:rsid w:val="00966158"/>
    <w:rsid w:val="00980B54"/>
    <w:rsid w:val="00986D93"/>
    <w:rsid w:val="00990727"/>
    <w:rsid w:val="00996F84"/>
    <w:rsid w:val="009B21FE"/>
    <w:rsid w:val="009C0991"/>
    <w:rsid w:val="009C1404"/>
    <w:rsid w:val="00A07AE1"/>
    <w:rsid w:val="00A173EE"/>
    <w:rsid w:val="00A208DD"/>
    <w:rsid w:val="00A21474"/>
    <w:rsid w:val="00A553C5"/>
    <w:rsid w:val="00A726E0"/>
    <w:rsid w:val="00A77B96"/>
    <w:rsid w:val="00A81A1E"/>
    <w:rsid w:val="00AB4699"/>
    <w:rsid w:val="00AC32ED"/>
    <w:rsid w:val="00AD5C9C"/>
    <w:rsid w:val="00B15BD9"/>
    <w:rsid w:val="00B3613F"/>
    <w:rsid w:val="00B44080"/>
    <w:rsid w:val="00B61572"/>
    <w:rsid w:val="00B80BA7"/>
    <w:rsid w:val="00B84DF0"/>
    <w:rsid w:val="00B9232A"/>
    <w:rsid w:val="00BB683A"/>
    <w:rsid w:val="00BD1CDF"/>
    <w:rsid w:val="00C13246"/>
    <w:rsid w:val="00C3111C"/>
    <w:rsid w:val="00C95339"/>
    <w:rsid w:val="00CC22B0"/>
    <w:rsid w:val="00CC6132"/>
    <w:rsid w:val="00CE1BF2"/>
    <w:rsid w:val="00CE3223"/>
    <w:rsid w:val="00CF7B1D"/>
    <w:rsid w:val="00D02A94"/>
    <w:rsid w:val="00D030D9"/>
    <w:rsid w:val="00D1574E"/>
    <w:rsid w:val="00D17E41"/>
    <w:rsid w:val="00D45AC3"/>
    <w:rsid w:val="00D53790"/>
    <w:rsid w:val="00D56068"/>
    <w:rsid w:val="00D62ED7"/>
    <w:rsid w:val="00D650D8"/>
    <w:rsid w:val="00D77F92"/>
    <w:rsid w:val="00DA0EA8"/>
    <w:rsid w:val="00DB10DB"/>
    <w:rsid w:val="00DB4B05"/>
    <w:rsid w:val="00DE5453"/>
    <w:rsid w:val="00DE58A5"/>
    <w:rsid w:val="00DE74CE"/>
    <w:rsid w:val="00E02F27"/>
    <w:rsid w:val="00E13513"/>
    <w:rsid w:val="00E51CD0"/>
    <w:rsid w:val="00E57634"/>
    <w:rsid w:val="00E87DD0"/>
    <w:rsid w:val="00E9219B"/>
    <w:rsid w:val="00EA4AB3"/>
    <w:rsid w:val="00ED552D"/>
    <w:rsid w:val="00ED57B6"/>
    <w:rsid w:val="00EE0C5B"/>
    <w:rsid w:val="00F07B17"/>
    <w:rsid w:val="00F3692D"/>
    <w:rsid w:val="00F65B0B"/>
    <w:rsid w:val="00F67BB4"/>
    <w:rsid w:val="00F86774"/>
    <w:rsid w:val="00FC2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0FCE97B"/>
  <w15:chartTrackingRefBased/>
  <w15:docId w15:val="{9810AC41-1071-4CBF-822A-CD3FE3C4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0BC"/>
    <w:pPr>
      <w:spacing w:line="360" w:lineRule="auto"/>
    </w:pPr>
    <w:rPr>
      <w:rFonts w:ascii="Arial" w:hAnsi="Arial"/>
      <w:sz w:val="20"/>
    </w:rPr>
  </w:style>
  <w:style w:type="paragraph" w:styleId="Heading1">
    <w:name w:val="heading 1"/>
    <w:basedOn w:val="Normal"/>
    <w:next w:val="Normal"/>
    <w:link w:val="Heading1Char"/>
    <w:uiPriority w:val="9"/>
    <w:qFormat/>
    <w:rsid w:val="007A50BC"/>
    <w:pPr>
      <w:keepNext/>
      <w:keepLines/>
      <w:numPr>
        <w:numId w:val="1"/>
      </w:numPr>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7A50BC"/>
    <w:pPr>
      <w:keepNext/>
      <w:keepLines/>
      <w:numPr>
        <w:ilvl w:val="1"/>
        <w:numId w:val="1"/>
      </w:numPr>
      <w:spacing w:before="40" w:after="0"/>
      <w:outlineLvl w:val="1"/>
    </w:pPr>
    <w:rPr>
      <w:rFonts w:eastAsiaTheme="majorEastAsia" w:cstheme="majorBidi"/>
      <w:color w:val="2E74B5" w:themeColor="accent1" w:themeShade="BF"/>
      <w:sz w:val="24"/>
      <w:szCs w:val="26"/>
    </w:rPr>
  </w:style>
  <w:style w:type="paragraph" w:styleId="Heading3">
    <w:name w:val="heading 3"/>
    <w:basedOn w:val="Normal"/>
    <w:next w:val="Normal"/>
    <w:link w:val="Heading3Char"/>
    <w:uiPriority w:val="9"/>
    <w:unhideWhenUsed/>
    <w:qFormat/>
    <w:rsid w:val="007A50B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A50B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A50B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7A50B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A50B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A5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5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BC"/>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7A50BC"/>
    <w:rPr>
      <w:rFonts w:ascii="Arial" w:eastAsiaTheme="majorEastAsia" w:hAnsi="Arial" w:cstheme="majorBidi"/>
      <w:color w:val="2E74B5" w:themeColor="accent1" w:themeShade="BF"/>
      <w:sz w:val="24"/>
      <w:szCs w:val="26"/>
    </w:rPr>
  </w:style>
  <w:style w:type="character" w:customStyle="1" w:styleId="Heading3Char">
    <w:name w:val="Heading 3 Char"/>
    <w:basedOn w:val="DefaultParagraphFont"/>
    <w:link w:val="Heading3"/>
    <w:uiPriority w:val="9"/>
    <w:rsid w:val="007A50B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A50BC"/>
    <w:rPr>
      <w:rFonts w:asciiTheme="majorHAnsi" w:eastAsiaTheme="majorEastAsia" w:hAnsiTheme="majorHAnsi" w:cstheme="majorBidi"/>
      <w:i/>
      <w:iCs/>
      <w:color w:val="2E74B5" w:themeColor="accent1" w:themeShade="BF"/>
      <w:sz w:val="20"/>
    </w:rPr>
  </w:style>
  <w:style w:type="character" w:customStyle="1" w:styleId="Heading5Char">
    <w:name w:val="Heading 5 Char"/>
    <w:basedOn w:val="DefaultParagraphFont"/>
    <w:link w:val="Heading5"/>
    <w:uiPriority w:val="9"/>
    <w:rsid w:val="007A50BC"/>
    <w:rPr>
      <w:rFonts w:asciiTheme="majorHAnsi" w:eastAsiaTheme="majorEastAsia" w:hAnsiTheme="majorHAnsi" w:cstheme="majorBidi"/>
      <w:color w:val="2E74B5" w:themeColor="accent1" w:themeShade="BF"/>
      <w:sz w:val="20"/>
    </w:rPr>
  </w:style>
  <w:style w:type="character" w:customStyle="1" w:styleId="Heading6Char">
    <w:name w:val="Heading 6 Char"/>
    <w:basedOn w:val="DefaultParagraphFont"/>
    <w:link w:val="Heading6"/>
    <w:uiPriority w:val="9"/>
    <w:rsid w:val="007A50BC"/>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7A50BC"/>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7A5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50B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A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BC"/>
    <w:rPr>
      <w:rFonts w:ascii="Arial" w:hAnsi="Arial"/>
      <w:sz w:val="20"/>
    </w:rPr>
  </w:style>
  <w:style w:type="paragraph" w:styleId="Footer">
    <w:name w:val="footer"/>
    <w:basedOn w:val="Normal"/>
    <w:link w:val="FooterChar"/>
    <w:uiPriority w:val="99"/>
    <w:unhideWhenUsed/>
    <w:rsid w:val="007A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BC"/>
    <w:rPr>
      <w:rFonts w:ascii="Arial" w:hAnsi="Arial"/>
      <w:sz w:val="20"/>
    </w:rPr>
  </w:style>
  <w:style w:type="paragraph" w:styleId="TOCHeading">
    <w:name w:val="TOC Heading"/>
    <w:basedOn w:val="Heading1"/>
    <w:next w:val="Normal"/>
    <w:uiPriority w:val="39"/>
    <w:unhideWhenUsed/>
    <w:qFormat/>
    <w:rsid w:val="001E43E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1E43EA"/>
    <w:pPr>
      <w:spacing w:after="100"/>
    </w:pPr>
  </w:style>
  <w:style w:type="paragraph" w:styleId="TOC2">
    <w:name w:val="toc 2"/>
    <w:basedOn w:val="Normal"/>
    <w:next w:val="Normal"/>
    <w:autoRedefine/>
    <w:uiPriority w:val="39"/>
    <w:unhideWhenUsed/>
    <w:rsid w:val="001E43EA"/>
    <w:pPr>
      <w:spacing w:after="100"/>
      <w:ind w:left="200"/>
    </w:pPr>
  </w:style>
  <w:style w:type="character" w:styleId="Hyperlink">
    <w:name w:val="Hyperlink"/>
    <w:basedOn w:val="DefaultParagraphFont"/>
    <w:uiPriority w:val="99"/>
    <w:unhideWhenUsed/>
    <w:rsid w:val="001E43EA"/>
    <w:rPr>
      <w:color w:val="0563C1" w:themeColor="hyperlink"/>
      <w:u w:val="single"/>
    </w:rPr>
  </w:style>
  <w:style w:type="table" w:styleId="TableGrid">
    <w:name w:val="Table Grid"/>
    <w:basedOn w:val="TableNormal"/>
    <w:uiPriority w:val="39"/>
    <w:rsid w:val="001E4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43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43EA"/>
    <w:pPr>
      <w:spacing w:after="0"/>
    </w:pPr>
  </w:style>
  <w:style w:type="paragraph" w:styleId="NoSpacing">
    <w:name w:val="No Spacing"/>
    <w:link w:val="NoSpacingChar"/>
    <w:uiPriority w:val="1"/>
    <w:qFormat/>
    <w:rsid w:val="001E43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3EA"/>
    <w:rPr>
      <w:rFonts w:eastAsiaTheme="minorEastAsia"/>
      <w:lang w:val="en-US"/>
    </w:rPr>
  </w:style>
  <w:style w:type="character" w:styleId="PlaceholderText">
    <w:name w:val="Placeholder Text"/>
    <w:basedOn w:val="DefaultParagraphFont"/>
    <w:uiPriority w:val="99"/>
    <w:semiHidden/>
    <w:rsid w:val="001B3251"/>
    <w:rPr>
      <w:color w:val="808080"/>
    </w:rPr>
  </w:style>
  <w:style w:type="paragraph" w:styleId="FootnoteText">
    <w:name w:val="footnote text"/>
    <w:basedOn w:val="Normal"/>
    <w:link w:val="FootnoteTextChar"/>
    <w:uiPriority w:val="99"/>
    <w:semiHidden/>
    <w:unhideWhenUsed/>
    <w:rsid w:val="00D56068"/>
    <w:pPr>
      <w:spacing w:after="0" w:line="240" w:lineRule="auto"/>
    </w:pPr>
    <w:rPr>
      <w:szCs w:val="20"/>
    </w:rPr>
  </w:style>
  <w:style w:type="character" w:customStyle="1" w:styleId="FootnoteTextChar">
    <w:name w:val="Footnote Text Char"/>
    <w:basedOn w:val="DefaultParagraphFont"/>
    <w:link w:val="FootnoteText"/>
    <w:uiPriority w:val="99"/>
    <w:semiHidden/>
    <w:rsid w:val="00D56068"/>
    <w:rPr>
      <w:rFonts w:ascii="Arial" w:hAnsi="Arial"/>
      <w:sz w:val="20"/>
      <w:szCs w:val="20"/>
    </w:rPr>
  </w:style>
  <w:style w:type="character" w:styleId="FootnoteReference">
    <w:name w:val="footnote reference"/>
    <w:basedOn w:val="DefaultParagraphFont"/>
    <w:uiPriority w:val="99"/>
    <w:semiHidden/>
    <w:unhideWhenUsed/>
    <w:rsid w:val="00D56068"/>
    <w:rPr>
      <w:vertAlign w:val="superscript"/>
    </w:rPr>
  </w:style>
  <w:style w:type="paragraph" w:styleId="TOC3">
    <w:name w:val="toc 3"/>
    <w:basedOn w:val="Normal"/>
    <w:next w:val="Normal"/>
    <w:autoRedefine/>
    <w:uiPriority w:val="39"/>
    <w:unhideWhenUsed/>
    <w:rsid w:val="00D56068"/>
    <w:pPr>
      <w:spacing w:after="100"/>
      <w:ind w:left="400"/>
    </w:pPr>
  </w:style>
  <w:style w:type="paragraph" w:styleId="Bibliography">
    <w:name w:val="Bibliography"/>
    <w:basedOn w:val="Normal"/>
    <w:next w:val="Normal"/>
    <w:uiPriority w:val="37"/>
    <w:unhideWhenUsed/>
    <w:rsid w:val="001E7D90"/>
  </w:style>
  <w:style w:type="paragraph" w:styleId="ListParagraph">
    <w:name w:val="List Paragraph"/>
    <w:basedOn w:val="Normal"/>
    <w:uiPriority w:val="34"/>
    <w:qFormat/>
    <w:rsid w:val="006B13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4742">
      <w:bodyDiv w:val="1"/>
      <w:marLeft w:val="0"/>
      <w:marRight w:val="0"/>
      <w:marTop w:val="0"/>
      <w:marBottom w:val="0"/>
      <w:divBdr>
        <w:top w:val="none" w:sz="0" w:space="0" w:color="auto"/>
        <w:left w:val="none" w:sz="0" w:space="0" w:color="auto"/>
        <w:bottom w:val="none" w:sz="0" w:space="0" w:color="auto"/>
        <w:right w:val="none" w:sz="0" w:space="0" w:color="auto"/>
      </w:divBdr>
    </w:div>
    <w:div w:id="124279660">
      <w:bodyDiv w:val="1"/>
      <w:marLeft w:val="0"/>
      <w:marRight w:val="0"/>
      <w:marTop w:val="0"/>
      <w:marBottom w:val="0"/>
      <w:divBdr>
        <w:top w:val="none" w:sz="0" w:space="0" w:color="auto"/>
        <w:left w:val="none" w:sz="0" w:space="0" w:color="auto"/>
        <w:bottom w:val="none" w:sz="0" w:space="0" w:color="auto"/>
        <w:right w:val="none" w:sz="0" w:space="0" w:color="auto"/>
      </w:divBdr>
    </w:div>
    <w:div w:id="600186314">
      <w:bodyDiv w:val="1"/>
      <w:marLeft w:val="0"/>
      <w:marRight w:val="0"/>
      <w:marTop w:val="0"/>
      <w:marBottom w:val="0"/>
      <w:divBdr>
        <w:top w:val="none" w:sz="0" w:space="0" w:color="auto"/>
        <w:left w:val="none" w:sz="0" w:space="0" w:color="auto"/>
        <w:bottom w:val="none" w:sz="0" w:space="0" w:color="auto"/>
        <w:right w:val="none" w:sz="0" w:space="0" w:color="auto"/>
      </w:divBdr>
    </w:div>
    <w:div w:id="620764701">
      <w:bodyDiv w:val="1"/>
      <w:marLeft w:val="0"/>
      <w:marRight w:val="0"/>
      <w:marTop w:val="0"/>
      <w:marBottom w:val="0"/>
      <w:divBdr>
        <w:top w:val="none" w:sz="0" w:space="0" w:color="auto"/>
        <w:left w:val="none" w:sz="0" w:space="0" w:color="auto"/>
        <w:bottom w:val="none" w:sz="0" w:space="0" w:color="auto"/>
        <w:right w:val="none" w:sz="0" w:space="0" w:color="auto"/>
      </w:divBdr>
    </w:div>
    <w:div w:id="663779608">
      <w:bodyDiv w:val="1"/>
      <w:marLeft w:val="0"/>
      <w:marRight w:val="0"/>
      <w:marTop w:val="0"/>
      <w:marBottom w:val="0"/>
      <w:divBdr>
        <w:top w:val="none" w:sz="0" w:space="0" w:color="auto"/>
        <w:left w:val="none" w:sz="0" w:space="0" w:color="auto"/>
        <w:bottom w:val="none" w:sz="0" w:space="0" w:color="auto"/>
        <w:right w:val="none" w:sz="0" w:space="0" w:color="auto"/>
      </w:divBdr>
    </w:div>
    <w:div w:id="832573459">
      <w:bodyDiv w:val="1"/>
      <w:marLeft w:val="0"/>
      <w:marRight w:val="0"/>
      <w:marTop w:val="0"/>
      <w:marBottom w:val="0"/>
      <w:divBdr>
        <w:top w:val="none" w:sz="0" w:space="0" w:color="auto"/>
        <w:left w:val="none" w:sz="0" w:space="0" w:color="auto"/>
        <w:bottom w:val="none" w:sz="0" w:space="0" w:color="auto"/>
        <w:right w:val="none" w:sz="0" w:space="0" w:color="auto"/>
      </w:divBdr>
    </w:div>
    <w:div w:id="900216702">
      <w:bodyDiv w:val="1"/>
      <w:marLeft w:val="0"/>
      <w:marRight w:val="0"/>
      <w:marTop w:val="0"/>
      <w:marBottom w:val="0"/>
      <w:divBdr>
        <w:top w:val="none" w:sz="0" w:space="0" w:color="auto"/>
        <w:left w:val="none" w:sz="0" w:space="0" w:color="auto"/>
        <w:bottom w:val="none" w:sz="0" w:space="0" w:color="auto"/>
        <w:right w:val="none" w:sz="0" w:space="0" w:color="auto"/>
      </w:divBdr>
    </w:div>
    <w:div w:id="985821904">
      <w:bodyDiv w:val="1"/>
      <w:marLeft w:val="0"/>
      <w:marRight w:val="0"/>
      <w:marTop w:val="0"/>
      <w:marBottom w:val="0"/>
      <w:divBdr>
        <w:top w:val="none" w:sz="0" w:space="0" w:color="auto"/>
        <w:left w:val="none" w:sz="0" w:space="0" w:color="auto"/>
        <w:bottom w:val="none" w:sz="0" w:space="0" w:color="auto"/>
        <w:right w:val="none" w:sz="0" w:space="0" w:color="auto"/>
      </w:divBdr>
    </w:div>
    <w:div w:id="1156646486">
      <w:bodyDiv w:val="1"/>
      <w:marLeft w:val="0"/>
      <w:marRight w:val="0"/>
      <w:marTop w:val="0"/>
      <w:marBottom w:val="0"/>
      <w:divBdr>
        <w:top w:val="none" w:sz="0" w:space="0" w:color="auto"/>
        <w:left w:val="none" w:sz="0" w:space="0" w:color="auto"/>
        <w:bottom w:val="none" w:sz="0" w:space="0" w:color="auto"/>
        <w:right w:val="none" w:sz="0" w:space="0" w:color="auto"/>
      </w:divBdr>
    </w:div>
    <w:div w:id="1180270368">
      <w:bodyDiv w:val="1"/>
      <w:marLeft w:val="0"/>
      <w:marRight w:val="0"/>
      <w:marTop w:val="0"/>
      <w:marBottom w:val="0"/>
      <w:divBdr>
        <w:top w:val="none" w:sz="0" w:space="0" w:color="auto"/>
        <w:left w:val="none" w:sz="0" w:space="0" w:color="auto"/>
        <w:bottom w:val="none" w:sz="0" w:space="0" w:color="auto"/>
        <w:right w:val="none" w:sz="0" w:space="0" w:color="auto"/>
      </w:divBdr>
    </w:div>
    <w:div w:id="1257667931">
      <w:bodyDiv w:val="1"/>
      <w:marLeft w:val="0"/>
      <w:marRight w:val="0"/>
      <w:marTop w:val="0"/>
      <w:marBottom w:val="0"/>
      <w:divBdr>
        <w:top w:val="none" w:sz="0" w:space="0" w:color="auto"/>
        <w:left w:val="none" w:sz="0" w:space="0" w:color="auto"/>
        <w:bottom w:val="none" w:sz="0" w:space="0" w:color="auto"/>
        <w:right w:val="none" w:sz="0" w:space="0" w:color="auto"/>
      </w:divBdr>
    </w:div>
    <w:div w:id="1271819140">
      <w:bodyDiv w:val="1"/>
      <w:marLeft w:val="0"/>
      <w:marRight w:val="0"/>
      <w:marTop w:val="0"/>
      <w:marBottom w:val="0"/>
      <w:divBdr>
        <w:top w:val="none" w:sz="0" w:space="0" w:color="auto"/>
        <w:left w:val="none" w:sz="0" w:space="0" w:color="auto"/>
        <w:bottom w:val="none" w:sz="0" w:space="0" w:color="auto"/>
        <w:right w:val="none" w:sz="0" w:space="0" w:color="auto"/>
      </w:divBdr>
    </w:div>
    <w:div w:id="1367875027">
      <w:bodyDiv w:val="1"/>
      <w:marLeft w:val="0"/>
      <w:marRight w:val="0"/>
      <w:marTop w:val="0"/>
      <w:marBottom w:val="0"/>
      <w:divBdr>
        <w:top w:val="none" w:sz="0" w:space="0" w:color="auto"/>
        <w:left w:val="none" w:sz="0" w:space="0" w:color="auto"/>
        <w:bottom w:val="none" w:sz="0" w:space="0" w:color="auto"/>
        <w:right w:val="none" w:sz="0" w:space="0" w:color="auto"/>
      </w:divBdr>
    </w:div>
    <w:div w:id="1442843414">
      <w:bodyDiv w:val="1"/>
      <w:marLeft w:val="0"/>
      <w:marRight w:val="0"/>
      <w:marTop w:val="0"/>
      <w:marBottom w:val="0"/>
      <w:divBdr>
        <w:top w:val="none" w:sz="0" w:space="0" w:color="auto"/>
        <w:left w:val="none" w:sz="0" w:space="0" w:color="auto"/>
        <w:bottom w:val="none" w:sz="0" w:space="0" w:color="auto"/>
        <w:right w:val="none" w:sz="0" w:space="0" w:color="auto"/>
      </w:divBdr>
    </w:div>
    <w:div w:id="1454982178">
      <w:bodyDiv w:val="1"/>
      <w:marLeft w:val="0"/>
      <w:marRight w:val="0"/>
      <w:marTop w:val="0"/>
      <w:marBottom w:val="0"/>
      <w:divBdr>
        <w:top w:val="none" w:sz="0" w:space="0" w:color="auto"/>
        <w:left w:val="none" w:sz="0" w:space="0" w:color="auto"/>
        <w:bottom w:val="none" w:sz="0" w:space="0" w:color="auto"/>
        <w:right w:val="none" w:sz="0" w:space="0" w:color="auto"/>
      </w:divBdr>
    </w:div>
    <w:div w:id="1695493762">
      <w:bodyDiv w:val="1"/>
      <w:marLeft w:val="0"/>
      <w:marRight w:val="0"/>
      <w:marTop w:val="0"/>
      <w:marBottom w:val="0"/>
      <w:divBdr>
        <w:top w:val="none" w:sz="0" w:space="0" w:color="auto"/>
        <w:left w:val="none" w:sz="0" w:space="0" w:color="auto"/>
        <w:bottom w:val="none" w:sz="0" w:space="0" w:color="auto"/>
        <w:right w:val="none" w:sz="0" w:space="0" w:color="auto"/>
      </w:divBdr>
    </w:div>
    <w:div w:id="1720857586">
      <w:bodyDiv w:val="1"/>
      <w:marLeft w:val="0"/>
      <w:marRight w:val="0"/>
      <w:marTop w:val="0"/>
      <w:marBottom w:val="0"/>
      <w:divBdr>
        <w:top w:val="none" w:sz="0" w:space="0" w:color="auto"/>
        <w:left w:val="none" w:sz="0" w:space="0" w:color="auto"/>
        <w:bottom w:val="none" w:sz="0" w:space="0" w:color="auto"/>
        <w:right w:val="none" w:sz="0" w:space="0" w:color="auto"/>
      </w:divBdr>
    </w:div>
    <w:div w:id="2037582934">
      <w:bodyDiv w:val="1"/>
      <w:marLeft w:val="0"/>
      <w:marRight w:val="0"/>
      <w:marTop w:val="0"/>
      <w:marBottom w:val="0"/>
      <w:divBdr>
        <w:top w:val="none" w:sz="0" w:space="0" w:color="auto"/>
        <w:left w:val="none" w:sz="0" w:space="0" w:color="auto"/>
        <w:bottom w:val="none" w:sz="0" w:space="0" w:color="auto"/>
        <w:right w:val="none" w:sz="0" w:space="0" w:color="auto"/>
      </w:divBdr>
    </w:div>
    <w:div w:id="209959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yperlink" Target="file:///G:\OWEN%20LORD\3rd%20Year\Powertrain\Assignment.docx" TargetMode="Externa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chart" Target="charts/chart2.xml"/><Relationship Id="rId10" Type="http://schemas.openxmlformats.org/officeDocument/2006/relationships/hyperlink" Target="file:///G:\OWEN%20LORD\3rd%20Year\Powertrain\Assignment.docx" TargetMode="Externa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yperlink" Target="file:///G:\OWEN%20LORD\3rd%20Year\Powertrain\Assignment.docx" TargetMode="External"/><Relationship Id="rId14" Type="http://schemas.openxmlformats.org/officeDocument/2006/relationships/image" Target="media/image3.png"/><Relationship Id="rId22" Type="http://schemas.openxmlformats.org/officeDocument/2006/relationships/chart" Target="charts/chart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000"/>
              <a:t>NOx Production at Differing Fuel Equivalence Ratios against EGR Fraction in Lean Burn Conditions</a:t>
            </a:r>
          </a:p>
        </c:rich>
      </c:tx>
      <c:layout>
        <c:manualLayout>
          <c:xMode val="edge"/>
          <c:yMode val="edge"/>
          <c:x val="0.13071357602197156"/>
          <c:y val="7.3170731707317077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552433826338957"/>
          <c:y val="0.11628144553696845"/>
          <c:w val="0.85612866417401345"/>
          <c:h val="0.73033220483501371"/>
        </c:manualLayout>
      </c:layout>
      <c:scatterChart>
        <c:scatterStyle val="lineMarker"/>
        <c:varyColors val="0"/>
        <c:ser>
          <c:idx val="0"/>
          <c:order val="0"/>
          <c:tx>
            <c:strRef>
              <c:f>'0% EGR'!$C$17</c:f>
              <c:strCache>
                <c:ptCount val="1"/>
                <c:pt idx="0">
                  <c:v>0.00%</c:v>
                </c:pt>
              </c:strCache>
            </c:strRef>
          </c:tx>
          <c:spPr>
            <a:ln w="9525" cap="rnd">
              <a:solidFill>
                <a:schemeClr val="accent1">
                  <a:tint val="43000"/>
                </a:schemeClr>
              </a:solidFill>
              <a:round/>
            </a:ln>
            <a:effectLst>
              <a:outerShdw blurRad="57150" dist="19050" dir="5400000" algn="ctr" rotWithShape="0">
                <a:srgbClr val="000000">
                  <a:alpha val="63000"/>
                </a:srgbClr>
              </a:outerShdw>
            </a:effectLst>
          </c:spPr>
          <c:marker>
            <c:symbol val="none"/>
          </c:marker>
          <c:xVal>
            <c:numRef>
              <c:f>'0%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'0% EGR'!$AB$4:$AB$20</c:f>
              <c:numCache>
                <c:formatCode>General</c:formatCode>
                <c:ptCount val="17"/>
                <c:pt idx="0">
                  <c:v>0</c:v>
                </c:pt>
                <c:pt idx="1">
                  <c:v>20982.291696286127</c:v>
                </c:pt>
                <c:pt idx="2">
                  <c:v>25353.974784779271</c:v>
                </c:pt>
                <c:pt idx="3">
                  <c:v>26457.972942829671</c:v>
                </c:pt>
                <c:pt idx="4">
                  <c:v>25955.825217980906</c:v>
                </c:pt>
                <c:pt idx="5">
                  <c:v>24581.222963526558</c:v>
                </c:pt>
                <c:pt idx="6">
                  <c:v>22738.923383650399</c:v>
                </c:pt>
                <c:pt idx="7">
                  <c:v>20674.589124589595</c:v>
                </c:pt>
                <c:pt idx="8">
                  <c:v>18543.771834219973</c:v>
                </c:pt>
                <c:pt idx="9">
                  <c:v>16446.105276455124</c:v>
                </c:pt>
                <c:pt idx="10">
                  <c:v>14444.547754189774</c:v>
                </c:pt>
                <c:pt idx="11">
                  <c:v>6710.5173998896826</c:v>
                </c:pt>
                <c:pt idx="12">
                  <c:v>2637.750786929018</c:v>
                </c:pt>
                <c:pt idx="13">
                  <c:v>882.21968622930694</c:v>
                </c:pt>
                <c:pt idx="14">
                  <c:v>247.57276978279918</c:v>
                </c:pt>
                <c:pt idx="15">
                  <c:v>56.82176131593571</c:v>
                </c:pt>
                <c:pt idx="16">
                  <c:v>10.293304911310218</c:v>
                </c:pt>
              </c:numCache>
            </c:numRef>
          </c:yVal>
          <c:smooth val="0"/>
          <c:extLst>
            <c:ext xmlns:c16="http://schemas.microsoft.com/office/drawing/2014/chart" uri="{C3380CC4-5D6E-409C-BE32-E72D297353CC}">
              <c16:uniqueId val="{00000000-0EF1-4162-8C2A-B83D02D1A012}"/>
            </c:ext>
          </c:extLst>
        </c:ser>
        <c:ser>
          <c:idx val="1"/>
          <c:order val="1"/>
          <c:tx>
            <c:strRef>
              <c:f>'2.5% EGR'!$C$17</c:f>
              <c:strCache>
                <c:ptCount val="1"/>
                <c:pt idx="0">
                  <c:v>2.50%</c:v>
                </c:pt>
              </c:strCache>
            </c:strRef>
          </c:tx>
          <c:spPr>
            <a:ln w="9525" cap="rnd">
              <a:solidFill>
                <a:schemeClr val="accent1">
                  <a:tint val="56000"/>
                </a:schemeClr>
              </a:solidFill>
              <a:round/>
            </a:ln>
            <a:effectLst>
              <a:outerShdw blurRad="57150" dist="19050" dir="5400000" algn="ctr" rotWithShape="0">
                <a:srgbClr val="000000">
                  <a:alpha val="63000"/>
                </a:srgbClr>
              </a:outerShdw>
            </a:effectLst>
          </c:spPr>
          <c:marker>
            <c:symbol val="none"/>
          </c:marker>
          <c:xVal>
            <c:numRef>
              <c:f>'2.5%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'2.5% EGR'!$AB$4:$AB$20</c:f>
              <c:numCache>
                <c:formatCode>General</c:formatCode>
                <c:ptCount val="17"/>
                <c:pt idx="0">
                  <c:v>0</c:v>
                </c:pt>
                <c:pt idx="1">
                  <c:v>13709.146328947707</c:v>
                </c:pt>
                <c:pt idx="2">
                  <c:v>16525.050698634299</c:v>
                </c:pt>
                <c:pt idx="3">
                  <c:v>17201.174092909194</c:v>
                </c:pt>
                <c:pt idx="4">
                  <c:v>16830.977362733338</c:v>
                </c:pt>
                <c:pt idx="5">
                  <c:v>15897.058131273001</c:v>
                </c:pt>
                <c:pt idx="6">
                  <c:v>14665.166350458652</c:v>
                </c:pt>
                <c:pt idx="7">
                  <c:v>13296.032673400412</c:v>
                </c:pt>
                <c:pt idx="8">
                  <c:v>11890.903833472115</c:v>
                </c:pt>
                <c:pt idx="9">
                  <c:v>10514.151493360847</c:v>
                </c:pt>
                <c:pt idx="10">
                  <c:v>9206.0115881182082</c:v>
                </c:pt>
                <c:pt idx="11">
                  <c:v>4205.4402742167549</c:v>
                </c:pt>
                <c:pt idx="12">
                  <c:v>1621.5459518266116</c:v>
                </c:pt>
                <c:pt idx="13">
                  <c:v>530.64620391793233</c:v>
                </c:pt>
                <c:pt idx="14">
                  <c:v>145.32320116983084</c:v>
                </c:pt>
                <c:pt idx="15">
                  <c:v>32.467990853752703</c:v>
                </c:pt>
                <c:pt idx="16">
                  <c:v>5.7123844347191364</c:v>
                </c:pt>
              </c:numCache>
            </c:numRef>
          </c:yVal>
          <c:smooth val="0"/>
          <c:extLst>
            <c:ext xmlns:c16="http://schemas.microsoft.com/office/drawing/2014/chart" uri="{C3380CC4-5D6E-409C-BE32-E72D297353CC}">
              <c16:uniqueId val="{00000001-0EF1-4162-8C2A-B83D02D1A012}"/>
            </c:ext>
          </c:extLst>
        </c:ser>
        <c:ser>
          <c:idx val="2"/>
          <c:order val="2"/>
          <c:tx>
            <c:strRef>
              <c:f>'5% EGR'!$C$17</c:f>
              <c:strCache>
                <c:ptCount val="1"/>
                <c:pt idx="0">
                  <c:v>5.00%</c:v>
                </c:pt>
              </c:strCache>
            </c:strRef>
          </c:tx>
          <c:spPr>
            <a:ln w="9525" cap="rnd">
              <a:solidFill>
                <a:schemeClr val="accent1">
                  <a:tint val="69000"/>
                </a:schemeClr>
              </a:solidFill>
              <a:round/>
            </a:ln>
            <a:effectLst>
              <a:outerShdw blurRad="57150" dist="19050" dir="5400000" algn="ctr" rotWithShape="0">
                <a:srgbClr val="000000">
                  <a:alpha val="63000"/>
                </a:srgbClr>
              </a:outerShdw>
            </a:effectLst>
          </c:spPr>
          <c:marker>
            <c:symbol val="none"/>
          </c:marker>
          <c:xVal>
            <c:numRef>
              <c:f>'5%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'5% EGR'!$AB$4:$AB$20</c:f>
              <c:numCache>
                <c:formatCode>General</c:formatCode>
                <c:ptCount val="17"/>
                <c:pt idx="0">
                  <c:v>0</c:v>
                </c:pt>
                <c:pt idx="1">
                  <c:v>8986.3631191253826</c:v>
                </c:pt>
                <c:pt idx="2">
                  <c:v>10805.09107748701</c:v>
                </c:pt>
                <c:pt idx="3">
                  <c:v>11218.219316995388</c:v>
                </c:pt>
                <c:pt idx="4">
                  <c:v>10947.697942274888</c:v>
                </c:pt>
                <c:pt idx="5">
                  <c:v>10312.040615037706</c:v>
                </c:pt>
                <c:pt idx="6">
                  <c:v>9486.2659668187771</c:v>
                </c:pt>
                <c:pt idx="7">
                  <c:v>8575.8312566227887</c:v>
                </c:pt>
                <c:pt idx="8">
                  <c:v>7646.7978888836114</c:v>
                </c:pt>
                <c:pt idx="9">
                  <c:v>6740.8344675648768</c:v>
                </c:pt>
                <c:pt idx="10">
                  <c:v>5883.6807872138079</c:v>
                </c:pt>
                <c:pt idx="11">
                  <c:v>2642.4765447479431</c:v>
                </c:pt>
                <c:pt idx="12">
                  <c:v>999.44042178962866</c:v>
                </c:pt>
                <c:pt idx="13">
                  <c:v>320.05489700438051</c:v>
                </c:pt>
                <c:pt idx="14">
                  <c:v>85.567061455441745</c:v>
                </c:pt>
                <c:pt idx="15">
                  <c:v>18.620479948489923</c:v>
                </c:pt>
                <c:pt idx="16">
                  <c:v>3.1845502862675028</c:v>
                </c:pt>
              </c:numCache>
            </c:numRef>
          </c:yVal>
          <c:smooth val="0"/>
          <c:extLst>
            <c:ext xmlns:c16="http://schemas.microsoft.com/office/drawing/2014/chart" uri="{C3380CC4-5D6E-409C-BE32-E72D297353CC}">
              <c16:uniqueId val="{00000002-0EF1-4162-8C2A-B83D02D1A012}"/>
            </c:ext>
          </c:extLst>
        </c:ser>
        <c:ser>
          <c:idx val="3"/>
          <c:order val="3"/>
          <c:tx>
            <c:strRef>
              <c:f>'7.5% EGR'!$C$17</c:f>
              <c:strCache>
                <c:ptCount val="1"/>
                <c:pt idx="0">
                  <c:v>7.50%</c:v>
                </c:pt>
              </c:strCache>
            </c:strRef>
          </c:tx>
          <c:spPr>
            <a:ln w="9525" cap="rnd">
              <a:solidFill>
                <a:schemeClr val="accent1">
                  <a:tint val="81000"/>
                </a:schemeClr>
              </a:solidFill>
              <a:round/>
            </a:ln>
            <a:effectLst>
              <a:outerShdw blurRad="57150" dist="19050" dir="5400000" algn="ctr" rotWithShape="0">
                <a:srgbClr val="000000">
                  <a:alpha val="63000"/>
                </a:srgbClr>
              </a:outerShdw>
            </a:effectLst>
          </c:spPr>
          <c:marker>
            <c:symbol val="none"/>
          </c:marker>
          <c:xVal>
            <c:numRef>
              <c:f>'7.5%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'7.5% EGR'!$AB$4:$AB$20</c:f>
              <c:numCache>
                <c:formatCode>General</c:formatCode>
                <c:ptCount val="17"/>
                <c:pt idx="0">
                  <c:v>0</c:v>
                </c:pt>
                <c:pt idx="1">
                  <c:v>5908.1055724319658</c:v>
                </c:pt>
                <c:pt idx="2">
                  <c:v>7085.6873727554721</c:v>
                </c:pt>
                <c:pt idx="3">
                  <c:v>7337.2913408904842</c:v>
                </c:pt>
                <c:pt idx="4">
                  <c:v>7141.0377600860847</c:v>
                </c:pt>
                <c:pt idx="5">
                  <c:v>6707.761714034209</c:v>
                </c:pt>
                <c:pt idx="6">
                  <c:v>6153.0438323910112</c:v>
                </c:pt>
                <c:pt idx="7">
                  <c:v>5546.2478466571656</c:v>
                </c:pt>
                <c:pt idx="8">
                  <c:v>4930.5692189059737</c:v>
                </c:pt>
                <c:pt idx="9">
                  <c:v>4333.0233802153698</c:v>
                </c:pt>
                <c:pt idx="10">
                  <c:v>3770.0870830023564</c:v>
                </c:pt>
                <c:pt idx="11">
                  <c:v>1664.5460770627503</c:v>
                </c:pt>
                <c:pt idx="12">
                  <c:v>617.5678817044743</c:v>
                </c:pt>
                <c:pt idx="13">
                  <c:v>193.56630711434525</c:v>
                </c:pt>
                <c:pt idx="14">
                  <c:v>50.540168822540942</c:v>
                </c:pt>
                <c:pt idx="15">
                  <c:v>10.71908785411676</c:v>
                </c:pt>
                <c:pt idx="16">
                  <c:v>1.783545550752339</c:v>
                </c:pt>
              </c:numCache>
            </c:numRef>
          </c:yVal>
          <c:smooth val="0"/>
          <c:extLst>
            <c:ext xmlns:c16="http://schemas.microsoft.com/office/drawing/2014/chart" uri="{C3380CC4-5D6E-409C-BE32-E72D297353CC}">
              <c16:uniqueId val="{00000003-0EF1-4162-8C2A-B83D02D1A012}"/>
            </c:ext>
          </c:extLst>
        </c:ser>
        <c:ser>
          <c:idx val="4"/>
          <c:order val="4"/>
          <c:tx>
            <c:strRef>
              <c:f>'10% EGR'!$C$17</c:f>
              <c:strCache>
                <c:ptCount val="1"/>
                <c:pt idx="0">
                  <c:v>10.00%</c:v>
                </c:pt>
              </c:strCache>
            </c:strRef>
          </c:tx>
          <c:spPr>
            <a:ln w="9525" cap="rnd">
              <a:solidFill>
                <a:schemeClr val="accent1">
                  <a:tint val="94000"/>
                </a:schemeClr>
              </a:solidFill>
              <a:round/>
            </a:ln>
            <a:effectLst>
              <a:outerShdw blurRad="57150" dist="19050" dir="5400000" algn="ctr" rotWithShape="0">
                <a:srgbClr val="000000">
                  <a:alpha val="63000"/>
                </a:srgbClr>
              </a:outerShdw>
            </a:effectLst>
          </c:spPr>
          <c:marker>
            <c:symbol val="none"/>
          </c:marker>
          <c:xVal>
            <c:numRef>
              <c:f>'10%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'10% EGR'!$AB$4:$AB$20</c:f>
              <c:numCache>
                <c:formatCode>General</c:formatCode>
                <c:ptCount val="17"/>
                <c:pt idx="0">
                  <c:v>0</c:v>
                </c:pt>
                <c:pt idx="1">
                  <c:v>3894.8863691552688</c:v>
                </c:pt>
                <c:pt idx="2">
                  <c:v>4659.0672018478153</c:v>
                </c:pt>
                <c:pt idx="3">
                  <c:v>4811.6407575748817</c:v>
                </c:pt>
                <c:pt idx="4">
                  <c:v>4670.1268144273308</c:v>
                </c:pt>
                <c:pt idx="5">
                  <c:v>4374.453793866388</c:v>
                </c:pt>
                <c:pt idx="6">
                  <c:v>4001.1379149292807</c:v>
                </c:pt>
                <c:pt idx="7">
                  <c:v>3595.9035924615528</c:v>
                </c:pt>
                <c:pt idx="8">
                  <c:v>3187.0476193902896</c:v>
                </c:pt>
                <c:pt idx="9">
                  <c:v>2792.1083293983679</c:v>
                </c:pt>
                <c:pt idx="10">
                  <c:v>2421.6363623761117</c:v>
                </c:pt>
                <c:pt idx="11">
                  <c:v>1051.0420990234129</c:v>
                </c:pt>
                <c:pt idx="12">
                  <c:v>382.55317858362338</c:v>
                </c:pt>
                <c:pt idx="13">
                  <c:v>117.38800829344756</c:v>
                </c:pt>
                <c:pt idx="14">
                  <c:v>29.946654192405038</c:v>
                </c:pt>
                <c:pt idx="15">
                  <c:v>6.1943142788591334</c:v>
                </c:pt>
                <c:pt idx="16">
                  <c:v>1.0036355423360337</c:v>
                </c:pt>
              </c:numCache>
            </c:numRef>
          </c:yVal>
          <c:smooth val="0"/>
          <c:extLst>
            <c:ext xmlns:c16="http://schemas.microsoft.com/office/drawing/2014/chart" uri="{C3380CC4-5D6E-409C-BE32-E72D297353CC}">
              <c16:uniqueId val="{00000004-0EF1-4162-8C2A-B83D02D1A012}"/>
            </c:ext>
          </c:extLst>
        </c:ser>
        <c:ser>
          <c:idx val="5"/>
          <c:order val="5"/>
          <c:tx>
            <c:strRef>
              <c:f>'12.5% EGR'!$C$17</c:f>
              <c:strCache>
                <c:ptCount val="1"/>
                <c:pt idx="0">
                  <c:v>12.50%</c:v>
                </c:pt>
              </c:strCache>
            </c:strRef>
          </c:tx>
          <c:spPr>
            <a:ln w="9525" cap="rnd">
              <a:solidFill>
                <a:schemeClr val="accent1">
                  <a:shade val="93000"/>
                </a:schemeClr>
              </a:solidFill>
              <a:round/>
            </a:ln>
            <a:effectLst>
              <a:outerShdw blurRad="57150" dist="19050" dir="5400000" algn="ctr" rotWithShape="0">
                <a:srgbClr val="000000">
                  <a:alpha val="63000"/>
                </a:srgbClr>
              </a:outerShdw>
            </a:effectLst>
          </c:spPr>
          <c:marker>
            <c:symbol val="none"/>
          </c:marker>
          <c:xVal>
            <c:numRef>
              <c:f>'12.5%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'12.5% EGR'!$AB$4:$AB$20</c:f>
              <c:numCache>
                <c:formatCode>General</c:formatCode>
                <c:ptCount val="17"/>
                <c:pt idx="0">
                  <c:v>0</c:v>
                </c:pt>
                <c:pt idx="1">
                  <c:v>2574.1428401936532</c:v>
                </c:pt>
                <c:pt idx="2">
                  <c:v>3071.0885021764179</c:v>
                </c:pt>
                <c:pt idx="3">
                  <c:v>3163.1014853459114</c:v>
                </c:pt>
                <c:pt idx="4">
                  <c:v>3061.5812425750746</c:v>
                </c:pt>
                <c:pt idx="5">
                  <c:v>2859.6198127197058</c:v>
                </c:pt>
                <c:pt idx="6">
                  <c:v>2607.9848864569049</c:v>
                </c:pt>
                <c:pt idx="7">
                  <c:v>2336.8777682700934</c:v>
                </c:pt>
                <c:pt idx="8">
                  <c:v>2064.8658776408884</c:v>
                </c:pt>
                <c:pt idx="9">
                  <c:v>1803.3476294986053</c:v>
                </c:pt>
                <c:pt idx="10">
                  <c:v>1559.0793513249546</c:v>
                </c:pt>
                <c:pt idx="11">
                  <c:v>665.20084485654775</c:v>
                </c:pt>
                <c:pt idx="12">
                  <c:v>237.55774804797824</c:v>
                </c:pt>
                <c:pt idx="13">
                  <c:v>71.38677750219685</c:v>
                </c:pt>
                <c:pt idx="14">
                  <c:v>17.802020042274368</c:v>
                </c:pt>
                <c:pt idx="15">
                  <c:v>3.5936381127879971</c:v>
                </c:pt>
                <c:pt idx="16">
                  <c:v>0.56748829253174005</c:v>
                </c:pt>
              </c:numCache>
            </c:numRef>
          </c:yVal>
          <c:smooth val="0"/>
          <c:extLst>
            <c:ext xmlns:c16="http://schemas.microsoft.com/office/drawing/2014/chart" uri="{C3380CC4-5D6E-409C-BE32-E72D297353CC}">
              <c16:uniqueId val="{00000005-0EF1-4162-8C2A-B83D02D1A012}"/>
            </c:ext>
          </c:extLst>
        </c:ser>
        <c:ser>
          <c:idx val="6"/>
          <c:order val="6"/>
          <c:tx>
            <c:strRef>
              <c:f>'15% EGR'!$C$17</c:f>
              <c:strCache>
                <c:ptCount val="1"/>
                <c:pt idx="0">
                  <c:v>15.00%</c:v>
                </c:pt>
              </c:strCache>
            </c:strRef>
          </c:tx>
          <c:spPr>
            <a:ln w="9525" cap="rnd">
              <a:solidFill>
                <a:schemeClr val="accent1">
                  <a:shade val="80000"/>
                </a:schemeClr>
              </a:solidFill>
              <a:round/>
            </a:ln>
            <a:effectLst>
              <a:outerShdw blurRad="57150" dist="19050" dir="5400000" algn="ctr" rotWithShape="0">
                <a:srgbClr val="000000">
                  <a:alpha val="63000"/>
                </a:srgbClr>
              </a:outerShdw>
            </a:effectLst>
          </c:spPr>
          <c:marker>
            <c:symbol val="none"/>
          </c:marker>
          <c:xVal>
            <c:numRef>
              <c:f>'15%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'15% EGR'!$AB$4:$AB$20</c:f>
              <c:numCache>
                <c:formatCode>General</c:formatCode>
                <c:ptCount val="17"/>
                <c:pt idx="0">
                  <c:v>0</c:v>
                </c:pt>
                <c:pt idx="1">
                  <c:v>1705.2376237569806</c:v>
                </c:pt>
                <c:pt idx="2">
                  <c:v>2029.0315661903248</c:v>
                </c:pt>
                <c:pt idx="3">
                  <c:v>2084.135728779012</c:v>
                </c:pt>
                <c:pt idx="4">
                  <c:v>2011.6242795586124</c:v>
                </c:pt>
                <c:pt idx="5">
                  <c:v>1873.5660976265247</c:v>
                </c:pt>
                <c:pt idx="6">
                  <c:v>1703.7132933075911</c:v>
                </c:pt>
                <c:pt idx="7">
                  <c:v>1522.0499336907767</c:v>
                </c:pt>
                <c:pt idx="8">
                  <c:v>1340.7772712278791</c:v>
                </c:pt>
                <c:pt idx="9">
                  <c:v>1167.3101645323413</c:v>
                </c:pt>
                <c:pt idx="10">
                  <c:v>1005.9743870554968</c:v>
                </c:pt>
                <c:pt idx="11">
                  <c:v>421.96044712996934</c:v>
                </c:pt>
                <c:pt idx="12">
                  <c:v>147.88170743184389</c:v>
                </c:pt>
                <c:pt idx="13">
                  <c:v>43.533855428329794</c:v>
                </c:pt>
                <c:pt idx="14">
                  <c:v>10.617644378991702</c:v>
                </c:pt>
                <c:pt idx="15">
                  <c:v>2.093225287054417</c:v>
                </c:pt>
                <c:pt idx="16">
                  <c:v>0.3224468928709901</c:v>
                </c:pt>
              </c:numCache>
            </c:numRef>
          </c:yVal>
          <c:smooth val="0"/>
          <c:extLst>
            <c:ext xmlns:c16="http://schemas.microsoft.com/office/drawing/2014/chart" uri="{C3380CC4-5D6E-409C-BE32-E72D297353CC}">
              <c16:uniqueId val="{00000006-0EF1-4162-8C2A-B83D02D1A012}"/>
            </c:ext>
          </c:extLst>
        </c:ser>
        <c:ser>
          <c:idx val="7"/>
          <c:order val="7"/>
          <c:tx>
            <c:strRef>
              <c:f>'17.5% EGR'!$C$17</c:f>
              <c:strCache>
                <c:ptCount val="1"/>
                <c:pt idx="0">
                  <c:v>17.50%</c:v>
                </c:pt>
              </c:strCache>
            </c:strRef>
          </c:tx>
          <c:spPr>
            <a:ln w="9525" cap="rnd">
              <a:solidFill>
                <a:schemeClr val="accent1">
                  <a:shade val="68000"/>
                </a:schemeClr>
              </a:solidFill>
              <a:round/>
            </a:ln>
            <a:effectLst>
              <a:outerShdw blurRad="57150" dist="19050" dir="5400000" algn="ctr" rotWithShape="0">
                <a:srgbClr val="000000">
                  <a:alpha val="63000"/>
                </a:srgbClr>
              </a:outerShdw>
            </a:effectLst>
          </c:spPr>
          <c:marker>
            <c:symbol val="none"/>
          </c:marker>
          <c:xVal>
            <c:numRef>
              <c:f>'17.5%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'17.5% EGR'!$AB$4:$AB$20</c:f>
              <c:numCache>
                <c:formatCode>General</c:formatCode>
                <c:ptCount val="17"/>
                <c:pt idx="0">
                  <c:v>0</c:v>
                </c:pt>
                <c:pt idx="1">
                  <c:v>1132.1103879719135</c:v>
                </c:pt>
                <c:pt idx="2">
                  <c:v>1343.4733379534455</c:v>
                </c:pt>
                <c:pt idx="3">
                  <c:v>1376.1823692292153</c:v>
                </c:pt>
                <c:pt idx="4">
                  <c:v>1324.5844229894597</c:v>
                </c:pt>
                <c:pt idx="5">
                  <c:v>1230.1478589644325</c:v>
                </c:pt>
                <c:pt idx="6">
                  <c:v>1115.3541323171758</c:v>
                </c:pt>
                <c:pt idx="7">
                  <c:v>993.44843186108665</c:v>
                </c:pt>
                <c:pt idx="8">
                  <c:v>872.45928981475276</c:v>
                </c:pt>
                <c:pt idx="9">
                  <c:v>757.21399272115298</c:v>
                </c:pt>
                <c:pt idx="10">
                  <c:v>650.48106018322028</c:v>
                </c:pt>
                <c:pt idx="11">
                  <c:v>268.26556943995502</c:v>
                </c:pt>
                <c:pt idx="12">
                  <c:v>92.285376177708955</c:v>
                </c:pt>
                <c:pt idx="13">
                  <c:v>26.623908890371009</c:v>
                </c:pt>
                <c:pt idx="14">
                  <c:v>6.3541140623771701</c:v>
                </c:pt>
                <c:pt idx="15">
                  <c:v>1.2242526511755116</c:v>
                </c:pt>
                <c:pt idx="16">
                  <c:v>0.18412233550193502</c:v>
                </c:pt>
              </c:numCache>
            </c:numRef>
          </c:yVal>
          <c:smooth val="0"/>
          <c:extLst>
            <c:ext xmlns:c16="http://schemas.microsoft.com/office/drawing/2014/chart" uri="{C3380CC4-5D6E-409C-BE32-E72D297353CC}">
              <c16:uniqueId val="{00000007-0EF1-4162-8C2A-B83D02D1A012}"/>
            </c:ext>
          </c:extLst>
        </c:ser>
        <c:ser>
          <c:idx val="8"/>
          <c:order val="8"/>
          <c:tx>
            <c:strRef>
              <c:f>'20% EGR'!$C$17</c:f>
              <c:strCache>
                <c:ptCount val="1"/>
                <c:pt idx="0">
                  <c:v>20.00%</c:v>
                </c:pt>
              </c:strCache>
            </c:strRef>
          </c:tx>
          <c:spPr>
            <a:ln w="9525" cap="rnd">
              <a:solidFill>
                <a:schemeClr val="accent1">
                  <a:shade val="55000"/>
                </a:schemeClr>
              </a:solidFill>
              <a:round/>
            </a:ln>
            <a:effectLst>
              <a:outerShdw blurRad="57150" dist="19050" dir="5400000" algn="ctr" rotWithShape="0">
                <a:srgbClr val="000000">
                  <a:alpha val="63000"/>
                </a:srgbClr>
              </a:outerShdw>
            </a:effectLst>
          </c:spPr>
          <c:marker>
            <c:symbol val="none"/>
          </c:marker>
          <c:xVal>
            <c:numRef>
              <c:f>'20% EGR'!$D$4:$D$20</c:f>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f>'20% EGR'!$AB$4:$AB$20</c:f>
              <c:numCache>
                <c:formatCode>General</c:formatCode>
                <c:ptCount val="17"/>
                <c:pt idx="0">
                  <c:v>0</c:v>
                </c:pt>
                <c:pt idx="1">
                  <c:v>753.16867981459177</c:v>
                </c:pt>
                <c:pt idx="2">
                  <c:v>891.38291362099187</c:v>
                </c:pt>
                <c:pt idx="3">
                  <c:v>910.57890463462365</c:v>
                </c:pt>
                <c:pt idx="4">
                  <c:v>873.9807900693412</c:v>
                </c:pt>
                <c:pt idx="5">
                  <c:v>809.34608979545078</c:v>
                </c:pt>
                <c:pt idx="6">
                  <c:v>731.67513808756644</c:v>
                </c:pt>
                <c:pt idx="7">
                  <c:v>649.76012157100581</c:v>
                </c:pt>
                <c:pt idx="8">
                  <c:v>568.89036307939512</c:v>
                </c:pt>
                <c:pt idx="9">
                  <c:v>492.21069147470877</c:v>
                </c:pt>
                <c:pt idx="10">
                  <c:v>421.49194616381823</c:v>
                </c:pt>
                <c:pt idx="11">
                  <c:v>170.93333594380255</c:v>
                </c:pt>
                <c:pt idx="12">
                  <c:v>57.734320896625604</c:v>
                </c:pt>
                <c:pt idx="13">
                  <c:v>16.329528847445321</c:v>
                </c:pt>
                <c:pt idx="14">
                  <c:v>3.8157415172376759</c:v>
                </c:pt>
                <c:pt idx="15">
                  <c:v>0.71900039723089482</c:v>
                </c:pt>
                <c:pt idx="16">
                  <c:v>0.10566355720410366</c:v>
                </c:pt>
              </c:numCache>
            </c:numRef>
          </c:yVal>
          <c:smooth val="0"/>
          <c:extLst>
            <c:ext xmlns:c16="http://schemas.microsoft.com/office/drawing/2014/chart" uri="{C3380CC4-5D6E-409C-BE32-E72D297353CC}">
              <c16:uniqueId val="{00000008-0EF1-4162-8C2A-B83D02D1A012}"/>
            </c:ext>
          </c:extLst>
        </c:ser>
        <c:dLbls>
          <c:showLegendKey val="0"/>
          <c:showVal val="0"/>
          <c:showCatName val="0"/>
          <c:showSerName val="0"/>
          <c:showPercent val="0"/>
          <c:showBubbleSize val="0"/>
        </c:dLbls>
        <c:axId val="700054543"/>
        <c:axId val="743031311"/>
        <c:extLst>
          <c:ext xmlns:c15="http://schemas.microsoft.com/office/drawing/2012/chart" uri="{02D57815-91ED-43cb-92C2-25804820EDAC}">
            <c15:filteredScatterSeries>
              <c15:ser>
                <c:idx val="9"/>
                <c:order val="9"/>
                <c:tx>
                  <c:v>User Defined</c:v>
                </c:tx>
                <c:spPr>
                  <a:ln w="9525" cap="rnd">
                    <a:solidFill>
                      <a:srgbClr val="FF0000"/>
                    </a:solidFill>
                    <a:round/>
                  </a:ln>
                  <a:effectLst>
                    <a:outerShdw blurRad="57150" dist="19050" dir="5400000" algn="ctr" rotWithShape="0">
                      <a:srgbClr val="000000">
                        <a:alpha val="63000"/>
                      </a:srgbClr>
                    </a:outerShdw>
                  </a:effectLst>
                </c:spPr>
                <c:marker>
                  <c:symbol val="none"/>
                </c:marker>
                <c:xVal>
                  <c:numRef>
                    <c:extLst>
                      <c:ext uri="{02D57815-91ED-43cb-92C2-25804820EDAC}">
                        <c15:formulaRef>
                          <c15:sqref>'Zeldovich Calculator'!$D$4:$D$20</c15:sqref>
                        </c15:formulaRef>
                      </c:ext>
                    </c:extLst>
                    <c:numCache>
                      <c:formatCode>General</c:formatCode>
                      <c:ptCount val="17"/>
                      <c:pt idx="0">
                        <c:v>1</c:v>
                      </c:pt>
                      <c:pt idx="1">
                        <c:v>0.99</c:v>
                      </c:pt>
                      <c:pt idx="2">
                        <c:v>0.98</c:v>
                      </c:pt>
                      <c:pt idx="3">
                        <c:v>0.97</c:v>
                      </c:pt>
                      <c:pt idx="4">
                        <c:v>0.96</c:v>
                      </c:pt>
                      <c:pt idx="5">
                        <c:v>0.95</c:v>
                      </c:pt>
                      <c:pt idx="6">
                        <c:v>0.94</c:v>
                      </c:pt>
                      <c:pt idx="7">
                        <c:v>0.93</c:v>
                      </c:pt>
                      <c:pt idx="8">
                        <c:v>0.92</c:v>
                      </c:pt>
                      <c:pt idx="9">
                        <c:v>0.91</c:v>
                      </c:pt>
                      <c:pt idx="10">
                        <c:v>0.9</c:v>
                      </c:pt>
                      <c:pt idx="11">
                        <c:v>0.85</c:v>
                      </c:pt>
                      <c:pt idx="12">
                        <c:v>0.8</c:v>
                      </c:pt>
                      <c:pt idx="13">
                        <c:v>0.75</c:v>
                      </c:pt>
                      <c:pt idx="14">
                        <c:v>0.7</c:v>
                      </c:pt>
                      <c:pt idx="15">
                        <c:v>0.65</c:v>
                      </c:pt>
                      <c:pt idx="16">
                        <c:v>0.6</c:v>
                      </c:pt>
                    </c:numCache>
                  </c:numRef>
                </c:xVal>
                <c:yVal>
                  <c:numRef>
                    <c:extLst>
                      <c:ext uri="{02D57815-91ED-43cb-92C2-25804820EDAC}">
                        <c15:formulaRef>
                          <c15:sqref>'Zeldovich Calculator'!$AB$4:$AB$20</c15:sqref>
                        </c15:formulaRef>
                      </c:ext>
                    </c:extLst>
                    <c:numCache>
                      <c:formatCode>0.00E+00</c:formatCode>
                      <c:ptCount val="17"/>
                      <c:pt idx="0">
                        <c:v>0</c:v>
                      </c:pt>
                      <c:pt idx="1">
                        <c:v>20981.793930374737</c:v>
                      </c:pt>
                      <c:pt idx="2">
                        <c:v>25353.400776865798</c:v>
                      </c:pt>
                      <c:pt idx="3">
                        <c:v>26457.291965362703</c:v>
                      </c:pt>
                      <c:pt idx="4">
                        <c:v>25955.174524364786</c:v>
                      </c:pt>
                      <c:pt idx="5">
                        <c:v>24580.624677915399</c:v>
                      </c:pt>
                      <c:pt idx="6">
                        <c:v>22738.280684184178</c:v>
                      </c:pt>
                      <c:pt idx="7">
                        <c:v>20674.004772578228</c:v>
                      </c:pt>
                      <c:pt idx="8">
                        <c:v>18543.247708726572</c:v>
                      </c:pt>
                      <c:pt idx="9">
                        <c:v>16445.640440438132</c:v>
                      </c:pt>
                      <c:pt idx="10">
                        <c:v>14444.139491122134</c:v>
                      </c:pt>
                      <c:pt idx="11">
                        <c:v>6710.3277342108731</c:v>
                      </c:pt>
                      <c:pt idx="12">
                        <c:v>2637.676234264216</c:v>
                      </c:pt>
                      <c:pt idx="13">
                        <c:v>882.19475149939797</c:v>
                      </c:pt>
                      <c:pt idx="14">
                        <c:v>247.56577245531375</c:v>
                      </c:pt>
                      <c:pt idx="15">
                        <c:v>56.820155308341675</c:v>
                      </c:pt>
                      <c:pt idx="16">
                        <c:v>10.293078948163984</c:v>
                      </c:pt>
                    </c:numCache>
                  </c:numRef>
                </c:yVal>
                <c:smooth val="0"/>
                <c:extLst>
                  <c:ext xmlns:c16="http://schemas.microsoft.com/office/drawing/2014/chart" uri="{C3380CC4-5D6E-409C-BE32-E72D297353CC}">
                    <c16:uniqueId val="{00000009-0EF1-4162-8C2A-B83D02D1A012}"/>
                  </c:ext>
                </c:extLst>
              </c15:ser>
            </c15:filteredScatterSeries>
          </c:ext>
        </c:extLst>
      </c:scatterChart>
      <c:valAx>
        <c:axId val="700054543"/>
        <c:scaling>
          <c:orientation val="minMax"/>
          <c:max val="1"/>
          <c:min val="0.60000000000000009"/>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Fuel Equivalence Ratio</a:t>
                </a:r>
              </a:p>
            </c:rich>
          </c:tx>
          <c:layout>
            <c:manualLayout>
              <c:xMode val="edge"/>
              <c:yMode val="edge"/>
              <c:x val="0.44368854628465559"/>
              <c:y val="0.904880756811873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43031311"/>
        <c:crosses val="autoZero"/>
        <c:crossBetween val="midCat"/>
      </c:valAx>
      <c:valAx>
        <c:axId val="74303131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NOx Production (PPM)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054543"/>
        <c:crosses val="autoZero"/>
        <c:crossBetween val="midCat"/>
      </c:valAx>
      <c:spPr>
        <a:noFill/>
        <a:ln>
          <a:noFill/>
        </a:ln>
        <a:effectLst/>
      </c:spPr>
    </c:plotArea>
    <c:legend>
      <c:legendPos val="b"/>
      <c:layout>
        <c:manualLayout>
          <c:xMode val="edge"/>
          <c:yMode val="edge"/>
          <c:x val="2.8650003308409978E-2"/>
          <c:y val="0.94878589278136627"/>
          <c:w val="0.95320419506385234"/>
          <c:h val="3.230455789622577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Percentage reduction in Nox with EGR</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strRef>
              <c:f>'EGR NOx PPM Comparison'!$B$22</c:f>
              <c:strCache>
                <c:ptCount val="1"/>
                <c:pt idx="0">
                  <c:v>Percentage reduction in Nox</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'EGR NOx PPM Comparison'!$D$3:$K$3</c:f>
              <c:numCache>
                <c:formatCode>0%</c:formatCode>
                <c:ptCount val="8"/>
                <c:pt idx="0" formatCode="0.00%">
                  <c:v>2.5000000000000001E-2</c:v>
                </c:pt>
                <c:pt idx="1">
                  <c:v>0.05</c:v>
                </c:pt>
                <c:pt idx="2" formatCode="0.0%">
                  <c:v>7.4999999999999997E-2</c:v>
                </c:pt>
                <c:pt idx="3">
                  <c:v>0.1</c:v>
                </c:pt>
                <c:pt idx="4" formatCode="0.00%">
                  <c:v>0.125</c:v>
                </c:pt>
                <c:pt idx="5">
                  <c:v>0.15</c:v>
                </c:pt>
                <c:pt idx="6" formatCode="0.00%">
                  <c:v>0.17499999999999999</c:v>
                </c:pt>
                <c:pt idx="7">
                  <c:v>0.2</c:v>
                </c:pt>
              </c:numCache>
            </c:numRef>
          </c:xVal>
          <c:yVal>
            <c:numRef>
              <c:f>'EGR NOx PPM Comparison'!$D$22:$K$22</c:f>
              <c:numCache>
                <c:formatCode>0.00%</c:formatCode>
                <c:ptCount val="8"/>
                <c:pt idx="0">
                  <c:v>0.35482547041197299</c:v>
                </c:pt>
                <c:pt idx="1">
                  <c:v>0.58243503519624218</c:v>
                </c:pt>
                <c:pt idx="2">
                  <c:v>0.7289591327483026</c:v>
                </c:pt>
                <c:pt idx="3">
                  <c:v>0.82359138882251359</c:v>
                </c:pt>
                <c:pt idx="4">
                  <c:v>0.88489197530608876</c:v>
                </c:pt>
                <c:pt idx="5">
                  <c:v>0.92471110466933182</c:v>
                </c:pt>
                <c:pt idx="6">
                  <c:v>0.95064319237970452</c:v>
                </c:pt>
                <c:pt idx="7">
                  <c:v>0.96757242181620073</c:v>
                </c:pt>
              </c:numCache>
            </c:numRef>
          </c:yVal>
          <c:smooth val="1"/>
          <c:extLst>
            <c:ext xmlns:c16="http://schemas.microsoft.com/office/drawing/2014/chart" uri="{C3380CC4-5D6E-409C-BE32-E72D297353CC}">
              <c16:uniqueId val="{00000000-77B7-4428-861F-2D4070D15874}"/>
            </c:ext>
          </c:extLst>
        </c:ser>
        <c:dLbls>
          <c:showLegendKey val="0"/>
          <c:showVal val="0"/>
          <c:showCatName val="0"/>
          <c:showSerName val="0"/>
          <c:showPercent val="0"/>
          <c:showBubbleSize val="0"/>
        </c:dLbls>
        <c:axId val="2105022927"/>
        <c:axId val="1367666095"/>
      </c:scatterChart>
      <c:valAx>
        <c:axId val="2105022927"/>
        <c:scaling>
          <c:orientation val="minMax"/>
          <c:max val="0.20500000000000002"/>
          <c:min val="2.0000000000000004E-2"/>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EGR</a:t>
                </a:r>
                <a:r>
                  <a:rPr lang="en-GB" baseline="0"/>
                  <a:t> Percentage (%)</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67666095"/>
        <c:crosses val="autoZero"/>
        <c:crossBetween val="midCat"/>
      </c:valAx>
      <c:valAx>
        <c:axId val="1367666095"/>
        <c:scaling>
          <c:orientation val="minMax"/>
          <c:max val="1"/>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Reduction</a:t>
                </a:r>
                <a:r>
                  <a:rPr lang="en-GB" baseline="0"/>
                  <a:t> in Nox (%)</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050229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0A11F1-AEC5-4DE9-B0E2-294B25269DBB}" type="doc">
      <dgm:prSet loTypeId="urn:microsoft.com/office/officeart/2005/8/layout/cycle1" loCatId="cycle" qsTypeId="urn:microsoft.com/office/officeart/2005/8/quickstyle/simple2" qsCatId="simple" csTypeId="urn:microsoft.com/office/officeart/2005/8/colors/accent1_5" csCatId="accent1" phldr="1"/>
      <dgm:spPr/>
      <dgm:t>
        <a:bodyPr/>
        <a:lstStyle/>
        <a:p>
          <a:endParaRPr lang="en-GB"/>
        </a:p>
      </dgm:t>
    </dgm:pt>
    <dgm:pt modelId="{9BBABCEC-EF85-4F28-8C22-E4E583976949}">
      <dgm:prSet phldrT="[Text]"/>
      <dgm:spPr/>
      <dgm:t>
        <a:bodyPr/>
        <a:lstStyle/>
        <a:p>
          <a:r>
            <a:rPr lang="en-GB"/>
            <a:t>Flame Temp</a:t>
          </a:r>
        </a:p>
      </dgm:t>
    </dgm:pt>
    <dgm:pt modelId="{0F690A44-80E9-422A-9C07-F4232199BCF2}" type="parTrans" cxnId="{262E0EA7-939B-4EC6-B420-E6C8CB2E3D68}">
      <dgm:prSet/>
      <dgm:spPr/>
      <dgm:t>
        <a:bodyPr/>
        <a:lstStyle/>
        <a:p>
          <a:endParaRPr lang="en-GB"/>
        </a:p>
      </dgm:t>
    </dgm:pt>
    <dgm:pt modelId="{8A79E237-D7AC-45AF-8DDC-B0C60363A55A}" type="sibTrans" cxnId="{262E0EA7-939B-4EC6-B420-E6C8CB2E3D68}">
      <dgm:prSet/>
      <dgm:spPr/>
      <dgm:t>
        <a:bodyPr/>
        <a:lstStyle/>
        <a:p>
          <a:endParaRPr lang="en-GB"/>
        </a:p>
      </dgm:t>
    </dgm:pt>
    <dgm:pt modelId="{2F8823DD-965A-4701-9F35-D7B32ECCEC03}">
      <dgm:prSet phldrT="[Text]"/>
      <dgm:spPr/>
      <dgm:t>
        <a:bodyPr/>
        <a:lstStyle/>
        <a:p>
          <a:r>
            <a:rPr lang="en-GB"/>
            <a:t>Interpolation</a:t>
          </a:r>
        </a:p>
      </dgm:t>
    </dgm:pt>
    <dgm:pt modelId="{0D9289B3-4DFB-456B-B459-9956F154F598}" type="parTrans" cxnId="{9745EF56-D319-497A-A8F7-8EC1A51FC375}">
      <dgm:prSet/>
      <dgm:spPr/>
      <dgm:t>
        <a:bodyPr/>
        <a:lstStyle/>
        <a:p>
          <a:endParaRPr lang="en-GB"/>
        </a:p>
      </dgm:t>
    </dgm:pt>
    <dgm:pt modelId="{9435FC4D-96B5-4676-AB20-5651ED9A1C6C}" type="sibTrans" cxnId="{9745EF56-D319-497A-A8F7-8EC1A51FC375}">
      <dgm:prSet/>
      <dgm:spPr/>
      <dgm:t>
        <a:bodyPr/>
        <a:lstStyle/>
        <a:p>
          <a:endParaRPr lang="en-GB"/>
        </a:p>
      </dgm:t>
    </dgm:pt>
    <dgm:pt modelId="{CB6B2FBC-6438-46B7-A68B-6F920876A886}">
      <dgm:prSet phldrT="[Text]"/>
      <dgm:spPr/>
      <dgm:t>
        <a:bodyPr/>
        <a:lstStyle/>
        <a:p>
          <a:r>
            <a:rPr lang="en-GB"/>
            <a:t>Individual Enthalpies</a:t>
          </a:r>
        </a:p>
      </dgm:t>
    </dgm:pt>
    <dgm:pt modelId="{8BF8419C-37E6-4BFD-9BEA-4239AA5A0C11}" type="parTrans" cxnId="{42697BDE-C147-479D-9C24-C4F9E9E9EBBA}">
      <dgm:prSet/>
      <dgm:spPr/>
      <dgm:t>
        <a:bodyPr/>
        <a:lstStyle/>
        <a:p>
          <a:endParaRPr lang="en-GB"/>
        </a:p>
      </dgm:t>
    </dgm:pt>
    <dgm:pt modelId="{20F7745E-9231-4C77-94F8-F7DA3E861B1C}" type="sibTrans" cxnId="{42697BDE-C147-479D-9C24-C4F9E9E9EBBA}">
      <dgm:prSet/>
      <dgm:spPr/>
      <dgm:t>
        <a:bodyPr/>
        <a:lstStyle/>
        <a:p>
          <a:endParaRPr lang="en-GB"/>
        </a:p>
      </dgm:t>
    </dgm:pt>
    <dgm:pt modelId="{A615C62D-6661-4970-A73B-A38AD7BF0B22}">
      <dgm:prSet phldrT="[Text]"/>
      <dgm:spPr/>
      <dgm:t>
        <a:bodyPr/>
        <a:lstStyle/>
        <a:p>
          <a:r>
            <a:rPr lang="en-GB"/>
            <a:t>Net Enthalpy</a:t>
          </a:r>
        </a:p>
      </dgm:t>
    </dgm:pt>
    <dgm:pt modelId="{CF278175-3971-4308-87CF-BC64436CA704}" type="parTrans" cxnId="{F3216EA0-70DA-4BBB-8FB3-7F2F30702F74}">
      <dgm:prSet/>
      <dgm:spPr/>
      <dgm:t>
        <a:bodyPr/>
        <a:lstStyle/>
        <a:p>
          <a:endParaRPr lang="en-GB"/>
        </a:p>
      </dgm:t>
    </dgm:pt>
    <dgm:pt modelId="{FF9B884A-3675-4DBF-8B13-B63E1C532DCA}" type="sibTrans" cxnId="{F3216EA0-70DA-4BBB-8FB3-7F2F30702F74}">
      <dgm:prSet/>
      <dgm:spPr/>
      <dgm:t>
        <a:bodyPr/>
        <a:lstStyle/>
        <a:p>
          <a:endParaRPr lang="en-GB"/>
        </a:p>
      </dgm:t>
    </dgm:pt>
    <dgm:pt modelId="{D9E728D5-F3CB-4150-9C76-BBFE54593D00}" type="pres">
      <dgm:prSet presAssocID="{AE0A11F1-AEC5-4DE9-B0E2-294B25269DBB}" presName="cycle" presStyleCnt="0">
        <dgm:presLayoutVars>
          <dgm:dir/>
          <dgm:resizeHandles val="exact"/>
        </dgm:presLayoutVars>
      </dgm:prSet>
      <dgm:spPr/>
    </dgm:pt>
    <dgm:pt modelId="{D3D503AB-9C0F-449B-85B7-51C28F43A2E9}" type="pres">
      <dgm:prSet presAssocID="{9BBABCEC-EF85-4F28-8C22-E4E583976949}" presName="dummy" presStyleCnt="0"/>
      <dgm:spPr/>
    </dgm:pt>
    <dgm:pt modelId="{B03F6454-F933-4173-9A62-FE23548B0E72}" type="pres">
      <dgm:prSet presAssocID="{9BBABCEC-EF85-4F28-8C22-E4E583976949}" presName="node" presStyleLbl="revTx" presStyleIdx="0" presStyleCnt="4">
        <dgm:presLayoutVars>
          <dgm:bulletEnabled val="1"/>
        </dgm:presLayoutVars>
      </dgm:prSet>
      <dgm:spPr/>
    </dgm:pt>
    <dgm:pt modelId="{91F017FC-7112-4C73-BD87-D7DE85AFF101}" type="pres">
      <dgm:prSet presAssocID="{8A79E237-D7AC-45AF-8DDC-B0C60363A55A}" presName="sibTrans" presStyleLbl="node1" presStyleIdx="0" presStyleCnt="4"/>
      <dgm:spPr/>
    </dgm:pt>
    <dgm:pt modelId="{795F8006-1848-40F8-94E1-A614F9B32A8F}" type="pres">
      <dgm:prSet presAssocID="{2F8823DD-965A-4701-9F35-D7B32ECCEC03}" presName="dummy" presStyleCnt="0"/>
      <dgm:spPr/>
    </dgm:pt>
    <dgm:pt modelId="{2FA5FAEF-F868-4A7A-8D1C-8C24AF5CEE2C}" type="pres">
      <dgm:prSet presAssocID="{2F8823DD-965A-4701-9F35-D7B32ECCEC03}" presName="node" presStyleLbl="revTx" presStyleIdx="1" presStyleCnt="4">
        <dgm:presLayoutVars>
          <dgm:bulletEnabled val="1"/>
        </dgm:presLayoutVars>
      </dgm:prSet>
      <dgm:spPr/>
    </dgm:pt>
    <dgm:pt modelId="{9ED4DA5D-7AE0-4A8C-A7C9-704286277B56}" type="pres">
      <dgm:prSet presAssocID="{9435FC4D-96B5-4676-AB20-5651ED9A1C6C}" presName="sibTrans" presStyleLbl="node1" presStyleIdx="1" presStyleCnt="4"/>
      <dgm:spPr/>
    </dgm:pt>
    <dgm:pt modelId="{BD31FA37-A772-4C9D-A6A8-BB2B00928DD1}" type="pres">
      <dgm:prSet presAssocID="{CB6B2FBC-6438-46B7-A68B-6F920876A886}" presName="dummy" presStyleCnt="0"/>
      <dgm:spPr/>
    </dgm:pt>
    <dgm:pt modelId="{BFEB537E-DB71-45A6-8241-D9C79613242A}" type="pres">
      <dgm:prSet presAssocID="{CB6B2FBC-6438-46B7-A68B-6F920876A886}" presName="node" presStyleLbl="revTx" presStyleIdx="2" presStyleCnt="4">
        <dgm:presLayoutVars>
          <dgm:bulletEnabled val="1"/>
        </dgm:presLayoutVars>
      </dgm:prSet>
      <dgm:spPr/>
    </dgm:pt>
    <dgm:pt modelId="{9D7EA2A9-18D7-4356-9AFD-2C89ACE86810}" type="pres">
      <dgm:prSet presAssocID="{20F7745E-9231-4C77-94F8-F7DA3E861B1C}" presName="sibTrans" presStyleLbl="node1" presStyleIdx="2" presStyleCnt="4"/>
      <dgm:spPr/>
    </dgm:pt>
    <dgm:pt modelId="{620027D9-1A5B-4D11-9A97-61A073614647}" type="pres">
      <dgm:prSet presAssocID="{A615C62D-6661-4970-A73B-A38AD7BF0B22}" presName="dummy" presStyleCnt="0"/>
      <dgm:spPr/>
    </dgm:pt>
    <dgm:pt modelId="{3EA99437-F0EF-4B22-9961-C3B5392903AA}" type="pres">
      <dgm:prSet presAssocID="{A615C62D-6661-4970-A73B-A38AD7BF0B22}" presName="node" presStyleLbl="revTx" presStyleIdx="3" presStyleCnt="4">
        <dgm:presLayoutVars>
          <dgm:bulletEnabled val="1"/>
        </dgm:presLayoutVars>
      </dgm:prSet>
      <dgm:spPr/>
    </dgm:pt>
    <dgm:pt modelId="{691794E9-BC8D-47AB-8CEF-ABC3770CCC2F}" type="pres">
      <dgm:prSet presAssocID="{FF9B884A-3675-4DBF-8B13-B63E1C532DCA}" presName="sibTrans" presStyleLbl="node1" presStyleIdx="3" presStyleCnt="4"/>
      <dgm:spPr/>
    </dgm:pt>
  </dgm:ptLst>
  <dgm:cxnLst>
    <dgm:cxn modelId="{EFEB810A-FCB0-4FCD-B068-4FF9CFA100E4}" type="presOf" srcId="{CB6B2FBC-6438-46B7-A68B-6F920876A886}" destId="{BFEB537E-DB71-45A6-8241-D9C79613242A}" srcOrd="0" destOrd="0" presId="urn:microsoft.com/office/officeart/2005/8/layout/cycle1"/>
    <dgm:cxn modelId="{693C0572-7D42-45BF-861E-84B15DFCB513}" type="presOf" srcId="{8A79E237-D7AC-45AF-8DDC-B0C60363A55A}" destId="{91F017FC-7112-4C73-BD87-D7DE85AFF101}" srcOrd="0" destOrd="0" presId="urn:microsoft.com/office/officeart/2005/8/layout/cycle1"/>
    <dgm:cxn modelId="{9745EF56-D319-497A-A8F7-8EC1A51FC375}" srcId="{AE0A11F1-AEC5-4DE9-B0E2-294B25269DBB}" destId="{2F8823DD-965A-4701-9F35-D7B32ECCEC03}" srcOrd="1" destOrd="0" parTransId="{0D9289B3-4DFB-456B-B459-9956F154F598}" sibTransId="{9435FC4D-96B5-4676-AB20-5651ED9A1C6C}"/>
    <dgm:cxn modelId="{34145886-FF32-4C5A-B078-CAC0EE28BD2F}" type="presOf" srcId="{A615C62D-6661-4970-A73B-A38AD7BF0B22}" destId="{3EA99437-F0EF-4B22-9961-C3B5392903AA}" srcOrd="0" destOrd="0" presId="urn:microsoft.com/office/officeart/2005/8/layout/cycle1"/>
    <dgm:cxn modelId="{5AB4318A-0B1C-4204-A64B-5EF794D1FADF}" type="presOf" srcId="{9BBABCEC-EF85-4F28-8C22-E4E583976949}" destId="{B03F6454-F933-4173-9A62-FE23548B0E72}" srcOrd="0" destOrd="0" presId="urn:microsoft.com/office/officeart/2005/8/layout/cycle1"/>
    <dgm:cxn modelId="{6E99808A-C31F-498A-B5B1-1E195018FA07}" type="presOf" srcId="{FF9B884A-3675-4DBF-8B13-B63E1C532DCA}" destId="{691794E9-BC8D-47AB-8CEF-ABC3770CCC2F}" srcOrd="0" destOrd="0" presId="urn:microsoft.com/office/officeart/2005/8/layout/cycle1"/>
    <dgm:cxn modelId="{870CF08F-BB19-48F0-B194-84115DDAC480}" type="presOf" srcId="{AE0A11F1-AEC5-4DE9-B0E2-294B25269DBB}" destId="{D9E728D5-F3CB-4150-9C76-BBFE54593D00}" srcOrd="0" destOrd="0" presId="urn:microsoft.com/office/officeart/2005/8/layout/cycle1"/>
    <dgm:cxn modelId="{F3216EA0-70DA-4BBB-8FB3-7F2F30702F74}" srcId="{AE0A11F1-AEC5-4DE9-B0E2-294B25269DBB}" destId="{A615C62D-6661-4970-A73B-A38AD7BF0B22}" srcOrd="3" destOrd="0" parTransId="{CF278175-3971-4308-87CF-BC64436CA704}" sibTransId="{FF9B884A-3675-4DBF-8B13-B63E1C532DCA}"/>
    <dgm:cxn modelId="{262E0EA7-939B-4EC6-B420-E6C8CB2E3D68}" srcId="{AE0A11F1-AEC5-4DE9-B0E2-294B25269DBB}" destId="{9BBABCEC-EF85-4F28-8C22-E4E583976949}" srcOrd="0" destOrd="0" parTransId="{0F690A44-80E9-422A-9C07-F4232199BCF2}" sibTransId="{8A79E237-D7AC-45AF-8DDC-B0C60363A55A}"/>
    <dgm:cxn modelId="{343FCFC5-132F-48A4-B9EB-A4C08AACA7BB}" type="presOf" srcId="{20F7745E-9231-4C77-94F8-F7DA3E861B1C}" destId="{9D7EA2A9-18D7-4356-9AFD-2C89ACE86810}" srcOrd="0" destOrd="0" presId="urn:microsoft.com/office/officeart/2005/8/layout/cycle1"/>
    <dgm:cxn modelId="{42697BDE-C147-479D-9C24-C4F9E9E9EBBA}" srcId="{AE0A11F1-AEC5-4DE9-B0E2-294B25269DBB}" destId="{CB6B2FBC-6438-46B7-A68B-6F920876A886}" srcOrd="2" destOrd="0" parTransId="{8BF8419C-37E6-4BFD-9BEA-4239AA5A0C11}" sibTransId="{20F7745E-9231-4C77-94F8-F7DA3E861B1C}"/>
    <dgm:cxn modelId="{DE5364EB-181E-4E87-8665-E273CA679074}" type="presOf" srcId="{2F8823DD-965A-4701-9F35-D7B32ECCEC03}" destId="{2FA5FAEF-F868-4A7A-8D1C-8C24AF5CEE2C}" srcOrd="0" destOrd="0" presId="urn:microsoft.com/office/officeart/2005/8/layout/cycle1"/>
    <dgm:cxn modelId="{6653C8FC-C55B-4F89-AFD8-33A33F8E7872}" type="presOf" srcId="{9435FC4D-96B5-4676-AB20-5651ED9A1C6C}" destId="{9ED4DA5D-7AE0-4A8C-A7C9-704286277B56}" srcOrd="0" destOrd="0" presId="urn:microsoft.com/office/officeart/2005/8/layout/cycle1"/>
    <dgm:cxn modelId="{273C8C1A-8027-4AEC-A8F6-77847E9C69D3}" type="presParOf" srcId="{D9E728D5-F3CB-4150-9C76-BBFE54593D00}" destId="{D3D503AB-9C0F-449B-85B7-51C28F43A2E9}" srcOrd="0" destOrd="0" presId="urn:microsoft.com/office/officeart/2005/8/layout/cycle1"/>
    <dgm:cxn modelId="{553442D9-697B-45F9-B0E4-BC10A344BC02}" type="presParOf" srcId="{D9E728D5-F3CB-4150-9C76-BBFE54593D00}" destId="{B03F6454-F933-4173-9A62-FE23548B0E72}" srcOrd="1" destOrd="0" presId="urn:microsoft.com/office/officeart/2005/8/layout/cycle1"/>
    <dgm:cxn modelId="{6E0135F5-6AC4-472D-B5A3-14E7FF360DB5}" type="presParOf" srcId="{D9E728D5-F3CB-4150-9C76-BBFE54593D00}" destId="{91F017FC-7112-4C73-BD87-D7DE85AFF101}" srcOrd="2" destOrd="0" presId="urn:microsoft.com/office/officeart/2005/8/layout/cycle1"/>
    <dgm:cxn modelId="{DB8BF438-9067-4E0C-9221-65B51DC1664F}" type="presParOf" srcId="{D9E728D5-F3CB-4150-9C76-BBFE54593D00}" destId="{795F8006-1848-40F8-94E1-A614F9B32A8F}" srcOrd="3" destOrd="0" presId="urn:microsoft.com/office/officeart/2005/8/layout/cycle1"/>
    <dgm:cxn modelId="{313E1145-D5F9-491F-BB98-B881CF998B23}" type="presParOf" srcId="{D9E728D5-F3CB-4150-9C76-BBFE54593D00}" destId="{2FA5FAEF-F868-4A7A-8D1C-8C24AF5CEE2C}" srcOrd="4" destOrd="0" presId="urn:microsoft.com/office/officeart/2005/8/layout/cycle1"/>
    <dgm:cxn modelId="{001C435D-6BE6-4DBF-A27D-C444B6597C5F}" type="presParOf" srcId="{D9E728D5-F3CB-4150-9C76-BBFE54593D00}" destId="{9ED4DA5D-7AE0-4A8C-A7C9-704286277B56}" srcOrd="5" destOrd="0" presId="urn:microsoft.com/office/officeart/2005/8/layout/cycle1"/>
    <dgm:cxn modelId="{021F0E33-56E4-4736-92E0-F5FF028332EB}" type="presParOf" srcId="{D9E728D5-F3CB-4150-9C76-BBFE54593D00}" destId="{BD31FA37-A772-4C9D-A6A8-BB2B00928DD1}" srcOrd="6" destOrd="0" presId="urn:microsoft.com/office/officeart/2005/8/layout/cycle1"/>
    <dgm:cxn modelId="{44FAEE6C-AA26-445D-A5CE-24C3A74CBE4F}" type="presParOf" srcId="{D9E728D5-F3CB-4150-9C76-BBFE54593D00}" destId="{BFEB537E-DB71-45A6-8241-D9C79613242A}" srcOrd="7" destOrd="0" presId="urn:microsoft.com/office/officeart/2005/8/layout/cycle1"/>
    <dgm:cxn modelId="{A2021B75-CBE0-4F7B-9C6D-ED0985183188}" type="presParOf" srcId="{D9E728D5-F3CB-4150-9C76-BBFE54593D00}" destId="{9D7EA2A9-18D7-4356-9AFD-2C89ACE86810}" srcOrd="8" destOrd="0" presId="urn:microsoft.com/office/officeart/2005/8/layout/cycle1"/>
    <dgm:cxn modelId="{456534E3-3D8E-4D95-A1D7-273B22F27C57}" type="presParOf" srcId="{D9E728D5-F3CB-4150-9C76-BBFE54593D00}" destId="{620027D9-1A5B-4D11-9A97-61A073614647}" srcOrd="9" destOrd="0" presId="urn:microsoft.com/office/officeart/2005/8/layout/cycle1"/>
    <dgm:cxn modelId="{D439338B-0850-4AEE-87E3-324B31965AD3}" type="presParOf" srcId="{D9E728D5-F3CB-4150-9C76-BBFE54593D00}" destId="{3EA99437-F0EF-4B22-9961-C3B5392903AA}" srcOrd="10" destOrd="0" presId="urn:microsoft.com/office/officeart/2005/8/layout/cycle1"/>
    <dgm:cxn modelId="{42406195-F04B-408A-B507-497E988C1E43}" type="presParOf" srcId="{D9E728D5-F3CB-4150-9C76-BBFE54593D00}" destId="{691794E9-BC8D-47AB-8CEF-ABC3770CCC2F}" srcOrd="11" destOrd="0" presId="urn:microsoft.com/office/officeart/2005/8/layout/cycl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3F6454-F933-4173-9A62-FE23548B0E72}">
      <dsp:nvSpPr>
        <dsp:cNvPr id="0" name=""/>
        <dsp:cNvSpPr/>
      </dsp:nvSpPr>
      <dsp:spPr>
        <a:xfrm>
          <a:off x="1815403" y="43490"/>
          <a:ext cx="684281" cy="6842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Flame Temp</a:t>
          </a:r>
        </a:p>
      </dsp:txBody>
      <dsp:txXfrm>
        <a:off x="1815403" y="43490"/>
        <a:ext cx="684281" cy="684281"/>
      </dsp:txXfrm>
    </dsp:sp>
    <dsp:sp modelId="{91F017FC-7112-4C73-BD87-D7DE85AFF101}">
      <dsp:nvSpPr>
        <dsp:cNvPr id="0" name=""/>
        <dsp:cNvSpPr/>
      </dsp:nvSpPr>
      <dsp:spPr>
        <a:xfrm>
          <a:off x="609953" y="353"/>
          <a:ext cx="1932868" cy="1932868"/>
        </a:xfrm>
        <a:prstGeom prst="circularArrow">
          <a:avLst>
            <a:gd name="adj1" fmla="val 6903"/>
            <a:gd name="adj2" fmla="val 465463"/>
            <a:gd name="adj3" fmla="val 548946"/>
            <a:gd name="adj4" fmla="val 20585590"/>
            <a:gd name="adj5" fmla="val 8054"/>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2FA5FAEF-F868-4A7A-8D1C-8C24AF5CEE2C}">
      <dsp:nvSpPr>
        <dsp:cNvPr id="0" name=""/>
        <dsp:cNvSpPr/>
      </dsp:nvSpPr>
      <dsp:spPr>
        <a:xfrm>
          <a:off x="1815403" y="1205803"/>
          <a:ext cx="684281" cy="6842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Interpolation</a:t>
          </a:r>
        </a:p>
      </dsp:txBody>
      <dsp:txXfrm>
        <a:off x="1815403" y="1205803"/>
        <a:ext cx="684281" cy="684281"/>
      </dsp:txXfrm>
    </dsp:sp>
    <dsp:sp modelId="{9ED4DA5D-7AE0-4A8C-A7C9-704286277B56}">
      <dsp:nvSpPr>
        <dsp:cNvPr id="0" name=""/>
        <dsp:cNvSpPr/>
      </dsp:nvSpPr>
      <dsp:spPr>
        <a:xfrm>
          <a:off x="609953" y="353"/>
          <a:ext cx="1932868" cy="1932868"/>
        </a:xfrm>
        <a:prstGeom prst="circularArrow">
          <a:avLst>
            <a:gd name="adj1" fmla="val 6903"/>
            <a:gd name="adj2" fmla="val 465463"/>
            <a:gd name="adj3" fmla="val 5948946"/>
            <a:gd name="adj4" fmla="val 4385590"/>
            <a:gd name="adj5" fmla="val 8054"/>
          </a:avLst>
        </a:prstGeom>
        <a:solidFill>
          <a:schemeClr val="accent1">
            <a:alpha val="90000"/>
            <a:hueOff val="0"/>
            <a:satOff val="0"/>
            <a:lumOff val="0"/>
            <a:alphaOff val="-13333"/>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BFEB537E-DB71-45A6-8241-D9C79613242A}">
      <dsp:nvSpPr>
        <dsp:cNvPr id="0" name=""/>
        <dsp:cNvSpPr/>
      </dsp:nvSpPr>
      <dsp:spPr>
        <a:xfrm>
          <a:off x="653090" y="1205803"/>
          <a:ext cx="684281" cy="6842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Individual Enthalpies</a:t>
          </a:r>
        </a:p>
      </dsp:txBody>
      <dsp:txXfrm>
        <a:off x="653090" y="1205803"/>
        <a:ext cx="684281" cy="684281"/>
      </dsp:txXfrm>
    </dsp:sp>
    <dsp:sp modelId="{9D7EA2A9-18D7-4356-9AFD-2C89ACE86810}">
      <dsp:nvSpPr>
        <dsp:cNvPr id="0" name=""/>
        <dsp:cNvSpPr/>
      </dsp:nvSpPr>
      <dsp:spPr>
        <a:xfrm>
          <a:off x="609953" y="353"/>
          <a:ext cx="1932868" cy="1932868"/>
        </a:xfrm>
        <a:prstGeom prst="circularArrow">
          <a:avLst>
            <a:gd name="adj1" fmla="val 6903"/>
            <a:gd name="adj2" fmla="val 465463"/>
            <a:gd name="adj3" fmla="val 11348946"/>
            <a:gd name="adj4" fmla="val 9785590"/>
            <a:gd name="adj5" fmla="val 8054"/>
          </a:avLst>
        </a:prstGeom>
        <a:solidFill>
          <a:schemeClr val="accent1">
            <a:alpha val="90000"/>
            <a:hueOff val="0"/>
            <a:satOff val="0"/>
            <a:lumOff val="0"/>
            <a:alphaOff val="-26667"/>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3EA99437-F0EF-4B22-9961-C3B5392903AA}">
      <dsp:nvSpPr>
        <dsp:cNvPr id="0" name=""/>
        <dsp:cNvSpPr/>
      </dsp:nvSpPr>
      <dsp:spPr>
        <a:xfrm>
          <a:off x="653090" y="43490"/>
          <a:ext cx="684281" cy="6842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Net Enthalpy</a:t>
          </a:r>
        </a:p>
      </dsp:txBody>
      <dsp:txXfrm>
        <a:off x="653090" y="43490"/>
        <a:ext cx="684281" cy="684281"/>
      </dsp:txXfrm>
    </dsp:sp>
    <dsp:sp modelId="{691794E9-BC8D-47AB-8CEF-ABC3770CCC2F}">
      <dsp:nvSpPr>
        <dsp:cNvPr id="0" name=""/>
        <dsp:cNvSpPr/>
      </dsp:nvSpPr>
      <dsp:spPr>
        <a:xfrm>
          <a:off x="609953" y="353"/>
          <a:ext cx="1932868" cy="1932868"/>
        </a:xfrm>
        <a:prstGeom prst="circularArrow">
          <a:avLst>
            <a:gd name="adj1" fmla="val 6903"/>
            <a:gd name="adj2" fmla="val 465463"/>
            <a:gd name="adj3" fmla="val 16748946"/>
            <a:gd name="adj4" fmla="val 15185590"/>
            <a:gd name="adj5" fmla="val 8054"/>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Wie10</b:Tag>
    <b:SourceType>JournalArticle</b:SourceType>
    <b:Guid>{D6C67805-B709-402A-9724-5F809A585030}</b:Guid>
    <b:Title>Atomic weights of the elements 2009</b:Title>
    <b:Year>2010</b:Year>
    <b:Pages>359-396</b:Pages>
    <b:Publisher>IUPAC</b:Publisher>
    <b:Author>
      <b:Author>
        <b:NameList>
          <b:Person>
            <b:Last>Wieser M</b:Last>
            <b:First>Coplen</b:First>
            <b:Middle>T</b:Middle>
          </b:Person>
        </b:NameList>
      </b:Author>
    </b:Author>
    <b:JournalName>Pure Appl. Chem.</b:JournalName>
    <b:Volume>83</b:Volume>
    <b:Issue>2</b:Issue>
    <b:RefOrder>2</b:RefOrder>
  </b:Source>
  <b:Source>
    <b:Tag>McA111</b:Tag>
    <b:SourceType>Book</b:SourceType>
    <b:Guid>{64389D57-16B5-429F-BE03-99FE1FB8FB7C}</b:Guid>
    <b:Title>Fundamentals of Combustion Processes</b:Title>
    <b:Year>2011</b:Year>
    <b:City>Berkeley, CA</b:City>
    <b:Publisher>Springer Science+Business Media</b:Publisher>
    <b:Edition>1st</b:Edition>
    <b:Author>
      <b:Author>
        <b:NameList>
          <b:Person>
            <b:Last>McAllister S</b:Last>
            <b:First>Chen</b:First>
            <b:Middle>J-Y, Fernandez-Pello A.</b:Middle>
          </b:Person>
        </b:NameList>
      </b:Author>
    </b:Author>
    <b:RefOrder>3</b:RefOrder>
  </b:Source>
  <b:Source>
    <b:Tag>McA11</b:Tag>
    <b:SourceType>BookSection</b:SourceType>
    <b:Guid>{1FBF1DA9-C793-4382-8D15-497699F94655}</b:Guid>
    <b:Author>
      <b:Author>
        <b:NameList>
          <b:Person>
            <b:Last>McAllister S</b:Last>
            <b:First>Chen</b:First>
            <b:Middle>J-Y, Fernadez-Pello A.</b:Middle>
          </b:Person>
        </b:NameList>
      </b:Author>
      <b:Editor>
        <b:NameList>
          <b:Person>
            <b:Last>F</b:Last>
            <b:First>Ling</b:First>
          </b:Person>
        </b:NameList>
      </b:Editor>
    </b:Author>
    <b:Title>Combustion Stoiciometry</b:Title>
    <b:BookTitle>Fundamentals of Combustion Processes</b:BookTitle>
    <b:Year>2011</b:Year>
    <b:Pages>17-19</b:Pages>
    <b:City>Berkeley, CA</b:City>
    <b:Publisher>Springer Science+Business Media</b:Publisher>
    <b:RefOrder>1</b:RefOrder>
  </b:Source>
</b:Sources>
</file>

<file path=customXml/itemProps1.xml><?xml version="1.0" encoding="utf-8"?>
<ds:datastoreItem xmlns:ds="http://schemas.openxmlformats.org/officeDocument/2006/customXml" ds:itemID="{7934FB3A-10DC-4D26-AA38-447844202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4931</TotalTime>
  <Pages>15</Pages>
  <Words>4095</Words>
  <Characters>23346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Combustion and Emissions Study: Modelling Fuels and NO</vt:lpstr>
    </vt:vector>
  </TitlesOfParts>
  <Company>University of Wales Trinity Saint David, School of Engineering</Company>
  <LinksUpToDate>false</LinksUpToDate>
  <CharactersWithSpaces>27387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Combustion and Emissions Study: Modelling Fuels and NO</dc:title>
  <dc:subject>Powertrain and Sustainability (M6X01206)</dc:subject>
  <dc:creator>Owen Lord (P150216)</dc:creator>
  <cp:keywords/>
  <dc:description/>
  <cp:lastModifiedBy>Owen Lord</cp:lastModifiedBy>
  <cp:revision>44</cp:revision>
  <dcterms:created xsi:type="dcterms:W3CDTF">2019-12-23T13:29:00Z</dcterms:created>
  <dcterms:modified xsi:type="dcterms:W3CDTF">2020-01-06T02:55:00Z</dcterms:modified>
  <cp:category>BEng Motorcycle Engineering (4 Year Course)</cp:category>
</cp:coreProperties>
</file>