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Default"/>
        <w:bidi w:val="0"/>
        <w:spacing w:before="0" w:line="240" w:lineRule="auto"/>
        <w:ind w:left="0" w:right="0" w:firstLine="0"/>
        <w:jc w:val="center"/>
        <w:rPr>
          <w:rFonts w:ascii="Times New Roman" w:cs="Times New Roman" w:hAnsi="Times New Roman" w:eastAsia="Times New Roman"/>
          <w:b w:val="1"/>
          <w:bCs w:val="1"/>
          <w:sz w:val="96"/>
          <w:szCs w:val="96"/>
          <w:u w:val="single" w:color="000000"/>
          <w:rtl w:val="0"/>
        </w:rPr>
      </w:pPr>
      <w:r>
        <w:rPr>
          <w:rFonts w:ascii="Times New Roman" w:hAnsi="Times New Roman"/>
          <w:b w:val="1"/>
          <w:bCs w:val="1"/>
          <w:sz w:val="96"/>
          <w:szCs w:val="96"/>
          <w:u w:val="single" w:color="000000"/>
          <w:rtl w:val="0"/>
          <w:lang w:val="fr-FR"/>
        </w:rPr>
        <w:t xml:space="preserve">Community Engagement </w:t>
      </w:r>
    </w:p>
    <w:p>
      <w:pPr>
        <w:pStyle w:val="Default"/>
        <w:bidi w:val="0"/>
        <w:spacing w:before="0" w:line="240" w:lineRule="auto"/>
        <w:ind w:left="0" w:right="0" w:firstLine="0"/>
        <w:jc w:val="center"/>
        <w:rPr>
          <w:rFonts w:ascii="Times New Roman" w:cs="Times New Roman" w:hAnsi="Times New Roman" w:eastAsia="Times New Roman"/>
          <w:b w:val="1"/>
          <w:bCs w:val="1"/>
          <w:sz w:val="96"/>
          <w:szCs w:val="96"/>
          <w:u w:val="single" w:color="000000"/>
          <w:rtl w:val="0"/>
        </w:rPr>
      </w:pPr>
    </w:p>
    <w:p>
      <w:pPr>
        <w:pStyle w:val="Default"/>
        <w:bidi w:val="0"/>
        <w:spacing w:before="0" w:line="240" w:lineRule="auto"/>
        <w:ind w:left="0" w:right="0" w:firstLine="0"/>
        <w:jc w:val="center"/>
        <w:rPr>
          <w:rFonts w:ascii="Times New Roman" w:cs="Times New Roman" w:hAnsi="Times New Roman" w:eastAsia="Times New Roman"/>
          <w:b w:val="0"/>
          <w:bCs w:val="0"/>
          <w:sz w:val="36"/>
          <w:szCs w:val="36"/>
          <w:u w:val="none" w:color="000000"/>
          <w:rtl w:val="0"/>
        </w:rPr>
      </w:pPr>
    </w:p>
    <w:p>
      <w:pPr>
        <w:pStyle w:val="Default"/>
        <w:bidi w:val="0"/>
        <w:spacing w:before="0" w:line="240" w:lineRule="auto"/>
        <w:ind w:left="0" w:right="0" w:firstLine="0"/>
        <w:jc w:val="left"/>
        <w:rPr>
          <w:rFonts w:ascii="Times New Roman" w:cs="Times New Roman" w:hAnsi="Times New Roman" w:eastAsia="Times New Roman"/>
          <w:b w:val="0"/>
          <w:bCs w:val="0"/>
          <w:sz w:val="36"/>
          <w:szCs w:val="36"/>
          <w:u w:color="000000"/>
          <w:rtl w:val="0"/>
        </w:rPr>
      </w:pPr>
      <w:r>
        <w:rPr>
          <w:rFonts w:ascii="Times New Roman" w:hAnsi="Times New Roman"/>
          <w:b w:val="1"/>
          <w:bCs w:val="1"/>
          <w:sz w:val="42"/>
          <w:szCs w:val="42"/>
          <w:u w:color="000000"/>
          <w:rtl w:val="0"/>
          <w:lang w:val="en-US"/>
        </w:rPr>
        <w:t>Table of Contents</w:t>
      </w:r>
    </w:p>
    <w:p>
      <w:pPr>
        <w:pStyle w:val="Default"/>
        <w:bidi w:val="0"/>
        <w:spacing w:before="0" w:line="240" w:lineRule="auto"/>
        <w:ind w:left="0" w:right="0" w:firstLine="0"/>
        <w:jc w:val="left"/>
        <w:rPr>
          <w:rFonts w:ascii="Times New Roman" w:cs="Times New Roman" w:hAnsi="Times New Roman" w:eastAsia="Times New Roman"/>
          <w:sz w:val="36"/>
          <w:szCs w:val="36"/>
          <w:u w:color="000000"/>
          <w:rtl w:val="0"/>
        </w:rPr>
      </w:pPr>
      <w:r>
        <w:rPr>
          <w:rFonts w:ascii="Times New Roman" w:hAnsi="Times New Roman"/>
          <w:sz w:val="36"/>
          <w:szCs w:val="36"/>
          <w:u w:color="000000"/>
          <w:rtl w:val="0"/>
          <w:lang w:val="de-DE"/>
        </w:rPr>
        <w:t>INTRODUCTION 1</w:t>
      </w:r>
    </w:p>
    <w:p>
      <w:pPr>
        <w:pStyle w:val="Default"/>
        <w:bidi w:val="0"/>
        <w:spacing w:before="0" w:line="240" w:lineRule="auto"/>
        <w:ind w:left="0" w:right="0" w:firstLine="0"/>
        <w:jc w:val="left"/>
        <w:rPr>
          <w:rFonts w:ascii="Times New Roman" w:cs="Times New Roman" w:hAnsi="Times New Roman" w:eastAsia="Times New Roman"/>
          <w:sz w:val="36"/>
          <w:szCs w:val="36"/>
          <w:u w:color="000000"/>
          <w:rtl w:val="0"/>
        </w:rPr>
      </w:pPr>
      <w:r>
        <w:rPr>
          <w:rFonts w:ascii="Times New Roman" w:hAnsi="Times New Roman"/>
          <w:sz w:val="36"/>
          <w:szCs w:val="36"/>
          <w:u w:color="000000"/>
          <w:rtl w:val="0"/>
          <w:lang w:val="de-DE"/>
        </w:rPr>
        <w:t>MAIN BODY 1</w:t>
      </w:r>
    </w:p>
    <w:p>
      <w:pPr>
        <w:pStyle w:val="Default"/>
        <w:bidi w:val="0"/>
        <w:spacing w:before="0" w:line="240" w:lineRule="auto"/>
        <w:ind w:left="0" w:right="0" w:firstLine="0"/>
        <w:jc w:val="left"/>
        <w:rPr>
          <w:rFonts w:ascii="Times New Roman" w:cs="Times New Roman" w:hAnsi="Times New Roman" w:eastAsia="Times New Roman"/>
          <w:sz w:val="36"/>
          <w:szCs w:val="36"/>
          <w:u w:color="000000"/>
          <w:rtl w:val="0"/>
        </w:rPr>
      </w:pPr>
      <w:r>
        <w:rPr>
          <w:rFonts w:ascii="Times New Roman" w:hAnsi="Times New Roman"/>
          <w:sz w:val="36"/>
          <w:szCs w:val="36"/>
          <w:u w:color="000000"/>
          <w:rtl w:val="0"/>
          <w:lang w:val="en-US"/>
        </w:rPr>
        <w:t>Project or program 1</w:t>
      </w:r>
    </w:p>
    <w:p>
      <w:pPr>
        <w:pStyle w:val="Default"/>
        <w:bidi w:val="0"/>
        <w:spacing w:before="0" w:line="240" w:lineRule="auto"/>
        <w:ind w:left="0" w:right="0" w:firstLine="0"/>
        <w:jc w:val="left"/>
        <w:rPr>
          <w:rFonts w:ascii="Times New Roman" w:cs="Times New Roman" w:hAnsi="Times New Roman" w:eastAsia="Times New Roman"/>
          <w:sz w:val="36"/>
          <w:szCs w:val="36"/>
          <w:u w:color="000000"/>
          <w:rtl w:val="0"/>
        </w:rPr>
      </w:pPr>
      <w:r>
        <w:rPr>
          <w:rFonts w:ascii="Times New Roman" w:hAnsi="Times New Roman"/>
          <w:sz w:val="36"/>
          <w:szCs w:val="36"/>
          <w:u w:color="000000"/>
          <w:rtl w:val="0"/>
          <w:lang w:val="en-US"/>
        </w:rPr>
        <w:t>Community engagement principles and standards 2</w:t>
      </w:r>
    </w:p>
    <w:p>
      <w:pPr>
        <w:pStyle w:val="Default"/>
        <w:bidi w:val="0"/>
        <w:spacing w:before="0" w:line="240" w:lineRule="auto"/>
        <w:ind w:left="0" w:right="0" w:firstLine="0"/>
        <w:jc w:val="left"/>
        <w:rPr>
          <w:rFonts w:ascii="Times New Roman" w:cs="Times New Roman" w:hAnsi="Times New Roman" w:eastAsia="Times New Roman"/>
          <w:sz w:val="36"/>
          <w:szCs w:val="36"/>
          <w:u w:color="000000"/>
          <w:rtl w:val="0"/>
        </w:rPr>
      </w:pPr>
      <w:r>
        <w:rPr>
          <w:rFonts w:ascii="Times New Roman" w:hAnsi="Times New Roman"/>
          <w:sz w:val="36"/>
          <w:szCs w:val="36"/>
          <w:u w:color="000000"/>
          <w:rtl w:val="0"/>
          <w:lang w:val="en-US"/>
        </w:rPr>
        <w:t>Benefits of stakeholders</w:t>
      </w:r>
      <w:r>
        <w:rPr>
          <w:rFonts w:ascii="Times New Roman" w:hAnsi="Times New Roman" w:hint="default"/>
          <w:sz w:val="36"/>
          <w:szCs w:val="36"/>
          <w:u w:color="000000"/>
          <w:rtl w:val="1"/>
        </w:rPr>
        <w:t xml:space="preserve">’ </w:t>
      </w:r>
      <w:r>
        <w:rPr>
          <w:rFonts w:ascii="Times New Roman" w:hAnsi="Times New Roman"/>
          <w:sz w:val="36"/>
          <w:szCs w:val="36"/>
          <w:u w:color="000000"/>
          <w:rtl w:val="0"/>
          <w:lang w:val="fr-FR"/>
        </w:rPr>
        <w:t>participation 3</w:t>
      </w:r>
    </w:p>
    <w:p>
      <w:pPr>
        <w:pStyle w:val="Default"/>
        <w:bidi w:val="0"/>
        <w:spacing w:before="0" w:line="240" w:lineRule="auto"/>
        <w:ind w:left="0" w:right="0" w:firstLine="0"/>
        <w:jc w:val="left"/>
        <w:rPr>
          <w:rFonts w:ascii="Times New Roman" w:cs="Times New Roman" w:hAnsi="Times New Roman" w:eastAsia="Times New Roman"/>
          <w:sz w:val="36"/>
          <w:szCs w:val="36"/>
          <w:u w:color="000000"/>
          <w:rtl w:val="0"/>
        </w:rPr>
      </w:pPr>
      <w:r>
        <w:rPr>
          <w:rFonts w:ascii="Times New Roman" w:hAnsi="Times New Roman"/>
          <w:sz w:val="36"/>
          <w:szCs w:val="36"/>
          <w:u w:color="000000"/>
          <w:rtl w:val="0"/>
          <w:lang w:val="en-US"/>
        </w:rPr>
        <w:t>The use of social media for community engagement 4</w:t>
      </w:r>
    </w:p>
    <w:p>
      <w:pPr>
        <w:pStyle w:val="Default"/>
        <w:bidi w:val="0"/>
        <w:spacing w:before="0" w:line="240" w:lineRule="auto"/>
        <w:ind w:left="0" w:right="0" w:firstLine="0"/>
        <w:jc w:val="left"/>
        <w:rPr>
          <w:rFonts w:ascii="Times New Roman" w:cs="Times New Roman" w:hAnsi="Times New Roman" w:eastAsia="Times New Roman"/>
          <w:sz w:val="36"/>
          <w:szCs w:val="36"/>
          <w:u w:color="000000"/>
          <w:rtl w:val="0"/>
        </w:rPr>
      </w:pPr>
      <w:r>
        <w:rPr>
          <w:rFonts w:ascii="Times New Roman" w:hAnsi="Times New Roman"/>
          <w:sz w:val="36"/>
          <w:szCs w:val="36"/>
          <w:u w:color="000000"/>
          <w:rtl w:val="0"/>
          <w:lang w:val="en-US"/>
        </w:rPr>
        <w:t>Forward looking approaches by community engagement practitioners to educate community members on internal and external factors affecting community engagement 6</w:t>
      </w:r>
    </w:p>
    <w:p>
      <w:pPr>
        <w:pStyle w:val="Default"/>
        <w:bidi w:val="0"/>
        <w:spacing w:before="0" w:line="240" w:lineRule="auto"/>
        <w:ind w:left="0" w:right="0" w:firstLine="0"/>
        <w:jc w:val="left"/>
        <w:rPr>
          <w:rFonts w:ascii="Times New Roman" w:cs="Times New Roman" w:hAnsi="Times New Roman" w:eastAsia="Times New Roman"/>
          <w:sz w:val="36"/>
          <w:szCs w:val="36"/>
          <w:u w:color="000000"/>
          <w:rtl w:val="0"/>
        </w:rPr>
      </w:pPr>
      <w:r>
        <w:rPr>
          <w:rFonts w:ascii="Times New Roman" w:hAnsi="Times New Roman"/>
          <w:sz w:val="36"/>
          <w:szCs w:val="36"/>
          <w:u w:color="000000"/>
          <w:rtl w:val="0"/>
        </w:rPr>
        <w:t>CONCLUSION 7</w:t>
      </w:r>
    </w:p>
    <w:p>
      <w:pPr>
        <w:pStyle w:val="Default"/>
        <w:bidi w:val="0"/>
        <w:spacing w:before="0" w:line="240" w:lineRule="auto"/>
        <w:ind w:left="0" w:right="0" w:firstLine="0"/>
        <w:jc w:val="left"/>
        <w:rPr>
          <w:rFonts w:ascii="Times New Roman" w:cs="Times New Roman" w:hAnsi="Times New Roman" w:eastAsia="Times New Roman"/>
          <w:sz w:val="36"/>
          <w:szCs w:val="36"/>
          <w:u w:color="000000"/>
          <w:rtl w:val="0"/>
        </w:rPr>
      </w:pPr>
      <w:r>
        <w:rPr>
          <w:rFonts w:ascii="Times New Roman" w:hAnsi="Times New Roman"/>
          <w:sz w:val="36"/>
          <w:szCs w:val="36"/>
          <w:u w:color="000000"/>
          <w:rtl w:val="0"/>
          <w:lang w:val="de-DE"/>
        </w:rPr>
        <w:t>REFERENCES 8</w:t>
      </w:r>
    </w:p>
    <w:p>
      <w:pPr>
        <w:pStyle w:val="Default"/>
        <w:bidi w:val="0"/>
        <w:spacing w:before="0" w:line="240" w:lineRule="auto"/>
        <w:ind w:left="0" w:right="0" w:firstLine="0"/>
        <w:jc w:val="left"/>
        <w:rPr>
          <w:rFonts w:ascii="Times New Roman" w:cs="Times New Roman" w:hAnsi="Times New Roman" w:eastAsia="Times New Roman"/>
          <w:sz w:val="36"/>
          <w:szCs w:val="36"/>
          <w:u w:color="000000"/>
          <w:rtl w:val="0"/>
        </w:rPr>
      </w:pPr>
    </w:p>
    <w:p>
      <w:pPr>
        <w:pStyle w:val="Default"/>
        <w:bidi w:val="0"/>
        <w:spacing w:before="0" w:line="240" w:lineRule="auto"/>
        <w:ind w:left="0" w:right="0" w:firstLine="0"/>
        <w:jc w:val="left"/>
        <w:rPr>
          <w:rFonts w:ascii="Times New Roman" w:cs="Times New Roman" w:hAnsi="Times New Roman" w:eastAsia="Times New Roman"/>
          <w:b w:val="1"/>
          <w:bCs w:val="1"/>
          <w:sz w:val="42"/>
          <w:szCs w:val="42"/>
          <w:u w:color="000000"/>
          <w:rtl w:val="0"/>
        </w:rPr>
      </w:pPr>
    </w:p>
    <w:p>
      <w:pPr>
        <w:pStyle w:val="Default"/>
        <w:bidi w:val="0"/>
        <w:spacing w:before="0" w:line="240" w:lineRule="auto"/>
        <w:ind w:left="0" w:right="0" w:firstLine="0"/>
        <w:jc w:val="left"/>
        <w:rPr>
          <w:rFonts w:ascii="Times New Roman" w:cs="Times New Roman" w:hAnsi="Times New Roman" w:eastAsia="Times New Roman"/>
          <w:b w:val="0"/>
          <w:bCs w:val="0"/>
          <w:sz w:val="36"/>
          <w:szCs w:val="36"/>
          <w:u w:color="000000"/>
          <w:rtl w:val="0"/>
        </w:rPr>
      </w:pPr>
      <w:r>
        <w:rPr>
          <w:rFonts w:ascii="Times New Roman" w:hAnsi="Times New Roman"/>
          <w:b w:val="1"/>
          <w:bCs w:val="1"/>
          <w:sz w:val="42"/>
          <w:szCs w:val="42"/>
          <w:u w:color="000000"/>
          <w:rtl w:val="0"/>
          <w:lang w:val="de-DE"/>
        </w:rPr>
        <w:t>INTRODUCTION</w:t>
      </w:r>
    </w:p>
    <w:p>
      <w:pPr>
        <w:pStyle w:val="Default"/>
        <w:bidi w:val="0"/>
        <w:spacing w:before="0" w:line="240" w:lineRule="auto"/>
        <w:ind w:left="0" w:right="0" w:firstLine="0"/>
        <w:jc w:val="left"/>
        <w:rPr>
          <w:rFonts w:ascii="Times New Roman" w:cs="Times New Roman" w:hAnsi="Times New Roman" w:eastAsia="Times New Roman"/>
          <w:sz w:val="36"/>
          <w:szCs w:val="36"/>
          <w:u w:color="000000"/>
          <w:rtl w:val="0"/>
        </w:rPr>
      </w:pPr>
      <w:r>
        <w:rPr>
          <w:rFonts w:ascii="Times New Roman" w:hAnsi="Times New Roman"/>
          <w:sz w:val="36"/>
          <w:szCs w:val="36"/>
          <w:u w:color="000000"/>
          <w:rtl w:val="0"/>
          <w:lang w:val="en-US"/>
        </w:rPr>
        <w:t>Community engagement can be explained as engagement of people with each other at a given place so that a positive social environment can be developed. Community engagement can be elaborated as the contribution of people from diverse backgrounds, geographic locations, cultures, traditions etc. who come together to share their interests, ideas, beliefs, culture and other diverse phenomenon for creating positive cultural growth. Community engagement can be elaborated as the positive interaction among the people, organisations and various societies that helps to develop positive changes and healthy relationships among them. The report is based on Gwen Walford House, subsidiary of Rotherwood, a healthcare provider that is headquartered in Hereford, England. It is a leading healthcare provider that was established for offering exceptional standards of nursing care to the people who are physically disabled, elderly, requires palliative care, sensory requirement etc. It helps in resolving various problems within the society for ensuring good health of the people, positive and safe environment, etc. so that community growth can happen (Ariese, C. E., 2018). This report will describe the assessment and analysis of the best practices of community engagement. It will also describe the projects and programs on community engagement along with its principles and various advantages that the stakeholders gain. This report will include the use of various social media platforms that can be helpful to achieve community engagement. It will also describe the relevant ways that can be helpful in promoting community participation, collaboration and diversity for developing a creating social integration and community. In the end it will describe the approaches that can be useful for educating community members.</w:t>
      </w:r>
    </w:p>
    <w:p>
      <w:pPr>
        <w:pStyle w:val="Default"/>
        <w:bidi w:val="0"/>
        <w:spacing w:before="0" w:line="240" w:lineRule="auto"/>
        <w:ind w:left="0" w:right="0" w:firstLine="0"/>
        <w:jc w:val="both"/>
        <w:rPr>
          <w:rFonts w:ascii="Times New Roman" w:cs="Times New Roman" w:hAnsi="Times New Roman" w:eastAsia="Times New Roman"/>
          <w:sz w:val="36"/>
          <w:szCs w:val="36"/>
          <w:u w:color="000000"/>
          <w:rtl w:val="0"/>
        </w:rPr>
      </w:pPr>
      <w:r>
        <w:rPr>
          <w:rFonts w:ascii="Times New Roman" w:hAnsi="Times New Roman" w:hint="default"/>
          <w:sz w:val="36"/>
          <w:szCs w:val="36"/>
          <w:u w:color="000000"/>
          <w:rtl w:val="0"/>
        </w:rPr>
        <w:t> </w:t>
      </w:r>
    </w:p>
    <w:p>
      <w:pPr>
        <w:pStyle w:val="Default"/>
        <w:bidi w:val="0"/>
        <w:spacing w:before="0" w:line="240" w:lineRule="auto"/>
        <w:ind w:left="0" w:right="0" w:firstLine="0"/>
        <w:jc w:val="left"/>
        <w:rPr>
          <w:rFonts w:ascii="Times New Roman" w:cs="Times New Roman" w:hAnsi="Times New Roman" w:eastAsia="Times New Roman"/>
          <w:b w:val="0"/>
          <w:bCs w:val="0"/>
          <w:sz w:val="36"/>
          <w:szCs w:val="36"/>
          <w:u w:color="000000"/>
          <w:rtl w:val="0"/>
        </w:rPr>
      </w:pPr>
      <w:r>
        <w:rPr>
          <w:rFonts w:ascii="Times New Roman" w:hAnsi="Times New Roman"/>
          <w:b w:val="1"/>
          <w:bCs w:val="1"/>
          <w:sz w:val="42"/>
          <w:szCs w:val="42"/>
          <w:u w:color="000000"/>
          <w:rtl w:val="0"/>
          <w:lang w:val="de-DE"/>
        </w:rPr>
        <w:t>MAIN BODY</w:t>
      </w:r>
    </w:p>
    <w:p>
      <w:pPr>
        <w:pStyle w:val="Default"/>
        <w:bidi w:val="0"/>
        <w:spacing w:before="0" w:line="240" w:lineRule="auto"/>
        <w:ind w:left="0" w:right="0" w:firstLine="0"/>
        <w:jc w:val="left"/>
        <w:rPr>
          <w:rFonts w:ascii="Times New Roman" w:cs="Times New Roman" w:hAnsi="Times New Roman" w:eastAsia="Times New Roman"/>
          <w:sz w:val="36"/>
          <w:szCs w:val="36"/>
          <w:u w:val="none" w:color="000000"/>
          <w:rtl w:val="0"/>
        </w:rPr>
      </w:pPr>
      <w:r>
        <w:rPr>
          <w:rFonts w:ascii="Times New Roman" w:hAnsi="Times New Roman"/>
          <w:sz w:val="36"/>
          <w:szCs w:val="36"/>
          <w:u w:val="single" w:color="000000"/>
          <w:rtl w:val="0"/>
          <w:lang w:val="en-US"/>
        </w:rPr>
        <w:t>Project or program</w:t>
      </w:r>
    </w:p>
    <w:p>
      <w:pPr>
        <w:pStyle w:val="Default"/>
        <w:bidi w:val="0"/>
        <w:spacing w:before="0" w:line="240" w:lineRule="auto"/>
        <w:ind w:left="0" w:right="0" w:firstLine="0"/>
        <w:jc w:val="left"/>
        <w:rPr>
          <w:rFonts w:ascii="Times New Roman" w:cs="Times New Roman" w:hAnsi="Times New Roman" w:eastAsia="Times New Roman"/>
          <w:sz w:val="36"/>
          <w:szCs w:val="36"/>
          <w:u w:color="000000"/>
          <w:rtl w:val="0"/>
        </w:rPr>
      </w:pPr>
      <w:r>
        <w:rPr>
          <w:rFonts w:ascii="Times New Roman" w:hAnsi="Times New Roman"/>
          <w:sz w:val="36"/>
          <w:szCs w:val="36"/>
          <w:u w:color="000000"/>
          <w:rtl w:val="0"/>
          <w:lang w:val="en-US"/>
        </w:rPr>
        <w:t>Gwen Walford House wants to spread positively, community interaction and good health of the people in the society by improving their lives and higher quality of living standard. Gwen Walford House provides companionship, support and health care to the people in the society for improving their living conditions. It provides many benefits like health services, nursing facilities, palliative care, and residence to the people who require extra care in day to day life (Di Napoli and et.al., 2019). Gwen Walford House helps older people improve their digital skills and technological know-how so that their lives can be made easier with the help of technology. It is helpful in providing greater connectivity and intelligence with people by communicating their thoughts and expression with the use of digital technology in daily life. Digital technology has become one of the most important parts in community engagement that helps to entertain people and bring them closer. By this people can interconnect their cultures, traditions, thoughts, etc. with other people from different places. The use of digital technology by the people is helpful to reduce stress, depression and anxiety so better community engagement can be initiated.</w:t>
      </w:r>
    </w:p>
    <w:p>
      <w:pPr>
        <w:pStyle w:val="Default"/>
        <w:bidi w:val="0"/>
        <w:spacing w:before="0" w:line="240" w:lineRule="auto"/>
        <w:ind w:left="0" w:right="0" w:firstLine="0"/>
        <w:jc w:val="both"/>
        <w:rPr>
          <w:rFonts w:ascii="Times New Roman" w:cs="Times New Roman" w:hAnsi="Times New Roman" w:eastAsia="Times New Roman"/>
          <w:sz w:val="36"/>
          <w:szCs w:val="36"/>
          <w:u w:color="000000"/>
          <w:rtl w:val="0"/>
        </w:rPr>
      </w:pPr>
      <w:r>
        <w:rPr>
          <w:rFonts w:ascii="Times New Roman" w:hAnsi="Times New Roman" w:hint="default"/>
          <w:sz w:val="36"/>
          <w:szCs w:val="36"/>
          <w:u w:color="000000"/>
          <w:rtl w:val="0"/>
        </w:rPr>
        <w:t> </w:t>
      </w:r>
    </w:p>
    <w:p>
      <w:pPr>
        <w:pStyle w:val="Default"/>
        <w:bidi w:val="0"/>
        <w:spacing w:before="0" w:line="240" w:lineRule="auto"/>
        <w:ind w:left="0" w:right="0" w:firstLine="0"/>
        <w:jc w:val="left"/>
        <w:rPr>
          <w:rFonts w:ascii="Times New Roman" w:cs="Times New Roman" w:hAnsi="Times New Roman" w:eastAsia="Times New Roman"/>
          <w:sz w:val="36"/>
          <w:szCs w:val="36"/>
          <w:u w:val="none" w:color="000000"/>
          <w:rtl w:val="0"/>
        </w:rPr>
      </w:pPr>
      <w:r>
        <w:rPr>
          <w:rFonts w:ascii="Times New Roman" w:hAnsi="Times New Roman"/>
          <w:sz w:val="36"/>
          <w:szCs w:val="36"/>
          <w:u w:val="single" w:color="000000"/>
          <w:rtl w:val="0"/>
          <w:lang w:val="en-US"/>
        </w:rPr>
        <w:t>Community engagement principles and standards</w:t>
      </w:r>
    </w:p>
    <w:p>
      <w:pPr>
        <w:pStyle w:val="Default"/>
        <w:bidi w:val="0"/>
        <w:spacing w:before="0" w:line="240" w:lineRule="auto"/>
        <w:ind w:left="0" w:right="0" w:firstLine="0"/>
        <w:jc w:val="left"/>
        <w:rPr>
          <w:rFonts w:ascii="Times New Roman" w:cs="Times New Roman" w:hAnsi="Times New Roman" w:eastAsia="Times New Roman"/>
          <w:sz w:val="36"/>
          <w:szCs w:val="36"/>
          <w:u w:color="000000"/>
          <w:rtl w:val="0"/>
        </w:rPr>
      </w:pPr>
      <w:r>
        <w:rPr>
          <w:rFonts w:ascii="Times New Roman" w:hAnsi="Times New Roman"/>
          <w:sz w:val="36"/>
          <w:szCs w:val="36"/>
          <w:u w:color="000000"/>
          <w:rtl w:val="0"/>
          <w:lang w:val="en-US"/>
        </w:rPr>
        <w:t>There are many principles and standards that are used by Gwen Walford House for providing better support and comment engagement for the people in their care home. This is helpful in creating better quality services and people in optimum manners. Some of the community engagement principles and standards that are used by Gwen Walford House are given below.</w:t>
      </w:r>
    </w:p>
    <w:p>
      <w:pPr>
        <w:pStyle w:val="Default"/>
        <w:bidi w:val="0"/>
        <w:spacing w:before="0" w:line="240" w:lineRule="auto"/>
        <w:ind w:left="0" w:right="0" w:firstLine="0"/>
        <w:jc w:val="both"/>
        <w:rPr>
          <w:rFonts w:ascii="Times New Roman" w:cs="Times New Roman" w:hAnsi="Times New Roman" w:eastAsia="Times New Roman"/>
          <w:sz w:val="36"/>
          <w:szCs w:val="36"/>
          <w:u w:color="000000"/>
          <w:rtl w:val="0"/>
        </w:rPr>
      </w:pPr>
      <w:r>
        <w:rPr>
          <w:rFonts w:ascii="Symbol" w:hAnsi="Symbol" w:hint="default"/>
          <w:sz w:val="24"/>
          <w:szCs w:val="24"/>
          <w:u w:color="000000"/>
          <w:rtl w:val="0"/>
        </w:rPr>
        <w:t xml:space="preserve">· </w:t>
      </w:r>
      <w:r>
        <w:rPr>
          <w:rFonts w:ascii="Times New Roman" w:hAnsi="Times New Roman"/>
          <w:b w:val="1"/>
          <w:bCs w:val="1"/>
          <w:sz w:val="36"/>
          <w:szCs w:val="36"/>
          <w:u w:color="000000"/>
          <w:rtl w:val="0"/>
          <w:lang w:val="en-US"/>
        </w:rPr>
        <w:t>Careful preparation and planning</w:t>
      </w:r>
      <w:r>
        <w:rPr>
          <w:rFonts w:ascii="Times New Roman" w:hAnsi="Times New Roman"/>
          <w:sz w:val="36"/>
          <w:szCs w:val="36"/>
          <w:u w:color="000000"/>
          <w:rtl w:val="0"/>
          <w:lang w:val="en-US"/>
        </w:rPr>
        <w:t>: Prior preparation and planning helps Gwen Walford House to ensure that the needs and requirements of the people are fulfilled in an effective and efficient manner. The preparation and planning is helpful in clarifying the activities and actions required for achieving the community engagement activity.</w:t>
      </w:r>
    </w:p>
    <w:p>
      <w:pPr>
        <w:pStyle w:val="Default"/>
        <w:bidi w:val="0"/>
        <w:spacing w:before="0" w:line="240" w:lineRule="auto"/>
        <w:ind w:left="0" w:right="0" w:firstLine="0"/>
        <w:jc w:val="both"/>
        <w:rPr>
          <w:rFonts w:ascii="Times New Roman" w:cs="Times New Roman" w:hAnsi="Times New Roman" w:eastAsia="Times New Roman"/>
          <w:sz w:val="36"/>
          <w:szCs w:val="36"/>
          <w:u w:color="000000"/>
          <w:rtl w:val="0"/>
        </w:rPr>
      </w:pPr>
      <w:r>
        <w:rPr>
          <w:rFonts w:ascii="Symbol" w:hAnsi="Symbol" w:hint="default"/>
          <w:sz w:val="24"/>
          <w:szCs w:val="24"/>
          <w:u w:color="000000"/>
          <w:rtl w:val="0"/>
        </w:rPr>
        <w:t xml:space="preserve">· </w:t>
      </w:r>
      <w:r>
        <w:rPr>
          <w:rFonts w:ascii="Times New Roman" w:hAnsi="Times New Roman"/>
          <w:b w:val="1"/>
          <w:bCs w:val="1"/>
          <w:sz w:val="36"/>
          <w:szCs w:val="36"/>
          <w:u w:color="000000"/>
          <w:rtl w:val="0"/>
          <w:lang w:val="en-US"/>
        </w:rPr>
        <w:t>Openness and learning</w:t>
      </w:r>
      <w:r>
        <w:rPr>
          <w:rFonts w:ascii="Times New Roman" w:hAnsi="Times New Roman"/>
          <w:sz w:val="36"/>
          <w:szCs w:val="36"/>
          <w:u w:color="000000"/>
          <w:rtl w:val="0"/>
          <w:lang w:val="en-US"/>
        </w:rPr>
        <w:t>: It is helpful in ensuring openness and free flow of thoughts, ideas, etc. among the people. It is helpful in learning new things and enhancing the community engagement activities by sharing interests and knowledge with each other (Fernandez, M., 2018).</w:t>
      </w:r>
    </w:p>
    <w:p>
      <w:pPr>
        <w:pStyle w:val="Default"/>
        <w:bidi w:val="0"/>
        <w:spacing w:before="0" w:line="240" w:lineRule="auto"/>
        <w:ind w:left="0" w:right="0" w:firstLine="0"/>
        <w:jc w:val="both"/>
        <w:rPr>
          <w:rFonts w:ascii="Times New Roman" w:cs="Times New Roman" w:hAnsi="Times New Roman" w:eastAsia="Times New Roman"/>
          <w:sz w:val="36"/>
          <w:szCs w:val="36"/>
          <w:u w:color="000000"/>
          <w:rtl w:val="0"/>
        </w:rPr>
      </w:pPr>
      <w:r>
        <w:rPr>
          <w:rFonts w:ascii="Symbol" w:hAnsi="Symbol" w:hint="default"/>
          <w:sz w:val="24"/>
          <w:szCs w:val="24"/>
          <w:u w:color="000000"/>
          <w:rtl w:val="0"/>
        </w:rPr>
        <w:t xml:space="preserve">· </w:t>
      </w:r>
      <w:r>
        <w:rPr>
          <w:rFonts w:ascii="Times New Roman" w:hAnsi="Times New Roman"/>
          <w:b w:val="1"/>
          <w:bCs w:val="1"/>
          <w:sz w:val="36"/>
          <w:szCs w:val="36"/>
          <w:u w:color="000000"/>
          <w:rtl w:val="0"/>
          <w:lang w:val="en-US"/>
        </w:rPr>
        <w:t>Transparency and trust</w:t>
      </w:r>
      <w:r>
        <w:rPr>
          <w:rFonts w:ascii="Times New Roman" w:hAnsi="Times New Roman"/>
          <w:sz w:val="36"/>
          <w:szCs w:val="36"/>
          <w:u w:color="000000"/>
          <w:rtl w:val="0"/>
          <w:lang w:val="en-US"/>
        </w:rPr>
        <w:t>: There must be honesty, trust, transparency and other ethics for improving community engagement. Gwen Walford House uses transparency and trust for engaging positive community interaction among the people.</w:t>
      </w:r>
      <w:r>
        <w:rPr>
          <w:rFonts w:ascii="Times New Roman" w:hAnsi="Times New Roman" w:hint="default"/>
          <w:sz w:val="36"/>
          <w:szCs w:val="36"/>
          <w:u w:color="000000"/>
          <w:rtl w:val="0"/>
        </w:rPr>
        <w:t> </w:t>
      </w:r>
    </w:p>
    <w:p>
      <w:pPr>
        <w:pStyle w:val="Default"/>
        <w:bidi w:val="0"/>
        <w:spacing w:before="0" w:line="240" w:lineRule="auto"/>
        <w:ind w:left="0" w:right="0" w:firstLine="0"/>
        <w:jc w:val="both"/>
        <w:rPr>
          <w:rFonts w:ascii="Times New Roman" w:cs="Times New Roman" w:hAnsi="Times New Roman" w:eastAsia="Times New Roman"/>
          <w:sz w:val="36"/>
          <w:szCs w:val="36"/>
          <w:u w:color="000000"/>
          <w:rtl w:val="0"/>
        </w:rPr>
      </w:pPr>
      <w:r>
        <w:rPr>
          <w:rFonts w:ascii="Symbol" w:hAnsi="Symbol" w:hint="default"/>
          <w:sz w:val="24"/>
          <w:szCs w:val="24"/>
          <w:u w:color="000000"/>
          <w:rtl w:val="0"/>
        </w:rPr>
        <w:t xml:space="preserve">· </w:t>
      </w:r>
      <w:r>
        <w:rPr>
          <w:rFonts w:ascii="Times New Roman" w:hAnsi="Times New Roman"/>
          <w:b w:val="1"/>
          <w:bCs w:val="1"/>
          <w:sz w:val="36"/>
          <w:szCs w:val="36"/>
          <w:u w:color="000000"/>
          <w:rtl w:val="0"/>
          <w:lang w:val="en-US"/>
        </w:rPr>
        <w:t>Collaboration and shared purpose</w:t>
      </w:r>
      <w:r>
        <w:rPr>
          <w:rFonts w:ascii="Times New Roman" w:hAnsi="Times New Roman"/>
          <w:sz w:val="36"/>
          <w:szCs w:val="36"/>
          <w:u w:color="000000"/>
          <w:rtl w:val="0"/>
          <w:lang w:val="en-US"/>
        </w:rPr>
        <w:t>: Without the collaboration and shared purpose it is near to impossible to develop community engagement among the people. Therefore, it is necessary that people should have a considerable amount of collaboration and shared values for improving community engagement activities.</w:t>
      </w:r>
      <w:r>
        <w:rPr>
          <w:rFonts w:ascii="Times New Roman" w:hAnsi="Times New Roman" w:hint="default"/>
          <w:sz w:val="36"/>
          <w:szCs w:val="36"/>
          <w:u w:color="000000"/>
          <w:rtl w:val="0"/>
        </w:rPr>
        <w:t> </w:t>
      </w:r>
    </w:p>
    <w:p>
      <w:pPr>
        <w:pStyle w:val="Default"/>
        <w:bidi w:val="0"/>
        <w:spacing w:before="0" w:line="240" w:lineRule="auto"/>
        <w:ind w:left="0" w:right="0" w:firstLine="0"/>
        <w:jc w:val="both"/>
        <w:rPr>
          <w:rFonts w:ascii="Times New Roman" w:cs="Times New Roman" w:hAnsi="Times New Roman" w:eastAsia="Times New Roman"/>
          <w:sz w:val="36"/>
          <w:szCs w:val="36"/>
          <w:u w:color="000000"/>
          <w:rtl w:val="0"/>
        </w:rPr>
      </w:pPr>
      <w:r>
        <w:rPr>
          <w:rFonts w:ascii="Symbol" w:hAnsi="Symbol" w:hint="default"/>
          <w:sz w:val="24"/>
          <w:szCs w:val="24"/>
          <w:u w:color="000000"/>
          <w:rtl w:val="0"/>
        </w:rPr>
        <w:t xml:space="preserve">· </w:t>
      </w:r>
      <w:r>
        <w:rPr>
          <w:rFonts w:ascii="Times New Roman" w:hAnsi="Times New Roman"/>
          <w:b w:val="1"/>
          <w:bCs w:val="1"/>
          <w:sz w:val="36"/>
          <w:szCs w:val="36"/>
          <w:u w:color="000000"/>
          <w:rtl w:val="0"/>
          <w:lang w:val="en-US"/>
        </w:rPr>
        <w:t>Complying with Government laws and legislation</w:t>
      </w:r>
      <w:r>
        <w:rPr>
          <w:rFonts w:ascii="Times New Roman" w:hAnsi="Times New Roman"/>
          <w:sz w:val="36"/>
          <w:szCs w:val="36"/>
          <w:u w:color="000000"/>
          <w:rtl w:val="0"/>
          <w:lang w:val="en-US"/>
        </w:rPr>
        <w:t>: Without proper rules and regulations people cannot develop community engagement (Gray and et.al., 2021). Gwen Walford House continuously monitors and seeks advice from the UK Government agencies for ensuring safe and secure community engagement activities for the people.</w:t>
      </w:r>
    </w:p>
    <w:p>
      <w:pPr>
        <w:pStyle w:val="Default"/>
        <w:bidi w:val="0"/>
        <w:spacing w:before="0" w:line="240" w:lineRule="auto"/>
        <w:ind w:left="0" w:right="0" w:firstLine="0"/>
        <w:jc w:val="both"/>
        <w:rPr>
          <w:rFonts w:ascii="Times New Roman" w:cs="Times New Roman" w:hAnsi="Times New Roman" w:eastAsia="Times New Roman"/>
          <w:sz w:val="36"/>
          <w:szCs w:val="36"/>
          <w:u w:color="000000"/>
          <w:rtl w:val="0"/>
        </w:rPr>
      </w:pPr>
      <w:r>
        <w:rPr>
          <w:rFonts w:ascii="Times New Roman" w:hAnsi="Times New Roman" w:hint="default"/>
          <w:sz w:val="36"/>
          <w:szCs w:val="36"/>
          <w:u w:color="000000"/>
          <w:rtl w:val="0"/>
        </w:rPr>
        <w:t> </w:t>
      </w:r>
    </w:p>
    <w:p>
      <w:pPr>
        <w:pStyle w:val="Default"/>
        <w:bidi w:val="0"/>
        <w:spacing w:before="0" w:line="240" w:lineRule="auto"/>
        <w:ind w:left="0" w:right="0" w:firstLine="0"/>
        <w:jc w:val="left"/>
        <w:rPr>
          <w:rFonts w:ascii="Times New Roman" w:cs="Times New Roman" w:hAnsi="Times New Roman" w:eastAsia="Times New Roman"/>
          <w:sz w:val="36"/>
          <w:szCs w:val="36"/>
          <w:u w:val="none" w:color="000000"/>
          <w:rtl w:val="0"/>
        </w:rPr>
      </w:pPr>
      <w:r>
        <w:rPr>
          <w:rFonts w:ascii="Times New Roman" w:hAnsi="Times New Roman"/>
          <w:sz w:val="36"/>
          <w:szCs w:val="36"/>
          <w:u w:val="single" w:color="000000"/>
          <w:rtl w:val="0"/>
          <w:lang w:val="en-US"/>
        </w:rPr>
        <w:t>Benefits of stakeholders</w:t>
      </w:r>
      <w:r>
        <w:rPr>
          <w:rFonts w:ascii="Times New Roman" w:hAnsi="Times New Roman" w:hint="default"/>
          <w:sz w:val="36"/>
          <w:szCs w:val="36"/>
          <w:u w:val="single" w:color="000000"/>
          <w:rtl w:val="1"/>
        </w:rPr>
        <w:t xml:space="preserve">’ </w:t>
      </w:r>
      <w:r>
        <w:rPr>
          <w:rFonts w:ascii="Times New Roman" w:hAnsi="Times New Roman"/>
          <w:sz w:val="36"/>
          <w:szCs w:val="36"/>
          <w:u w:val="single" w:color="000000"/>
          <w:rtl w:val="0"/>
          <w:lang w:val="fr-FR"/>
        </w:rPr>
        <w:t>participation</w:t>
      </w:r>
    </w:p>
    <w:p>
      <w:pPr>
        <w:pStyle w:val="Default"/>
        <w:bidi w:val="0"/>
        <w:spacing w:before="0" w:line="240" w:lineRule="auto"/>
        <w:ind w:left="0" w:right="0" w:firstLine="0"/>
        <w:jc w:val="left"/>
        <w:rPr>
          <w:rFonts w:ascii="Times New Roman" w:cs="Times New Roman" w:hAnsi="Times New Roman" w:eastAsia="Times New Roman"/>
          <w:sz w:val="36"/>
          <w:szCs w:val="36"/>
          <w:u w:color="000000"/>
          <w:rtl w:val="0"/>
        </w:rPr>
      </w:pPr>
      <w:r>
        <w:rPr>
          <w:rFonts w:ascii="Times New Roman" w:hAnsi="Times New Roman"/>
          <w:sz w:val="36"/>
          <w:szCs w:val="36"/>
          <w:u w:color="000000"/>
          <w:rtl w:val="0"/>
          <w:lang w:val="en-US"/>
        </w:rPr>
        <w:t>Stakeholders such as the people, community, society, groups and individuals from different backgrounds, cultures, traditions etc. provides various advantages for improving community engagement.</w:t>
      </w:r>
    </w:p>
    <w:p>
      <w:pPr>
        <w:pStyle w:val="Default"/>
        <w:bidi w:val="0"/>
        <w:spacing w:before="0" w:line="240" w:lineRule="auto"/>
        <w:ind w:left="0" w:right="0" w:firstLine="0"/>
        <w:jc w:val="both"/>
        <w:rPr>
          <w:rFonts w:ascii="Times New Roman" w:cs="Times New Roman" w:hAnsi="Times New Roman" w:eastAsia="Times New Roman"/>
          <w:sz w:val="36"/>
          <w:szCs w:val="36"/>
          <w:u w:color="000000"/>
          <w:rtl w:val="0"/>
        </w:rPr>
      </w:pPr>
      <w:r>
        <w:rPr>
          <w:rFonts w:ascii="Symbol" w:hAnsi="Symbol" w:hint="default"/>
          <w:sz w:val="24"/>
          <w:szCs w:val="24"/>
          <w:u w:color="000000"/>
          <w:rtl w:val="0"/>
        </w:rPr>
        <w:t xml:space="preserve">· </w:t>
      </w:r>
      <w:r>
        <w:rPr>
          <w:rFonts w:ascii="Times New Roman" w:hAnsi="Times New Roman"/>
          <w:b w:val="1"/>
          <w:bCs w:val="1"/>
          <w:sz w:val="36"/>
          <w:szCs w:val="36"/>
          <w:u w:color="000000"/>
          <w:rtl w:val="0"/>
          <w:lang w:val="en-US"/>
        </w:rPr>
        <w:t>New learnings and knowledge</w:t>
      </w:r>
      <w:r>
        <w:rPr>
          <w:rFonts w:ascii="Times New Roman" w:hAnsi="Times New Roman"/>
          <w:sz w:val="36"/>
          <w:szCs w:val="36"/>
          <w:u w:color="000000"/>
          <w:rtl w:val="0"/>
          <w:lang w:val="en-US"/>
        </w:rPr>
        <w:t xml:space="preserve"> can be gained from the people from different backgrounds, cultures and traditions. Gwen Walford House maximises interactions with their stakeholders so that better interaction among the people can occur.</w:t>
      </w:r>
      <w:r>
        <w:rPr>
          <w:rFonts w:ascii="Times New Roman" w:hAnsi="Times New Roman" w:hint="default"/>
          <w:sz w:val="36"/>
          <w:szCs w:val="36"/>
          <w:u w:color="000000"/>
          <w:rtl w:val="0"/>
        </w:rPr>
        <w:t> </w:t>
      </w:r>
    </w:p>
    <w:p>
      <w:pPr>
        <w:pStyle w:val="Default"/>
        <w:bidi w:val="0"/>
        <w:spacing w:before="0" w:line="240" w:lineRule="auto"/>
        <w:ind w:left="0" w:right="0" w:firstLine="0"/>
        <w:jc w:val="both"/>
        <w:rPr>
          <w:rFonts w:ascii="Times New Roman" w:cs="Times New Roman" w:hAnsi="Times New Roman" w:eastAsia="Times New Roman"/>
          <w:sz w:val="36"/>
          <w:szCs w:val="36"/>
          <w:u w:color="000000"/>
          <w:rtl w:val="0"/>
        </w:rPr>
      </w:pPr>
      <w:r>
        <w:rPr>
          <w:rFonts w:ascii="Symbol" w:hAnsi="Symbol" w:hint="default"/>
          <w:sz w:val="24"/>
          <w:szCs w:val="24"/>
          <w:u w:color="000000"/>
          <w:rtl w:val="0"/>
        </w:rPr>
        <w:t xml:space="preserve">· </w:t>
      </w:r>
      <w:r>
        <w:rPr>
          <w:rFonts w:ascii="Times New Roman" w:hAnsi="Times New Roman"/>
          <w:b w:val="1"/>
          <w:bCs w:val="1"/>
          <w:sz w:val="36"/>
          <w:szCs w:val="36"/>
          <w:u w:color="000000"/>
          <w:rtl w:val="0"/>
          <w:lang w:val="fr-FR"/>
        </w:rPr>
        <w:t>Interaction</w:t>
      </w:r>
      <w:r>
        <w:rPr>
          <w:rFonts w:ascii="Times New Roman" w:hAnsi="Times New Roman"/>
          <w:sz w:val="36"/>
          <w:szCs w:val="36"/>
          <w:u w:color="000000"/>
          <w:rtl w:val="0"/>
          <w:lang w:val="en-US"/>
        </w:rPr>
        <w:t xml:space="preserve"> among the people can be enhanced by indulging the stakeholders for community engagement programs (Johnston, K. A. and Lane, A. B., 2019). Gwen Walford House has developed positive interaction activities for the people to enhance inter cultural mix.</w:t>
      </w:r>
    </w:p>
    <w:p>
      <w:pPr>
        <w:pStyle w:val="Default"/>
        <w:bidi w:val="0"/>
        <w:spacing w:before="0" w:line="240" w:lineRule="auto"/>
        <w:ind w:left="0" w:right="0" w:firstLine="0"/>
        <w:jc w:val="both"/>
        <w:rPr>
          <w:rFonts w:ascii="Times New Roman" w:cs="Times New Roman" w:hAnsi="Times New Roman" w:eastAsia="Times New Roman"/>
          <w:sz w:val="36"/>
          <w:szCs w:val="36"/>
          <w:u w:color="000000"/>
          <w:rtl w:val="0"/>
        </w:rPr>
      </w:pPr>
      <w:r>
        <w:rPr>
          <w:rFonts w:ascii="Symbol" w:hAnsi="Symbol" w:hint="default"/>
          <w:sz w:val="24"/>
          <w:szCs w:val="24"/>
          <w:u w:color="000000"/>
          <w:rtl w:val="0"/>
        </w:rPr>
        <w:t xml:space="preserve">· </w:t>
      </w:r>
      <w:r>
        <w:rPr>
          <w:rFonts w:ascii="Times New Roman" w:hAnsi="Times New Roman"/>
          <w:b w:val="1"/>
          <w:bCs w:val="1"/>
          <w:sz w:val="36"/>
          <w:szCs w:val="36"/>
          <w:u w:color="000000"/>
          <w:rtl w:val="0"/>
          <w:lang w:val="fr-FR"/>
        </w:rPr>
        <w:t>Collaboration</w:t>
      </w:r>
      <w:r>
        <w:rPr>
          <w:rFonts w:ascii="Times New Roman" w:hAnsi="Times New Roman"/>
          <w:sz w:val="36"/>
          <w:szCs w:val="36"/>
          <w:u w:color="000000"/>
          <w:rtl w:val="0"/>
          <w:lang w:val="en-US"/>
        </w:rPr>
        <w:t xml:space="preserve"> with the stakeholders increases that helps to improve community engagement by developing loyalty, trust and understanding among the people. This is helpful in eliminating the negative and bringing closeness, positivity, peace and harmony among different communities.</w:t>
      </w:r>
    </w:p>
    <w:p>
      <w:pPr>
        <w:pStyle w:val="Default"/>
        <w:bidi w:val="0"/>
        <w:spacing w:before="0" w:line="240" w:lineRule="auto"/>
        <w:ind w:left="0" w:right="0" w:firstLine="0"/>
        <w:jc w:val="both"/>
        <w:rPr>
          <w:rFonts w:ascii="Times New Roman" w:cs="Times New Roman" w:hAnsi="Times New Roman" w:eastAsia="Times New Roman"/>
          <w:sz w:val="36"/>
          <w:szCs w:val="36"/>
          <w:u w:color="000000"/>
          <w:rtl w:val="0"/>
        </w:rPr>
      </w:pPr>
      <w:r>
        <w:rPr>
          <w:rFonts w:ascii="Symbol" w:hAnsi="Symbol" w:hint="default"/>
          <w:sz w:val="24"/>
          <w:szCs w:val="24"/>
          <w:u w:color="000000"/>
          <w:rtl w:val="0"/>
        </w:rPr>
        <w:t xml:space="preserve">· </w:t>
      </w:r>
      <w:r>
        <w:rPr>
          <w:rFonts w:ascii="Times New Roman" w:hAnsi="Times New Roman"/>
          <w:b w:val="1"/>
          <w:bCs w:val="1"/>
          <w:sz w:val="36"/>
          <w:szCs w:val="36"/>
          <w:u w:color="000000"/>
          <w:rtl w:val="0"/>
          <w:lang w:val="it-IT"/>
        </w:rPr>
        <w:t>Eliminate risks</w:t>
      </w:r>
      <w:r>
        <w:rPr>
          <w:rFonts w:ascii="Times New Roman" w:hAnsi="Times New Roman"/>
          <w:sz w:val="36"/>
          <w:szCs w:val="36"/>
          <w:u w:color="000000"/>
          <w:rtl w:val="0"/>
          <w:lang w:val="en-US"/>
        </w:rPr>
        <w:t>: Participation of stakeholders is also important for eliminating risks and navigating the thoughts and behaviour elder people who are connected with the Gwen Walford House. Stakeholders provide better solutions and understanding about the negative problems for eliminating them and bringing peace and harmony within each other for improving community engagement and growth.</w:t>
      </w:r>
    </w:p>
    <w:p>
      <w:pPr>
        <w:pStyle w:val="Default"/>
        <w:bidi w:val="0"/>
        <w:spacing w:before="0" w:line="240" w:lineRule="auto"/>
        <w:ind w:left="0" w:right="0" w:firstLine="0"/>
        <w:jc w:val="both"/>
        <w:rPr>
          <w:rFonts w:ascii="Times New Roman" w:cs="Times New Roman" w:hAnsi="Times New Roman" w:eastAsia="Times New Roman"/>
          <w:sz w:val="36"/>
          <w:szCs w:val="36"/>
          <w:u w:color="000000"/>
          <w:rtl w:val="0"/>
        </w:rPr>
      </w:pPr>
      <w:r>
        <w:rPr>
          <w:rFonts w:ascii="Times New Roman" w:hAnsi="Times New Roman" w:hint="default"/>
          <w:sz w:val="36"/>
          <w:szCs w:val="36"/>
          <w:u w:color="000000"/>
          <w:rtl w:val="0"/>
        </w:rPr>
        <w:t> </w:t>
      </w:r>
    </w:p>
    <w:p>
      <w:pPr>
        <w:pStyle w:val="Default"/>
        <w:bidi w:val="0"/>
        <w:spacing w:before="0" w:line="240" w:lineRule="auto"/>
        <w:ind w:left="0" w:right="0" w:firstLine="0"/>
        <w:jc w:val="left"/>
        <w:rPr>
          <w:rFonts w:ascii="Times New Roman" w:cs="Times New Roman" w:hAnsi="Times New Roman" w:eastAsia="Times New Roman"/>
          <w:sz w:val="36"/>
          <w:szCs w:val="36"/>
          <w:u w:val="none" w:color="000000"/>
          <w:rtl w:val="0"/>
        </w:rPr>
      </w:pPr>
      <w:r>
        <w:rPr>
          <w:rFonts w:ascii="Times New Roman" w:hAnsi="Times New Roman"/>
          <w:sz w:val="36"/>
          <w:szCs w:val="36"/>
          <w:u w:val="single" w:color="000000"/>
          <w:rtl w:val="0"/>
          <w:lang w:val="en-US"/>
        </w:rPr>
        <w:t>The use of social media for community engagement</w:t>
      </w:r>
    </w:p>
    <w:p>
      <w:pPr>
        <w:pStyle w:val="Default"/>
        <w:bidi w:val="0"/>
        <w:spacing w:before="0" w:line="240" w:lineRule="auto"/>
        <w:ind w:left="0" w:right="0" w:firstLine="0"/>
        <w:jc w:val="left"/>
        <w:rPr>
          <w:rFonts w:ascii="Times New Roman" w:cs="Times New Roman" w:hAnsi="Times New Roman" w:eastAsia="Times New Roman"/>
          <w:sz w:val="36"/>
          <w:szCs w:val="36"/>
          <w:u w:color="000000"/>
          <w:rtl w:val="0"/>
        </w:rPr>
      </w:pPr>
      <w:r>
        <w:rPr>
          <w:rFonts w:ascii="Times New Roman" w:hAnsi="Times New Roman"/>
          <w:sz w:val="36"/>
          <w:szCs w:val="36"/>
          <w:u w:color="000000"/>
          <w:rtl w:val="0"/>
          <w:lang w:val="en-US"/>
        </w:rPr>
        <w:t>In the current era of technology has not the use of social media resulting in higher level of engagement of the people by connecting diversity of societies, groups, traditions from various places. Social media has provided higher engagement activities among the people due to the higher level of innovation and attractiveness of people towards social media (Osborne and et.al., 2021). Social media has provided opportunities for improving community engagement by connecting people from across the world. Social media has provided various technological tools such as Instagram, Twitter, Facebook, YouTube etc. that has diversified the exchange of traditions, beliefs, values, cultures etc. throughout the world. With the help of social media people can share their views, ideas, traditions and culture with each other and understand the behaviour and attitude of each other. This has enhanced the community interaction by spreading awareness among the people. With the help of social media, Gwen Walford House has created awareness among the citizens for enhancing the welfare activities within the society and developing community interaction for improving the positive relationships among people. Social media is also helpful in improving the engagement of stakeholders, people and groups by spreading awareness, knowledge and understanding of the elder age group.</w:t>
      </w:r>
    </w:p>
    <w:p>
      <w:pPr>
        <w:pStyle w:val="Default"/>
        <w:bidi w:val="0"/>
        <w:spacing w:before="0" w:line="240" w:lineRule="auto"/>
        <w:ind w:left="0" w:right="0" w:firstLine="0"/>
        <w:jc w:val="left"/>
        <w:rPr>
          <w:rFonts w:ascii="Times New Roman" w:cs="Times New Roman" w:hAnsi="Times New Roman" w:eastAsia="Times New Roman"/>
          <w:sz w:val="36"/>
          <w:szCs w:val="36"/>
          <w:u w:color="000000"/>
          <w:rtl w:val="0"/>
        </w:rPr>
      </w:pPr>
      <w:r>
        <w:rPr>
          <w:rFonts w:ascii="Times New Roman" w:hAnsi="Times New Roman"/>
          <w:sz w:val="36"/>
          <w:szCs w:val="36"/>
          <w:u w:color="000000"/>
          <w:rtl w:val="0"/>
          <w:lang w:val="en-US"/>
        </w:rPr>
        <w:t>With the help of social media, Gwen Walford House tries to raise charity, by spreading awareness of their program and creating better channels for serving the people in need. It has also helped to educate the people so they can be made aware about the prevailing conditions of the society for improving the community engagement. Gwen Walford House develops creative posts and innovative contents on YouTube and other social media platforms for interacting with a larger number of communities and resolving their problems. Social media can connect people from throughout the world for increasing the engagement among the people and enhancing the overall psychological health of the patients effectively and efficiently (Pierce, S., Blanton, J. and Gould, D., 2018)/ With the help of social media Gwen Walford House has tried to update people about their services on a regular basis so that they can interact with a maximum number of people for helping them out.</w:t>
      </w:r>
    </w:p>
    <w:p>
      <w:pPr>
        <w:pStyle w:val="Default"/>
        <w:bidi w:val="0"/>
        <w:spacing w:before="0" w:line="240" w:lineRule="auto"/>
        <w:ind w:left="0" w:right="0" w:firstLine="0"/>
        <w:jc w:val="left"/>
        <w:rPr>
          <w:rFonts w:ascii="Times New Roman" w:cs="Times New Roman" w:hAnsi="Times New Roman" w:eastAsia="Times New Roman"/>
          <w:sz w:val="36"/>
          <w:szCs w:val="36"/>
          <w:u w:color="000000"/>
          <w:rtl w:val="0"/>
        </w:rPr>
      </w:pPr>
      <w:r>
        <w:rPr>
          <w:rFonts w:ascii="Times New Roman" w:hAnsi="Times New Roman"/>
          <w:sz w:val="36"/>
          <w:szCs w:val="36"/>
          <w:u w:color="000000"/>
          <w:rtl w:val="0"/>
          <w:lang w:val="en-US"/>
        </w:rPr>
        <w:t>Gwen Walford House has used various social media methods and techniques for introducing many campaigns that have improved the digital understanding of the people within their community for improving their interaction. Social media interaction is a very crucial initiative that was taken by Gwen Walford House for providing assistance to the people during the COVID-19 pandemic. With the help of social media the health care services were provided to the people by directly interacting with them through social media platforms and collecting their health vitals. Social media has improved the communication activities among the people within the society at the time when people were not allowed to meet with each other. The contribution of social media is a very positive aspect for improving the overall community interaction and engaging people for existing together in a positive world environment. With the help of social media the creative steps can be taken for improving the cross-cultural connectivity among the people and improving their existence within the society (Renwick and et.al., 2020). It is very important for engaging a large number of people from various locations by sharing their ideas, values, traditions, cultures etc. with each other. With the help of social media money volunteers have taken part in the community engagement activities and have supported the organisation for improving its work. With the help of voluntary engagement of people it was possible to provide better services to the clients and bring a better environment for their existence within the community.</w:t>
      </w:r>
    </w:p>
    <w:p>
      <w:pPr>
        <w:pStyle w:val="Default"/>
        <w:bidi w:val="0"/>
        <w:spacing w:before="0" w:line="240" w:lineRule="auto"/>
        <w:ind w:left="0" w:right="0" w:firstLine="0"/>
        <w:jc w:val="both"/>
        <w:rPr>
          <w:rFonts w:ascii="Times New Roman" w:cs="Times New Roman" w:hAnsi="Times New Roman" w:eastAsia="Times New Roman"/>
          <w:sz w:val="36"/>
          <w:szCs w:val="36"/>
          <w:u w:color="000000"/>
          <w:rtl w:val="0"/>
        </w:rPr>
      </w:pPr>
      <w:r>
        <w:rPr>
          <w:rFonts w:ascii="Symbol" w:hAnsi="Symbol" w:hint="default"/>
          <w:sz w:val="24"/>
          <w:szCs w:val="24"/>
          <w:u w:color="000000"/>
          <w:rtl w:val="0"/>
        </w:rPr>
        <w:t xml:space="preserve">· </w:t>
      </w:r>
      <w:r>
        <w:rPr>
          <w:rFonts w:ascii="Times New Roman" w:hAnsi="Times New Roman"/>
          <w:b w:val="1"/>
          <w:bCs w:val="1"/>
          <w:sz w:val="36"/>
          <w:szCs w:val="36"/>
          <w:u w:color="000000"/>
          <w:rtl w:val="0"/>
          <w:lang w:val="en-US"/>
        </w:rPr>
        <w:t>Community participations</w:t>
      </w:r>
      <w:r>
        <w:rPr>
          <w:rFonts w:ascii="Times New Roman" w:hAnsi="Times New Roman"/>
          <w:sz w:val="36"/>
          <w:szCs w:val="36"/>
          <w:u w:color="000000"/>
          <w:rtl w:val="0"/>
          <w:lang w:val="en-US"/>
        </w:rPr>
        <w:t>: Gwen Walford House has improved community participation by social media in a very positive manner with high effectiveness and efficiency. In today's era the people are feeling more disconnected, stressed and highly interfered by the reckless or immoral behaviour of their loved ones, community and society. This problem is very common throughout the world and has caused a lot of dissatisfaction, stress, and other common symptoms among the people within their community. Gwen Walford House has developed many effective ways for providing them residence and healthy lifestyle through community engagement. They utilize various tools and techniques for enhancing the participation of people and improving interaction between them. Social media has helped to provide better participation of the community and has improved communication among the people for improving their engagement.</w:t>
      </w:r>
    </w:p>
    <w:p>
      <w:pPr>
        <w:pStyle w:val="Default"/>
        <w:bidi w:val="0"/>
        <w:spacing w:before="0" w:line="240" w:lineRule="auto"/>
        <w:ind w:left="0" w:right="0" w:firstLine="0"/>
        <w:jc w:val="both"/>
        <w:rPr>
          <w:rFonts w:ascii="Times New Roman" w:cs="Times New Roman" w:hAnsi="Times New Roman" w:eastAsia="Times New Roman"/>
          <w:sz w:val="36"/>
          <w:szCs w:val="36"/>
          <w:u w:color="000000"/>
          <w:rtl w:val="0"/>
        </w:rPr>
      </w:pPr>
      <w:r>
        <w:rPr>
          <w:rFonts w:ascii="Symbol" w:hAnsi="Symbol" w:hint="default"/>
          <w:sz w:val="24"/>
          <w:szCs w:val="24"/>
          <w:u w:color="000000"/>
          <w:rtl w:val="0"/>
        </w:rPr>
        <w:t xml:space="preserve">· </w:t>
      </w:r>
      <w:r>
        <w:rPr>
          <w:rFonts w:ascii="Times New Roman" w:hAnsi="Times New Roman"/>
          <w:b w:val="1"/>
          <w:bCs w:val="1"/>
          <w:sz w:val="36"/>
          <w:szCs w:val="36"/>
          <w:u w:color="000000"/>
          <w:rtl w:val="0"/>
          <w:lang w:val="fr-FR"/>
        </w:rPr>
        <w:t>Collaboration</w:t>
      </w:r>
      <w:r>
        <w:rPr>
          <w:rFonts w:ascii="Times New Roman" w:hAnsi="Times New Roman"/>
          <w:sz w:val="36"/>
          <w:szCs w:val="36"/>
          <w:u w:color="000000"/>
          <w:rtl w:val="0"/>
          <w:lang w:val="en-US"/>
        </w:rPr>
        <w:t>: It is among the most important factors for improving the community engagement program by Gwen Walford House. Collaboration has a very important role and improving community engagement and creating valuable judgement by increasing coordination among the people (Satiz</w:t>
      </w:r>
      <w:r>
        <w:rPr>
          <w:rFonts w:ascii="Times New Roman" w:hAnsi="Times New Roman" w:hint="default"/>
          <w:sz w:val="36"/>
          <w:szCs w:val="36"/>
          <w:u w:color="000000"/>
          <w:rtl w:val="0"/>
        </w:rPr>
        <w:t>á</w:t>
      </w:r>
      <w:r>
        <w:rPr>
          <w:rFonts w:ascii="Times New Roman" w:hAnsi="Times New Roman"/>
          <w:sz w:val="36"/>
          <w:szCs w:val="36"/>
          <w:u w:color="000000"/>
          <w:rtl w:val="0"/>
          <w:lang w:val="en-US"/>
        </w:rPr>
        <w:t>bal and et.al., 2022). When people tend to work on a single objective the level of collaboration increases and it affects their unity to a greater extent. Gwen Walford House should work towards improving the coordination among the people by initiating common motives among the people.</w:t>
      </w:r>
    </w:p>
    <w:p>
      <w:pPr>
        <w:pStyle w:val="Default"/>
        <w:bidi w:val="0"/>
        <w:spacing w:before="0" w:line="240" w:lineRule="auto"/>
        <w:ind w:left="0" w:right="0" w:firstLine="0"/>
        <w:jc w:val="both"/>
        <w:rPr>
          <w:rFonts w:ascii="Times New Roman" w:cs="Times New Roman" w:hAnsi="Times New Roman" w:eastAsia="Times New Roman"/>
          <w:sz w:val="36"/>
          <w:szCs w:val="36"/>
          <w:u w:color="000000"/>
          <w:rtl w:val="0"/>
        </w:rPr>
      </w:pPr>
      <w:r>
        <w:rPr>
          <w:rFonts w:ascii="Symbol" w:hAnsi="Symbol" w:hint="default"/>
          <w:sz w:val="24"/>
          <w:szCs w:val="24"/>
          <w:u w:color="000000"/>
          <w:rtl w:val="0"/>
        </w:rPr>
        <w:t xml:space="preserve">· </w:t>
      </w:r>
      <w:r>
        <w:rPr>
          <w:rFonts w:ascii="Times New Roman" w:hAnsi="Times New Roman"/>
          <w:b w:val="1"/>
          <w:bCs w:val="1"/>
          <w:sz w:val="36"/>
          <w:szCs w:val="36"/>
          <w:u w:color="000000"/>
          <w:rtl w:val="0"/>
          <w:lang w:val="it-IT"/>
        </w:rPr>
        <w:t>Social-Cultural integration</w:t>
      </w:r>
      <w:r>
        <w:rPr>
          <w:rFonts w:ascii="Times New Roman" w:hAnsi="Times New Roman"/>
          <w:sz w:val="36"/>
          <w:szCs w:val="36"/>
          <w:u w:color="000000"/>
          <w:rtl w:val="0"/>
          <w:lang w:val="en-US"/>
        </w:rPr>
        <w:t>: Gwen Walford House is an organisation that is focused towards community welfare and it is very important that they keep updated with the social and cultural integration activities. Organisation masters work in the interest of the communities and societies for improving socio-cultural integration. The happiness of society, affects the ability of an organisation to achieve its goals and objectives effectively and efficiently. Social media is a great platform for regulating depositive culture and knowledgeable socio-cultural integration where everyone supports each other. They need to increase social cultural integration for developing community engagement where people can interchange their ideas, beliefs and values with each other.</w:t>
      </w:r>
    </w:p>
    <w:p>
      <w:pPr>
        <w:pStyle w:val="Default"/>
        <w:bidi w:val="0"/>
        <w:spacing w:before="0" w:line="240" w:lineRule="auto"/>
        <w:ind w:left="0" w:right="0" w:firstLine="0"/>
        <w:jc w:val="both"/>
        <w:rPr>
          <w:rFonts w:ascii="Times New Roman" w:cs="Times New Roman" w:hAnsi="Times New Roman" w:eastAsia="Times New Roman"/>
          <w:sz w:val="36"/>
          <w:szCs w:val="36"/>
          <w:u w:color="000000"/>
          <w:rtl w:val="0"/>
        </w:rPr>
      </w:pPr>
      <w:r>
        <w:rPr>
          <w:rFonts w:ascii="Symbol" w:hAnsi="Symbol" w:hint="default"/>
          <w:sz w:val="24"/>
          <w:szCs w:val="24"/>
          <w:u w:color="000000"/>
          <w:rtl w:val="0"/>
        </w:rPr>
        <w:t xml:space="preserve">· </w:t>
      </w:r>
      <w:r>
        <w:rPr>
          <w:rFonts w:ascii="Times New Roman" w:hAnsi="Times New Roman"/>
          <w:b w:val="1"/>
          <w:bCs w:val="1"/>
          <w:sz w:val="36"/>
          <w:szCs w:val="36"/>
          <w:u w:color="000000"/>
          <w:rtl w:val="0"/>
          <w:lang w:val="en-US"/>
        </w:rPr>
        <w:t>Inter-cultural mix or multiculturalism</w:t>
      </w:r>
      <w:r>
        <w:rPr>
          <w:rFonts w:ascii="Times New Roman" w:hAnsi="Times New Roman"/>
          <w:sz w:val="36"/>
          <w:szCs w:val="36"/>
          <w:u w:color="000000"/>
          <w:rtl w:val="0"/>
          <w:lang w:val="en-US"/>
        </w:rPr>
        <w:t>: The concept of inter-cultural mix and multiculturalism can be explained as the engagement of people with multi-cultural society by developing unity and collaboration with each other (Schiavo, R., 2020). Gwen Walford House followers multiculturalism for maintaining a positive intercultural mix for improving the health of the people in their care homes and care Shelters by eliminating discrimination and supporting the needs of individual as per their requirement. With the help of social media the care house tries to create better interconnectivity between various people from diverse cultures that is helpful in improving the positive interaction among the people and improving living conditions.</w:t>
      </w:r>
    </w:p>
    <w:p>
      <w:pPr>
        <w:pStyle w:val="Default"/>
        <w:bidi w:val="0"/>
        <w:spacing w:before="0" w:line="240" w:lineRule="auto"/>
        <w:ind w:left="0" w:right="0" w:firstLine="0"/>
        <w:jc w:val="both"/>
        <w:rPr>
          <w:rFonts w:ascii="Times New Roman" w:cs="Times New Roman" w:hAnsi="Times New Roman" w:eastAsia="Times New Roman"/>
          <w:sz w:val="36"/>
          <w:szCs w:val="36"/>
          <w:u w:color="000000"/>
          <w:rtl w:val="0"/>
        </w:rPr>
      </w:pPr>
      <w:r>
        <w:rPr>
          <w:rFonts w:ascii="Times New Roman" w:hAnsi="Times New Roman" w:hint="default"/>
          <w:sz w:val="36"/>
          <w:szCs w:val="36"/>
          <w:u w:color="000000"/>
          <w:rtl w:val="0"/>
        </w:rPr>
        <w:t> </w:t>
      </w:r>
    </w:p>
    <w:p>
      <w:pPr>
        <w:pStyle w:val="Default"/>
        <w:bidi w:val="0"/>
        <w:spacing w:before="0" w:line="240" w:lineRule="auto"/>
        <w:ind w:left="0" w:right="0" w:firstLine="0"/>
        <w:jc w:val="left"/>
        <w:rPr>
          <w:rFonts w:ascii="Times New Roman" w:cs="Times New Roman" w:hAnsi="Times New Roman" w:eastAsia="Times New Roman"/>
          <w:sz w:val="36"/>
          <w:szCs w:val="36"/>
          <w:u w:val="none" w:color="000000"/>
          <w:rtl w:val="0"/>
        </w:rPr>
      </w:pPr>
      <w:r>
        <w:rPr>
          <w:rFonts w:ascii="Times New Roman" w:hAnsi="Times New Roman"/>
          <w:sz w:val="36"/>
          <w:szCs w:val="36"/>
          <w:u w:val="single" w:color="000000"/>
          <w:rtl w:val="0"/>
          <w:lang w:val="en-US"/>
        </w:rPr>
        <w:t>Forward looking approaches by community engagement practitioners to educate community members on internal and external factors affecting community engagement</w:t>
      </w:r>
    </w:p>
    <w:p>
      <w:pPr>
        <w:pStyle w:val="Default"/>
        <w:bidi w:val="0"/>
        <w:spacing w:before="0" w:line="240" w:lineRule="auto"/>
        <w:ind w:left="0" w:right="0" w:firstLine="0"/>
        <w:jc w:val="left"/>
        <w:rPr>
          <w:rFonts w:ascii="Times New Roman" w:cs="Times New Roman" w:hAnsi="Times New Roman" w:eastAsia="Times New Roman"/>
          <w:sz w:val="36"/>
          <w:szCs w:val="36"/>
          <w:u w:color="000000"/>
          <w:rtl w:val="0"/>
        </w:rPr>
      </w:pPr>
      <w:r>
        <w:rPr>
          <w:rFonts w:ascii="Times New Roman" w:hAnsi="Times New Roman"/>
          <w:sz w:val="36"/>
          <w:szCs w:val="36"/>
          <w:u w:color="000000"/>
          <w:rtl w:val="0"/>
          <w:lang w:val="en-US"/>
        </w:rPr>
        <w:t>Community engagement practitioner plays a very important role in driving people towards community engagement and better community relations. The need to adopt forward looking approaches for bringing better engagement activities within the society and provide guidance or instruction to them. Forward looking approach can be explained as the practice of seeing into the future to evaluate the consequences of the actions taken today. There are many factors that affect the community engagement activities that may be internal as well as external.</w:t>
      </w:r>
      <w:r>
        <w:rPr>
          <w:rFonts w:ascii="Times New Roman" w:hAnsi="Times New Roman" w:hint="default"/>
          <w:sz w:val="36"/>
          <w:szCs w:val="36"/>
          <w:u w:color="000000"/>
          <w:rtl w:val="0"/>
        </w:rPr>
        <w:t> </w:t>
      </w:r>
    </w:p>
    <w:p>
      <w:pPr>
        <w:pStyle w:val="Default"/>
        <w:bidi w:val="0"/>
        <w:spacing w:before="0" w:line="240" w:lineRule="auto"/>
        <w:ind w:left="0" w:right="0" w:firstLine="0"/>
        <w:jc w:val="both"/>
        <w:rPr>
          <w:rFonts w:ascii="Times New Roman" w:cs="Times New Roman" w:hAnsi="Times New Roman" w:eastAsia="Times New Roman"/>
          <w:sz w:val="36"/>
          <w:szCs w:val="36"/>
          <w:u w:color="000000"/>
          <w:rtl w:val="0"/>
        </w:rPr>
      </w:pPr>
      <w:r>
        <w:rPr>
          <w:rFonts w:ascii="Symbol" w:hAnsi="Symbol" w:hint="default"/>
          <w:sz w:val="24"/>
          <w:szCs w:val="24"/>
          <w:u w:color="000000"/>
          <w:rtl w:val="0"/>
        </w:rPr>
        <w:t xml:space="preserve">· </w:t>
      </w:r>
      <w:r>
        <w:rPr>
          <w:rFonts w:ascii="Times New Roman" w:hAnsi="Times New Roman"/>
          <w:b w:val="1"/>
          <w:bCs w:val="1"/>
          <w:sz w:val="36"/>
          <w:szCs w:val="36"/>
          <w:u w:color="000000"/>
          <w:rtl w:val="0"/>
          <w:lang w:val="pt-PT"/>
        </w:rPr>
        <w:t>Internal factors</w:t>
      </w:r>
      <w:r>
        <w:rPr>
          <w:rFonts w:ascii="Times New Roman" w:hAnsi="Times New Roman"/>
          <w:sz w:val="36"/>
          <w:szCs w:val="36"/>
          <w:u w:color="000000"/>
          <w:rtl w:val="0"/>
          <w:lang w:val="en-US"/>
        </w:rPr>
        <w:t>: It mainly includes the actions committed by the community itself that affects the community engagement activities. It may be related to the contribution of people towards the community engagement activities, their habits, attitude and behaviour towards others that affects community practice. It is very important that they are educated about various community practices that can be helpful in improving community engagement.</w:t>
      </w:r>
    </w:p>
    <w:p>
      <w:pPr>
        <w:pStyle w:val="Default"/>
        <w:bidi w:val="0"/>
        <w:spacing w:before="0" w:line="240" w:lineRule="auto"/>
        <w:ind w:left="0" w:right="0" w:firstLine="0"/>
        <w:jc w:val="both"/>
        <w:rPr>
          <w:rFonts w:ascii="Times New Roman" w:cs="Times New Roman" w:hAnsi="Times New Roman" w:eastAsia="Times New Roman"/>
          <w:sz w:val="36"/>
          <w:szCs w:val="36"/>
          <w:u w:color="000000"/>
          <w:rtl w:val="0"/>
        </w:rPr>
      </w:pPr>
      <w:r>
        <w:rPr>
          <w:rFonts w:ascii="Symbol" w:hAnsi="Symbol" w:hint="default"/>
          <w:sz w:val="24"/>
          <w:szCs w:val="24"/>
          <w:u w:color="000000"/>
          <w:rtl w:val="0"/>
        </w:rPr>
        <w:t xml:space="preserve">· </w:t>
      </w:r>
      <w:r>
        <w:rPr>
          <w:rFonts w:ascii="Times New Roman" w:hAnsi="Times New Roman"/>
          <w:b w:val="1"/>
          <w:bCs w:val="1"/>
          <w:sz w:val="36"/>
          <w:szCs w:val="36"/>
          <w:u w:color="000000"/>
          <w:rtl w:val="0"/>
          <w:lang w:val="pt-PT"/>
        </w:rPr>
        <w:t>External factors</w:t>
      </w:r>
      <w:r>
        <w:rPr>
          <w:rFonts w:ascii="Times New Roman" w:hAnsi="Times New Roman"/>
          <w:sz w:val="36"/>
          <w:szCs w:val="36"/>
          <w:u w:color="000000"/>
          <w:rtl w:val="0"/>
          <w:lang w:val="en-US"/>
        </w:rPr>
        <w:t>: It can be explained as the forces from the outer environment of the community such as government, legislation, changing technology and other dynamic situations across the global Trend (Tan, C. C. and Apisit-Isariyah, P., 2018). The policies, legislation, changing technology, government interventions and global trends must be analysed for preparing best community engagement activities at a particular place.</w:t>
      </w:r>
    </w:p>
    <w:p>
      <w:pPr>
        <w:pStyle w:val="Default"/>
        <w:bidi w:val="0"/>
        <w:spacing w:before="0" w:line="240" w:lineRule="auto"/>
        <w:ind w:left="0" w:right="0" w:firstLine="0"/>
        <w:jc w:val="both"/>
        <w:rPr>
          <w:rFonts w:ascii="Times New Roman" w:cs="Times New Roman" w:hAnsi="Times New Roman" w:eastAsia="Times New Roman"/>
          <w:sz w:val="36"/>
          <w:szCs w:val="36"/>
          <w:u w:color="000000"/>
          <w:rtl w:val="0"/>
        </w:rPr>
      </w:pPr>
      <w:r>
        <w:rPr>
          <w:rFonts w:ascii="Times New Roman" w:hAnsi="Times New Roman" w:hint="default"/>
          <w:sz w:val="36"/>
          <w:szCs w:val="36"/>
          <w:u w:color="000000"/>
          <w:rtl w:val="0"/>
        </w:rPr>
        <w:t> </w:t>
      </w:r>
    </w:p>
    <w:p>
      <w:pPr>
        <w:pStyle w:val="Default"/>
        <w:bidi w:val="0"/>
        <w:spacing w:before="0" w:line="240" w:lineRule="auto"/>
        <w:ind w:left="0" w:right="0" w:firstLine="0"/>
        <w:jc w:val="left"/>
        <w:rPr>
          <w:rFonts w:ascii="Times New Roman" w:cs="Times New Roman" w:hAnsi="Times New Roman" w:eastAsia="Times New Roman"/>
          <w:b w:val="0"/>
          <w:bCs w:val="0"/>
          <w:sz w:val="36"/>
          <w:szCs w:val="36"/>
          <w:u w:color="000000"/>
          <w:rtl w:val="0"/>
        </w:rPr>
      </w:pPr>
      <w:r>
        <w:rPr>
          <w:rFonts w:ascii="Times New Roman" w:hAnsi="Times New Roman"/>
          <w:b w:val="1"/>
          <w:bCs w:val="1"/>
          <w:sz w:val="42"/>
          <w:szCs w:val="42"/>
          <w:u w:color="000000"/>
          <w:rtl w:val="0"/>
        </w:rPr>
        <w:t>CONCLUSION</w:t>
      </w:r>
    </w:p>
    <w:p>
      <w:pPr>
        <w:pStyle w:val="Default"/>
        <w:bidi w:val="0"/>
        <w:spacing w:before="0" w:line="240" w:lineRule="auto"/>
        <w:ind w:left="0" w:right="0" w:firstLine="0"/>
        <w:jc w:val="left"/>
        <w:rPr>
          <w:rFonts w:ascii="Times New Roman" w:cs="Times New Roman" w:hAnsi="Times New Roman" w:eastAsia="Times New Roman"/>
          <w:sz w:val="36"/>
          <w:szCs w:val="36"/>
          <w:u w:color="000000"/>
          <w:rtl w:val="0"/>
        </w:rPr>
      </w:pPr>
      <w:r>
        <w:rPr>
          <w:rFonts w:ascii="Times New Roman" w:hAnsi="Times New Roman"/>
          <w:sz w:val="36"/>
          <w:szCs w:val="36"/>
          <w:u w:color="000000"/>
          <w:rtl w:val="0"/>
          <w:lang w:val="en-US"/>
        </w:rPr>
        <w:t>It has been concluded from the above report that community engagement is a very important practice for improving the community programs. It has been obtained that there are various programs and purposes that can be helpful in improving stakeholder engagement. Moreover, the report has described the use of social media for improving the community engagement program within the society. Furthermore, it has been explaining various principles and standards for improving the engagement and its benefits on people. Finally, it has been discussing various needs for looking into the future to enhance community development activities by community engagement practitioners. Community engagement programs have been considered a very important part for improving social connectivity and bringing equality and harmony among each other.</w:t>
      </w:r>
    </w:p>
    <w:p>
      <w:pPr>
        <w:pStyle w:val="Default"/>
        <w:bidi w:val="0"/>
        <w:spacing w:before="0" w:line="240" w:lineRule="auto"/>
        <w:ind w:left="0" w:right="0" w:firstLine="0"/>
        <w:jc w:val="left"/>
        <w:rPr>
          <w:rFonts w:ascii="Times New Roman" w:cs="Times New Roman" w:hAnsi="Times New Roman" w:eastAsia="Times New Roman"/>
          <w:b w:val="0"/>
          <w:bCs w:val="0"/>
          <w:sz w:val="36"/>
          <w:szCs w:val="36"/>
          <w:u w:color="000000"/>
          <w:rtl w:val="0"/>
        </w:rPr>
      </w:pPr>
      <w:r>
        <w:rPr>
          <w:rFonts w:ascii="Times New Roman" w:hAnsi="Times New Roman"/>
          <w:b w:val="1"/>
          <w:bCs w:val="1"/>
          <w:sz w:val="42"/>
          <w:szCs w:val="42"/>
          <w:u w:color="000000"/>
          <w:rtl w:val="0"/>
          <w:lang w:val="de-DE"/>
        </w:rPr>
        <w:t>REFERENCES</w:t>
      </w:r>
    </w:p>
    <w:p>
      <w:pPr>
        <w:pStyle w:val="Default"/>
        <w:bidi w:val="0"/>
        <w:spacing w:before="0" w:line="240" w:lineRule="auto"/>
        <w:ind w:left="0" w:right="0" w:firstLine="0"/>
        <w:jc w:val="left"/>
        <w:rPr>
          <w:rFonts w:ascii="Times New Roman" w:cs="Times New Roman" w:hAnsi="Times New Roman" w:eastAsia="Times New Roman"/>
          <w:sz w:val="36"/>
          <w:szCs w:val="36"/>
          <w:u w:val="none" w:color="000000"/>
          <w:rtl w:val="0"/>
        </w:rPr>
      </w:pPr>
      <w:r>
        <w:rPr>
          <w:rFonts w:ascii="Times New Roman" w:hAnsi="Times New Roman"/>
          <w:sz w:val="36"/>
          <w:szCs w:val="36"/>
          <w:u w:val="single" w:color="000000"/>
          <w:rtl w:val="0"/>
          <w:lang w:val="en-US"/>
        </w:rPr>
        <w:t>Books and Journals</w:t>
      </w:r>
    </w:p>
    <w:p>
      <w:pPr>
        <w:pStyle w:val="Default"/>
        <w:bidi w:val="0"/>
        <w:spacing w:before="0" w:line="240" w:lineRule="auto"/>
        <w:ind w:left="0" w:right="0" w:firstLine="0"/>
        <w:jc w:val="both"/>
        <w:rPr>
          <w:rFonts w:ascii="Times New Roman" w:cs="Times New Roman" w:hAnsi="Times New Roman" w:eastAsia="Times New Roman"/>
          <w:sz w:val="36"/>
          <w:szCs w:val="36"/>
          <w:u w:color="000000"/>
          <w:rtl w:val="0"/>
        </w:rPr>
      </w:pPr>
      <w:r>
        <w:rPr>
          <w:rFonts w:ascii="Times New Roman" w:hAnsi="Times New Roman" w:hint="default"/>
          <w:sz w:val="36"/>
          <w:szCs w:val="36"/>
          <w:u w:color="000000"/>
          <w:rtl w:val="0"/>
        </w:rPr>
        <w:t> </w:t>
      </w:r>
    </w:p>
    <w:p>
      <w:pPr>
        <w:pStyle w:val="Default"/>
        <w:bidi w:val="0"/>
        <w:spacing w:before="0" w:line="240" w:lineRule="auto"/>
        <w:ind w:left="0" w:right="0" w:firstLine="0"/>
        <w:jc w:val="both"/>
        <w:rPr>
          <w:rFonts w:ascii="Times New Roman" w:cs="Times New Roman" w:hAnsi="Times New Roman" w:eastAsia="Times New Roman"/>
          <w:sz w:val="36"/>
          <w:szCs w:val="36"/>
          <w:u w:color="000000"/>
          <w:rtl w:val="0"/>
        </w:rPr>
      </w:pPr>
      <w:r>
        <w:rPr>
          <w:rFonts w:ascii="Times New Roman" w:hAnsi="Times New Roman"/>
          <w:sz w:val="36"/>
          <w:szCs w:val="36"/>
          <w:u w:color="000000"/>
          <w:rtl w:val="0"/>
          <w:lang w:val="it-IT"/>
        </w:rPr>
        <w:t>Ariese, C. E., 2018.</w:t>
      </w:r>
      <w:r>
        <w:rPr>
          <w:rFonts w:ascii="Times New Roman" w:hAnsi="Times New Roman" w:hint="default"/>
          <w:sz w:val="36"/>
          <w:szCs w:val="36"/>
          <w:u w:color="000000"/>
          <w:rtl w:val="0"/>
        </w:rPr>
        <w:t> </w:t>
      </w:r>
      <w:r>
        <w:rPr>
          <w:rFonts w:ascii="Times New Roman" w:hAnsi="Times New Roman"/>
          <w:sz w:val="36"/>
          <w:szCs w:val="36"/>
          <w:u w:color="000000"/>
          <w:rtl w:val="0"/>
          <w:lang w:val="en-US"/>
        </w:rPr>
        <w:t>The social museum in the Caribbean: grassroots heritage initiatives and community engagement. Leiden University.</w:t>
      </w:r>
    </w:p>
    <w:p>
      <w:pPr>
        <w:pStyle w:val="Default"/>
        <w:bidi w:val="0"/>
        <w:spacing w:before="0" w:line="240" w:lineRule="auto"/>
        <w:ind w:left="0" w:right="0" w:firstLine="0"/>
        <w:jc w:val="both"/>
        <w:rPr>
          <w:rFonts w:ascii="Times New Roman" w:cs="Times New Roman" w:hAnsi="Times New Roman" w:eastAsia="Times New Roman"/>
          <w:sz w:val="36"/>
          <w:szCs w:val="36"/>
          <w:u w:color="000000"/>
          <w:rtl w:val="0"/>
        </w:rPr>
      </w:pPr>
      <w:r>
        <w:rPr>
          <w:rFonts w:ascii="Times New Roman" w:hAnsi="Times New Roman"/>
          <w:sz w:val="36"/>
          <w:szCs w:val="36"/>
          <w:u w:color="000000"/>
          <w:rtl w:val="0"/>
          <w:lang w:val="en-US"/>
        </w:rPr>
        <w:t>Di Napoli and et.al., 2019. Community trust: A social indicator related to community engagement.</w:t>
      </w:r>
      <w:r>
        <w:rPr>
          <w:rFonts w:ascii="Times New Roman" w:hAnsi="Times New Roman" w:hint="default"/>
          <w:sz w:val="36"/>
          <w:szCs w:val="36"/>
          <w:u w:color="000000"/>
          <w:rtl w:val="0"/>
        </w:rPr>
        <w:t> </w:t>
      </w:r>
      <w:r>
        <w:rPr>
          <w:rFonts w:ascii="Times New Roman" w:hAnsi="Times New Roman"/>
          <w:sz w:val="36"/>
          <w:szCs w:val="36"/>
          <w:u w:color="000000"/>
          <w:rtl w:val="0"/>
          <w:lang w:val="en-US"/>
        </w:rPr>
        <w:t>Social Indicators Research,</w:t>
      </w:r>
      <w:r>
        <w:rPr>
          <w:rFonts w:ascii="Times New Roman" w:hAnsi="Times New Roman" w:hint="default"/>
          <w:sz w:val="36"/>
          <w:szCs w:val="36"/>
          <w:u w:color="000000"/>
          <w:rtl w:val="0"/>
        </w:rPr>
        <w:t> </w:t>
      </w:r>
      <w:r>
        <w:rPr>
          <w:rFonts w:ascii="Times New Roman" w:hAnsi="Times New Roman"/>
          <w:sz w:val="36"/>
          <w:szCs w:val="36"/>
          <w:u w:color="000000"/>
          <w:rtl w:val="0"/>
        </w:rPr>
        <w:t>145(2). pp.551-579.</w:t>
      </w:r>
    </w:p>
    <w:p>
      <w:pPr>
        <w:pStyle w:val="Default"/>
        <w:bidi w:val="0"/>
        <w:spacing w:before="0" w:line="240" w:lineRule="auto"/>
        <w:ind w:left="0" w:right="0" w:firstLine="0"/>
        <w:jc w:val="both"/>
        <w:rPr>
          <w:rFonts w:ascii="Times New Roman" w:cs="Times New Roman" w:hAnsi="Times New Roman" w:eastAsia="Times New Roman"/>
          <w:sz w:val="36"/>
          <w:szCs w:val="36"/>
          <w:u w:color="000000"/>
          <w:rtl w:val="0"/>
        </w:rPr>
      </w:pPr>
      <w:r>
        <w:rPr>
          <w:rFonts w:ascii="Times New Roman" w:hAnsi="Times New Roman"/>
          <w:sz w:val="36"/>
          <w:szCs w:val="36"/>
          <w:u w:color="000000"/>
          <w:rtl w:val="0"/>
          <w:lang w:val="en-US"/>
        </w:rPr>
        <w:t>Fernandez, M., 2018. Increasing community engagement in Latino residents to improve health outcomes.</w:t>
      </w:r>
      <w:r>
        <w:rPr>
          <w:rFonts w:ascii="Times New Roman" w:hAnsi="Times New Roman" w:hint="default"/>
          <w:sz w:val="36"/>
          <w:szCs w:val="36"/>
          <w:u w:color="000000"/>
          <w:rtl w:val="0"/>
        </w:rPr>
        <w:t> </w:t>
      </w:r>
      <w:r>
        <w:rPr>
          <w:rFonts w:ascii="Times New Roman" w:hAnsi="Times New Roman"/>
          <w:sz w:val="36"/>
          <w:szCs w:val="36"/>
          <w:u w:color="000000"/>
          <w:rtl w:val="0"/>
          <w:lang w:val="en-US"/>
        </w:rPr>
        <w:t>Local Environment,</w:t>
      </w:r>
      <w:r>
        <w:rPr>
          <w:rFonts w:ascii="Times New Roman" w:hAnsi="Times New Roman" w:hint="default"/>
          <w:sz w:val="36"/>
          <w:szCs w:val="36"/>
          <w:u w:color="000000"/>
          <w:rtl w:val="0"/>
        </w:rPr>
        <w:t> </w:t>
      </w:r>
      <w:r>
        <w:rPr>
          <w:rFonts w:ascii="Times New Roman" w:hAnsi="Times New Roman"/>
          <w:sz w:val="36"/>
          <w:szCs w:val="36"/>
          <w:u w:color="000000"/>
          <w:rtl w:val="0"/>
        </w:rPr>
        <w:t>23(9). pp.920-933.</w:t>
      </w:r>
    </w:p>
    <w:p>
      <w:pPr>
        <w:pStyle w:val="Default"/>
        <w:bidi w:val="0"/>
        <w:spacing w:before="0" w:line="240" w:lineRule="auto"/>
        <w:ind w:left="0" w:right="0" w:firstLine="0"/>
        <w:jc w:val="both"/>
        <w:rPr>
          <w:rFonts w:ascii="Times New Roman" w:cs="Times New Roman" w:hAnsi="Times New Roman" w:eastAsia="Times New Roman"/>
          <w:sz w:val="36"/>
          <w:szCs w:val="36"/>
          <w:u w:color="000000"/>
          <w:rtl w:val="0"/>
        </w:rPr>
      </w:pPr>
      <w:r>
        <w:rPr>
          <w:rFonts w:ascii="Times New Roman" w:hAnsi="Times New Roman"/>
          <w:sz w:val="36"/>
          <w:szCs w:val="36"/>
          <w:u w:color="000000"/>
          <w:rtl w:val="0"/>
          <w:lang w:val="en-US"/>
        </w:rPr>
        <w:t>Gray and et.al., 2021. Diversity in clinical trials: an opportunity and imperative for community engagement.</w:t>
      </w:r>
      <w:r>
        <w:rPr>
          <w:rFonts w:ascii="Times New Roman" w:hAnsi="Times New Roman" w:hint="default"/>
          <w:sz w:val="36"/>
          <w:szCs w:val="36"/>
          <w:u w:color="000000"/>
          <w:rtl w:val="0"/>
        </w:rPr>
        <w:t> </w:t>
      </w:r>
      <w:r>
        <w:rPr>
          <w:rFonts w:ascii="Times New Roman" w:hAnsi="Times New Roman"/>
          <w:sz w:val="36"/>
          <w:szCs w:val="36"/>
          <w:u w:color="000000"/>
          <w:rtl w:val="0"/>
        </w:rPr>
        <w:t>The Lancet Gastroenterology &amp; Hepatology,</w:t>
      </w:r>
      <w:r>
        <w:rPr>
          <w:rFonts w:ascii="Times New Roman" w:hAnsi="Times New Roman" w:hint="default"/>
          <w:sz w:val="36"/>
          <w:szCs w:val="36"/>
          <w:u w:color="000000"/>
          <w:rtl w:val="0"/>
        </w:rPr>
        <w:t> </w:t>
      </w:r>
      <w:r>
        <w:rPr>
          <w:rFonts w:ascii="Times New Roman" w:hAnsi="Times New Roman"/>
          <w:sz w:val="36"/>
          <w:szCs w:val="36"/>
          <w:u w:color="000000"/>
          <w:rtl w:val="0"/>
        </w:rPr>
        <w:t>6(8). pp.605-607.</w:t>
      </w:r>
    </w:p>
    <w:p>
      <w:pPr>
        <w:pStyle w:val="Default"/>
        <w:bidi w:val="0"/>
        <w:spacing w:before="0" w:line="240" w:lineRule="auto"/>
        <w:ind w:left="0" w:right="0" w:firstLine="0"/>
        <w:jc w:val="both"/>
        <w:rPr>
          <w:rFonts w:ascii="Times New Roman" w:cs="Times New Roman" w:hAnsi="Times New Roman" w:eastAsia="Times New Roman"/>
          <w:sz w:val="36"/>
          <w:szCs w:val="36"/>
          <w:u w:color="000000"/>
          <w:rtl w:val="0"/>
        </w:rPr>
      </w:pPr>
      <w:r>
        <w:rPr>
          <w:rFonts w:ascii="Times New Roman" w:hAnsi="Times New Roman"/>
          <w:sz w:val="36"/>
          <w:szCs w:val="36"/>
          <w:u w:color="000000"/>
          <w:rtl w:val="0"/>
          <w:lang w:val="en-US"/>
        </w:rPr>
        <w:t>Johnston, K. A. and Lane, A. B., 2019. An authenticity matrix for community engagement.</w:t>
      </w:r>
      <w:r>
        <w:rPr>
          <w:rFonts w:ascii="Times New Roman" w:hAnsi="Times New Roman" w:hint="default"/>
          <w:sz w:val="36"/>
          <w:szCs w:val="36"/>
          <w:u w:color="000000"/>
          <w:rtl w:val="0"/>
        </w:rPr>
        <w:t> </w:t>
      </w:r>
      <w:r>
        <w:rPr>
          <w:rFonts w:ascii="Times New Roman" w:hAnsi="Times New Roman"/>
          <w:sz w:val="36"/>
          <w:szCs w:val="36"/>
          <w:u w:color="000000"/>
          <w:rtl w:val="0"/>
          <w:lang w:val="en-US"/>
        </w:rPr>
        <w:t>Public Relations Review,</w:t>
      </w:r>
      <w:r>
        <w:rPr>
          <w:rFonts w:ascii="Times New Roman" w:hAnsi="Times New Roman" w:hint="default"/>
          <w:sz w:val="36"/>
          <w:szCs w:val="36"/>
          <w:u w:color="000000"/>
          <w:rtl w:val="0"/>
        </w:rPr>
        <w:t> </w:t>
      </w:r>
      <w:r>
        <w:rPr>
          <w:rFonts w:ascii="Times New Roman" w:hAnsi="Times New Roman"/>
          <w:sz w:val="36"/>
          <w:szCs w:val="36"/>
          <w:u w:color="000000"/>
          <w:rtl w:val="0"/>
        </w:rPr>
        <w:t>45(4). p.101811.</w:t>
      </w:r>
    </w:p>
    <w:p>
      <w:pPr>
        <w:pStyle w:val="Default"/>
        <w:bidi w:val="0"/>
        <w:spacing w:before="0" w:line="240" w:lineRule="auto"/>
        <w:ind w:left="0" w:right="0" w:firstLine="0"/>
        <w:jc w:val="both"/>
        <w:rPr>
          <w:rFonts w:ascii="Times New Roman" w:cs="Times New Roman" w:hAnsi="Times New Roman" w:eastAsia="Times New Roman"/>
          <w:sz w:val="36"/>
          <w:szCs w:val="36"/>
          <w:u w:color="000000"/>
          <w:rtl w:val="0"/>
        </w:rPr>
      </w:pPr>
      <w:r>
        <w:rPr>
          <w:rFonts w:ascii="Times New Roman" w:hAnsi="Times New Roman"/>
          <w:sz w:val="36"/>
          <w:szCs w:val="36"/>
          <w:u w:color="000000"/>
          <w:rtl w:val="0"/>
          <w:lang w:val="en-US"/>
        </w:rPr>
        <w:t>Osborne and et.al., 2021. New frontiers in local government community engagement: Towards transformative place-based futures.</w:t>
      </w:r>
      <w:r>
        <w:rPr>
          <w:rFonts w:ascii="Times New Roman" w:hAnsi="Times New Roman" w:hint="default"/>
          <w:sz w:val="36"/>
          <w:szCs w:val="36"/>
          <w:u w:color="000000"/>
          <w:rtl w:val="0"/>
        </w:rPr>
        <w:t> </w:t>
      </w:r>
      <w:r>
        <w:rPr>
          <w:rFonts w:ascii="Times New Roman" w:hAnsi="Times New Roman"/>
          <w:sz w:val="36"/>
          <w:szCs w:val="36"/>
          <w:u w:color="000000"/>
          <w:rtl w:val="0"/>
        </w:rPr>
        <w:t>Futures,</w:t>
      </w:r>
      <w:r>
        <w:rPr>
          <w:rFonts w:ascii="Times New Roman" w:hAnsi="Times New Roman" w:hint="default"/>
          <w:sz w:val="36"/>
          <w:szCs w:val="36"/>
          <w:u w:color="000000"/>
          <w:rtl w:val="0"/>
        </w:rPr>
        <w:t> </w:t>
      </w:r>
      <w:r>
        <w:rPr>
          <w:rFonts w:ascii="Times New Roman" w:hAnsi="Times New Roman"/>
          <w:sz w:val="36"/>
          <w:szCs w:val="36"/>
          <w:u w:color="000000"/>
          <w:rtl w:val="0"/>
        </w:rPr>
        <w:t>131. p.102768.</w:t>
      </w:r>
    </w:p>
    <w:p>
      <w:pPr>
        <w:pStyle w:val="Default"/>
        <w:bidi w:val="0"/>
        <w:spacing w:before="0" w:line="240" w:lineRule="auto"/>
        <w:ind w:left="0" w:right="0" w:firstLine="0"/>
        <w:jc w:val="both"/>
        <w:rPr>
          <w:rFonts w:ascii="Times New Roman" w:cs="Times New Roman" w:hAnsi="Times New Roman" w:eastAsia="Times New Roman"/>
          <w:sz w:val="36"/>
          <w:szCs w:val="36"/>
          <w:u w:color="000000"/>
          <w:rtl w:val="0"/>
        </w:rPr>
      </w:pPr>
      <w:r>
        <w:rPr>
          <w:rFonts w:ascii="Times New Roman" w:hAnsi="Times New Roman"/>
          <w:sz w:val="36"/>
          <w:szCs w:val="36"/>
          <w:u w:color="000000"/>
          <w:rtl w:val="0"/>
          <w:lang w:val="en-US"/>
        </w:rPr>
        <w:t>Pierce, S., Blanton, J. and Gould, D., 2018. An online program for high school student-athlete leadership development: Community engagement, collaboration, and course creation.</w:t>
      </w:r>
      <w:r>
        <w:rPr>
          <w:rFonts w:ascii="Times New Roman" w:hAnsi="Times New Roman" w:hint="default"/>
          <w:sz w:val="36"/>
          <w:szCs w:val="36"/>
          <w:u w:color="000000"/>
          <w:rtl w:val="0"/>
        </w:rPr>
        <w:t> </w:t>
      </w:r>
      <w:r>
        <w:rPr>
          <w:rFonts w:ascii="Times New Roman" w:hAnsi="Times New Roman"/>
          <w:sz w:val="36"/>
          <w:szCs w:val="36"/>
          <w:u w:color="000000"/>
          <w:rtl w:val="0"/>
          <w:lang w:val="en-US"/>
        </w:rPr>
        <w:t>Case Studies in Sport and Exercise Psychology,</w:t>
      </w:r>
      <w:r>
        <w:rPr>
          <w:rFonts w:ascii="Times New Roman" w:hAnsi="Times New Roman" w:hint="default"/>
          <w:sz w:val="36"/>
          <w:szCs w:val="36"/>
          <w:u w:color="000000"/>
          <w:rtl w:val="0"/>
        </w:rPr>
        <w:t> </w:t>
      </w:r>
      <w:r>
        <w:rPr>
          <w:rFonts w:ascii="Times New Roman" w:hAnsi="Times New Roman"/>
          <w:sz w:val="36"/>
          <w:szCs w:val="36"/>
          <w:u w:color="000000"/>
          <w:rtl w:val="0"/>
        </w:rPr>
        <w:t>2(1). pp.23-29.</w:t>
      </w:r>
    </w:p>
    <w:p>
      <w:pPr>
        <w:pStyle w:val="Default"/>
        <w:bidi w:val="0"/>
        <w:spacing w:before="0" w:line="240" w:lineRule="auto"/>
        <w:ind w:left="0" w:right="0" w:firstLine="0"/>
        <w:jc w:val="both"/>
        <w:rPr>
          <w:rFonts w:ascii="Times New Roman" w:cs="Times New Roman" w:hAnsi="Times New Roman" w:eastAsia="Times New Roman"/>
          <w:sz w:val="36"/>
          <w:szCs w:val="36"/>
          <w:u w:color="000000"/>
          <w:rtl w:val="0"/>
        </w:rPr>
      </w:pPr>
      <w:r>
        <w:rPr>
          <w:rFonts w:ascii="Times New Roman" w:hAnsi="Times New Roman"/>
          <w:sz w:val="36"/>
          <w:szCs w:val="36"/>
          <w:u w:color="000000"/>
          <w:rtl w:val="0"/>
          <w:lang w:val="en-US"/>
        </w:rPr>
        <w:t>Renwick and et.al., 2020. Community engagement is</w:t>
      </w:r>
      <w:r>
        <w:rPr>
          <w:rFonts w:ascii="Times New Roman" w:hAnsi="Times New Roman" w:hint="default"/>
          <w:sz w:val="36"/>
          <w:szCs w:val="36"/>
          <w:u w:color="000000"/>
          <w:rtl w:val="0"/>
        </w:rPr>
        <w:t>…</w:t>
      </w:r>
      <w:r>
        <w:rPr>
          <w:rFonts w:ascii="Times New Roman" w:hAnsi="Times New Roman"/>
          <w:sz w:val="36"/>
          <w:szCs w:val="36"/>
          <w:u w:color="000000"/>
          <w:rtl w:val="0"/>
          <w:lang w:val="en-US"/>
        </w:rPr>
        <w:t>: Revisiting Boyer</w:t>
      </w:r>
      <w:r>
        <w:rPr>
          <w:rFonts w:ascii="Times New Roman" w:hAnsi="Times New Roman" w:hint="default"/>
          <w:sz w:val="36"/>
          <w:szCs w:val="36"/>
          <w:u w:color="000000"/>
          <w:rtl w:val="1"/>
        </w:rPr>
        <w:t>’</w:t>
      </w:r>
      <w:r>
        <w:rPr>
          <w:rFonts w:ascii="Times New Roman" w:hAnsi="Times New Roman"/>
          <w:sz w:val="36"/>
          <w:szCs w:val="36"/>
          <w:u w:color="000000"/>
          <w:rtl w:val="0"/>
          <w:lang w:val="en-US"/>
        </w:rPr>
        <w:t>s model of scholarship.</w:t>
      </w:r>
      <w:r>
        <w:rPr>
          <w:rFonts w:ascii="Times New Roman" w:hAnsi="Times New Roman" w:hint="default"/>
          <w:sz w:val="36"/>
          <w:szCs w:val="36"/>
          <w:u w:color="000000"/>
          <w:rtl w:val="0"/>
        </w:rPr>
        <w:t> </w:t>
      </w:r>
      <w:r>
        <w:rPr>
          <w:rFonts w:ascii="Times New Roman" w:hAnsi="Times New Roman"/>
          <w:sz w:val="36"/>
          <w:szCs w:val="36"/>
          <w:u w:color="000000"/>
          <w:rtl w:val="0"/>
          <w:lang w:val="en-US"/>
        </w:rPr>
        <w:t>Higher Education Research &amp; Development,</w:t>
      </w:r>
      <w:r>
        <w:rPr>
          <w:rFonts w:ascii="Times New Roman" w:hAnsi="Times New Roman" w:hint="default"/>
          <w:sz w:val="36"/>
          <w:szCs w:val="36"/>
          <w:u w:color="000000"/>
          <w:rtl w:val="0"/>
        </w:rPr>
        <w:t> </w:t>
      </w:r>
      <w:r>
        <w:rPr>
          <w:rFonts w:ascii="Times New Roman" w:hAnsi="Times New Roman"/>
          <w:sz w:val="36"/>
          <w:szCs w:val="36"/>
          <w:u w:color="000000"/>
          <w:rtl w:val="0"/>
        </w:rPr>
        <w:t>39(6). pp.1232-1246.</w:t>
      </w:r>
    </w:p>
    <w:p>
      <w:pPr>
        <w:pStyle w:val="Default"/>
        <w:bidi w:val="0"/>
        <w:spacing w:before="0" w:line="240" w:lineRule="auto"/>
        <w:ind w:left="0" w:right="0" w:firstLine="0"/>
        <w:jc w:val="both"/>
        <w:rPr>
          <w:rFonts w:ascii="Times New Roman" w:cs="Times New Roman" w:hAnsi="Times New Roman" w:eastAsia="Times New Roman"/>
          <w:sz w:val="36"/>
          <w:szCs w:val="36"/>
          <w:u w:color="000000"/>
          <w:rtl w:val="0"/>
        </w:rPr>
      </w:pPr>
      <w:r>
        <w:rPr>
          <w:rFonts w:ascii="Times New Roman" w:hAnsi="Times New Roman"/>
          <w:sz w:val="36"/>
          <w:szCs w:val="36"/>
          <w:u w:color="000000"/>
          <w:rtl w:val="0"/>
        </w:rPr>
        <w:t>Satiz</w:t>
      </w:r>
      <w:r>
        <w:rPr>
          <w:rFonts w:ascii="Times New Roman" w:hAnsi="Times New Roman" w:hint="default"/>
          <w:sz w:val="36"/>
          <w:szCs w:val="36"/>
          <w:u w:color="000000"/>
          <w:rtl w:val="0"/>
        </w:rPr>
        <w:t>á</w:t>
      </w:r>
      <w:r>
        <w:rPr>
          <w:rFonts w:ascii="Times New Roman" w:hAnsi="Times New Roman"/>
          <w:sz w:val="36"/>
          <w:szCs w:val="36"/>
          <w:u w:color="000000"/>
          <w:rtl w:val="0"/>
          <w:lang w:val="en-US"/>
        </w:rPr>
        <w:t>bal and et.al., 2022. The power of connection: Navigating the constraints of community engagement for disaster risk reduction.</w:t>
      </w:r>
      <w:r>
        <w:rPr>
          <w:rFonts w:ascii="Times New Roman" w:hAnsi="Times New Roman" w:hint="default"/>
          <w:sz w:val="36"/>
          <w:szCs w:val="36"/>
          <w:u w:color="000000"/>
          <w:rtl w:val="0"/>
        </w:rPr>
        <w:t> </w:t>
      </w:r>
      <w:r>
        <w:rPr>
          <w:rFonts w:ascii="Times New Roman" w:hAnsi="Times New Roman"/>
          <w:sz w:val="36"/>
          <w:szCs w:val="36"/>
          <w:u w:color="000000"/>
          <w:rtl w:val="0"/>
          <w:lang w:val="en-US"/>
        </w:rPr>
        <w:t>International Journal of Disaster Risk Reduction,</w:t>
      </w:r>
      <w:r>
        <w:rPr>
          <w:rFonts w:ascii="Times New Roman" w:hAnsi="Times New Roman" w:hint="default"/>
          <w:sz w:val="36"/>
          <w:szCs w:val="36"/>
          <w:u w:color="000000"/>
          <w:rtl w:val="0"/>
        </w:rPr>
        <w:t> </w:t>
      </w:r>
      <w:r>
        <w:rPr>
          <w:rFonts w:ascii="Times New Roman" w:hAnsi="Times New Roman"/>
          <w:sz w:val="36"/>
          <w:szCs w:val="36"/>
          <w:u w:color="000000"/>
          <w:rtl w:val="0"/>
        </w:rPr>
        <w:t>68. p.102699.</w:t>
      </w:r>
    </w:p>
    <w:p>
      <w:pPr>
        <w:pStyle w:val="Default"/>
        <w:bidi w:val="0"/>
        <w:spacing w:before="0" w:line="240" w:lineRule="auto"/>
        <w:ind w:left="0" w:right="0" w:firstLine="0"/>
        <w:jc w:val="both"/>
        <w:rPr>
          <w:rFonts w:ascii="Times New Roman" w:cs="Times New Roman" w:hAnsi="Times New Roman" w:eastAsia="Times New Roman"/>
          <w:sz w:val="36"/>
          <w:szCs w:val="36"/>
          <w:u w:color="000000"/>
          <w:rtl w:val="0"/>
        </w:rPr>
      </w:pPr>
      <w:r>
        <w:rPr>
          <w:rFonts w:ascii="Times New Roman" w:hAnsi="Times New Roman"/>
          <w:sz w:val="36"/>
          <w:szCs w:val="36"/>
          <w:u w:color="000000"/>
          <w:rtl w:val="0"/>
          <w:lang w:val="en-US"/>
        </w:rPr>
        <w:t>Schiavo, R., 2020. Advocacy, community engagement and cross-sectoral collaborations as key strategies during COVID-19 response and beyond: New directions for a new decade.</w:t>
      </w:r>
      <w:r>
        <w:rPr>
          <w:rFonts w:ascii="Times New Roman" w:hAnsi="Times New Roman" w:hint="default"/>
          <w:sz w:val="36"/>
          <w:szCs w:val="36"/>
          <w:u w:color="000000"/>
          <w:rtl w:val="0"/>
        </w:rPr>
        <w:t> </w:t>
      </w:r>
      <w:r>
        <w:rPr>
          <w:rFonts w:ascii="Times New Roman" w:hAnsi="Times New Roman"/>
          <w:sz w:val="36"/>
          <w:szCs w:val="36"/>
          <w:u w:color="000000"/>
          <w:rtl w:val="0"/>
          <w:lang w:val="en-US"/>
        </w:rPr>
        <w:t>Journal of Communication in Healthcare,</w:t>
      </w:r>
      <w:r>
        <w:rPr>
          <w:rFonts w:ascii="Times New Roman" w:hAnsi="Times New Roman" w:hint="default"/>
          <w:sz w:val="36"/>
          <w:szCs w:val="36"/>
          <w:u w:color="000000"/>
          <w:rtl w:val="0"/>
        </w:rPr>
        <w:t> </w:t>
      </w:r>
      <w:r>
        <w:rPr>
          <w:rFonts w:ascii="Times New Roman" w:hAnsi="Times New Roman"/>
          <w:sz w:val="36"/>
          <w:szCs w:val="36"/>
          <w:u w:color="000000"/>
          <w:rtl w:val="0"/>
        </w:rPr>
        <w:t>13(1). pp.1-5.</w:t>
      </w:r>
    </w:p>
    <w:p>
      <w:pPr>
        <w:pStyle w:val="Default"/>
        <w:bidi w:val="0"/>
        <w:spacing w:before="0" w:line="240" w:lineRule="auto"/>
        <w:ind w:left="0" w:right="0" w:firstLine="0"/>
        <w:jc w:val="both"/>
        <w:rPr>
          <w:rFonts w:ascii="Times New Roman" w:cs="Times New Roman" w:hAnsi="Times New Roman" w:eastAsia="Times New Roman"/>
          <w:sz w:val="36"/>
          <w:szCs w:val="36"/>
          <w:u w:color="000000"/>
          <w:rtl w:val="0"/>
        </w:rPr>
      </w:pPr>
      <w:r>
        <w:rPr>
          <w:rFonts w:ascii="Times New Roman" w:hAnsi="Times New Roman"/>
          <w:sz w:val="36"/>
          <w:szCs w:val="36"/>
          <w:u w:color="000000"/>
          <w:rtl w:val="0"/>
          <w:lang w:val="en-US"/>
        </w:rPr>
        <w:t>Tan, C. C. and Apisit-Isariyah, P., 2018. Towards a community-based theory of brand community engagement.</w:t>
      </w:r>
      <w:r>
        <w:rPr>
          <w:rFonts w:ascii="Times New Roman" w:hAnsi="Times New Roman" w:hint="default"/>
          <w:sz w:val="36"/>
          <w:szCs w:val="36"/>
          <w:u w:color="000000"/>
          <w:rtl w:val="0"/>
        </w:rPr>
        <w:t> </w:t>
      </w:r>
      <w:r>
        <w:rPr>
          <w:rFonts w:ascii="Times New Roman" w:hAnsi="Times New Roman"/>
          <w:sz w:val="36"/>
          <w:szCs w:val="36"/>
          <w:u w:color="000000"/>
          <w:rtl w:val="0"/>
          <w:lang w:val="en-US"/>
        </w:rPr>
        <w:t>Advanced Science Letters,</w:t>
      </w:r>
      <w:r>
        <w:rPr>
          <w:rFonts w:ascii="Times New Roman" w:hAnsi="Times New Roman" w:hint="default"/>
          <w:sz w:val="36"/>
          <w:szCs w:val="36"/>
          <w:u w:color="000000"/>
          <w:rtl w:val="0"/>
        </w:rPr>
        <w:t> </w:t>
      </w:r>
      <w:r>
        <w:rPr>
          <w:rFonts w:ascii="Times New Roman" w:hAnsi="Times New Roman"/>
          <w:sz w:val="36"/>
          <w:szCs w:val="36"/>
          <w:u w:color="000000"/>
          <w:rtl w:val="0"/>
        </w:rPr>
        <w:t>24(7). pp.5167-5170.</w:t>
      </w:r>
    </w:p>
    <w:p>
      <w:pPr>
        <w:pStyle w:val="Default"/>
        <w:bidi w:val="0"/>
        <w:spacing w:before="0" w:line="240" w:lineRule="auto"/>
        <w:ind w:left="0" w:right="0" w:firstLine="0"/>
        <w:jc w:val="both"/>
        <w:rPr>
          <w:rFonts w:ascii="Times New Roman" w:cs="Times New Roman" w:hAnsi="Times New Roman" w:eastAsia="Times New Roman"/>
          <w:sz w:val="36"/>
          <w:szCs w:val="36"/>
          <w:u w:color="000000"/>
          <w:rtl w:val="0"/>
        </w:rPr>
      </w:pPr>
      <w:r>
        <w:rPr>
          <w:rFonts w:ascii="Times New Roman" w:hAnsi="Times New Roman" w:hint="default"/>
          <w:sz w:val="36"/>
          <w:szCs w:val="36"/>
          <w:u w:color="000000"/>
          <w:rtl w:val="0"/>
        </w:rPr>
        <w:t> </w:t>
      </w:r>
    </w:p>
    <w:p>
      <w:pPr>
        <w:pStyle w:val="Default"/>
        <w:bidi w:val="0"/>
        <w:spacing w:before="0" w:line="240" w:lineRule="auto"/>
        <w:ind w:left="720" w:right="0" w:hanging="720"/>
        <w:jc w:val="both"/>
        <w:rPr>
          <w:rFonts w:ascii="Times New Roman" w:cs="Times New Roman" w:hAnsi="Times New Roman" w:eastAsia="Times New Roman"/>
          <w:sz w:val="36"/>
          <w:szCs w:val="36"/>
          <w:u w:color="000000"/>
          <w:rtl w:val="0"/>
        </w:rPr>
      </w:pPr>
      <w:r>
        <w:rPr>
          <w:rFonts w:ascii="Times New Roman" w:hAnsi="Times New Roman" w:hint="default"/>
          <w:sz w:val="36"/>
          <w:szCs w:val="36"/>
          <w:u w:color="000000"/>
          <w:rtl w:val="0"/>
        </w:rPr>
        <w:t> </w:t>
      </w:r>
    </w:p>
    <w:p>
      <w:pPr>
        <w:pStyle w:val="Default"/>
        <w:bidi w:val="0"/>
        <w:spacing w:before="0" w:line="240" w:lineRule="auto"/>
        <w:ind w:left="720" w:right="0" w:hanging="720"/>
        <w:jc w:val="both"/>
        <w:rPr>
          <w:rFonts w:ascii="Times New Roman" w:cs="Times New Roman" w:hAnsi="Times New Roman" w:eastAsia="Times New Roman"/>
          <w:sz w:val="36"/>
          <w:szCs w:val="36"/>
          <w:u w:color="000000"/>
          <w:rtl w:val="0"/>
        </w:rPr>
      </w:pPr>
    </w:p>
    <w:p>
      <w:pPr>
        <w:pStyle w:val="Default"/>
        <w:bidi w:val="0"/>
        <w:spacing w:before="0" w:line="240" w:lineRule="auto"/>
        <w:ind w:left="0" w:right="0" w:firstLine="0"/>
        <w:jc w:val="center"/>
        <w:rPr>
          <w:rFonts w:ascii="Times New Roman" w:cs="Times New Roman" w:hAnsi="Times New Roman" w:eastAsia="Times New Roman"/>
          <w:sz w:val="36"/>
          <w:szCs w:val="36"/>
          <w:u w:color="000000"/>
          <w:rtl w:val="0"/>
        </w:rPr>
      </w:pPr>
      <w:r>
        <w:rPr>
          <w:rFonts w:ascii="Times New Roman" w:hAnsi="Times New Roman" w:hint="default"/>
          <w:sz w:val="36"/>
          <w:szCs w:val="36"/>
          <w:u w:color="000000"/>
          <w:rtl w:val="0"/>
        </w:rPr>
        <w:t> </w:t>
      </w:r>
    </w:p>
    <w:p>
      <w:pPr>
        <w:pStyle w:val="Default"/>
        <w:bidi w:val="0"/>
        <w:spacing w:before="0" w:line="240" w:lineRule="auto"/>
        <w:ind w:left="840" w:right="0" w:hanging="840"/>
        <w:jc w:val="both"/>
        <w:rPr>
          <w:rtl w:val="0"/>
        </w:rPr>
      </w:pPr>
      <w:r>
        <w:rPr>
          <w:rFonts w:ascii="Times New Roman" w:hAnsi="Times New Roman" w:hint="default"/>
          <w:sz w:val="36"/>
          <w:szCs w:val="36"/>
          <w:u w:color="000000"/>
          <w:rtl w:val="0"/>
        </w:rPr>
        <w:t> </w:t>
      </w:r>
    </w:p>
    <w:sectPr>
      <w:headerReference w:type="default" r:id="rId4"/>
      <w:footerReference w:type="default" r:id="rId5"/>
      <w:pgSz w:w="11906" w:h="16838"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Default">
    <w:name w:val="Default"/>
    <w:next w:val="Default"/>
    <w:pPr>
      <w:keepNext w:val="0"/>
      <w:keepLines w:val="0"/>
      <w:pageBreakBefore w:val="0"/>
      <w:widowControl w:val="1"/>
      <w:shd w:val="clear" w:color="auto" w:fill="auto"/>
      <w:suppressAutoHyphens w:val="0"/>
      <w:bidi w:val="0"/>
      <w:spacing w:before="160" w:after="0" w:line="288"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lang w:val="fr-FR"/>
      <w14:textOutline>
        <w14:noFill/>
      </w14:textOutline>
      <w14:textFill>
        <w14:solidFill>
          <w14:srgbClr w14:val="000000"/>
        </w14:solidFill>
      </w14:textFill>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5E5E5E"/>
      </a:dk2>
      <a:lt2>
        <a:srgbClr val="D5D5D5"/>
      </a:lt2>
      <a:accent1>
        <a:srgbClr val="00A2FF"/>
      </a:accent1>
      <a:accent2>
        <a:srgbClr val="16E7CF"/>
      </a:accent2>
      <a:accent3>
        <a:srgbClr val="61D836"/>
      </a:accent3>
      <a:accent4>
        <a:srgbClr val="FFD932"/>
      </a:accent4>
      <a:accent5>
        <a:srgbClr val="FF644E"/>
      </a:accent5>
      <a:accent6>
        <a:srgbClr val="FF42A1"/>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000000"/>
        </a:solidFill>
        <a:ln w="12700" cap="flat">
          <a:noFill/>
          <a:miter lim="400000"/>
        </a:ln>
        <a:effectLst/>
        <a:sp3d/>
      </a:spPr>
      <a:bodyPr rot="0" spcFirstLastPara="1" vertOverflow="overflow" horzOverflow="overflow" vert="horz" wrap="square" lIns="50800" tIns="50800" rIns="50800" bIns="50800" numCol="1" spcCol="38100" rtlCol="0" anchor="ctr" upright="0">
        <a:spAutoFit/>
      </a:bodyPr>
      <a:lstStyle>
        <a:defPPr marL="0" marR="0" indent="0" algn="ctr" defTabSz="584200" rtl="0" fontAlgn="auto" latinLnBrk="0"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uFillTx/>
            <a:latin typeface="Helvetica Neue Medium"/>
            <a:ea typeface="Helvetica Neue Medium"/>
            <a:cs typeface="Helvetica Neue Medium"/>
            <a:sym typeface="Helvetica Neue Medium"/>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