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hint="default" w:ascii="Verdana" w:hAnsi="Verdana"/>
          <w:b/>
          <w:i/>
          <w:color w:val="FF0000"/>
          <w:sz w:val="44"/>
        </w:rPr>
      </w:pPr>
    </w:p>
    <w:p>
      <w:pPr>
        <w:spacing w:after="160" w:line="259" w:lineRule="auto"/>
        <w:jc w:val="center"/>
        <w:rPr>
          <w:rFonts w:hint="default" w:ascii="Verdana" w:hAnsi="Verdana"/>
          <w:b/>
          <w:i/>
          <w:color w:val="FF0000"/>
          <w:sz w:val="44"/>
        </w:rPr>
      </w:pPr>
    </w:p>
    <w:p>
      <w:pPr>
        <w:spacing w:after="160" w:line="259" w:lineRule="auto"/>
        <w:jc w:val="center"/>
        <w:rPr>
          <w:rFonts w:hint="default" w:ascii="Verdana" w:hAnsi="Verdana"/>
          <w:b/>
          <w:i w:val="0"/>
          <w:iCs/>
          <w:color w:val="auto"/>
          <w:sz w:val="40"/>
          <w:szCs w:val="22"/>
        </w:rPr>
      </w:pPr>
      <w:r>
        <w:rPr>
          <w:rFonts w:hint="default" w:ascii="Verdana" w:hAnsi="Verdana"/>
          <w:b/>
          <w:i w:val="0"/>
          <w:iCs/>
          <w:color w:val="auto"/>
          <w:sz w:val="40"/>
          <w:szCs w:val="22"/>
        </w:rPr>
        <w:t>A New Approach to Performance Management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jc w:val="center"/>
        <w:textAlignment w:val="auto"/>
        <w:rPr>
          <w:lang w:eastAsia="en-GB"/>
        </w:rPr>
      </w:pPr>
      <w:r>
        <w:rPr>
          <w:lang w:eastAsia="en-GB"/>
        </w:rPr>
        <w:drawing>
          <wp:inline distT="0" distB="0" distL="0" distR="0">
            <wp:extent cx="1844675" cy="2046605"/>
            <wp:effectExtent l="0" t="0" r="9525" b="1079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44675" cy="2046605"/>
                    </a:xfrm>
                    <a:prstGeom prst="rect">
                      <a:avLst/>
                    </a:prstGeom>
                    <a:noFill/>
                    <a:ln>
                      <a:noFill/>
                    </a:ln>
                  </pic:spPr>
                </pic:pic>
              </a:graphicData>
            </a:graphic>
          </wp:inline>
        </w:drawing>
      </w:r>
    </w:p>
    <w:p>
      <w:pPr>
        <w:pageBreakBefore w:val="0"/>
        <w:kinsoku/>
        <w:wordWrap/>
        <w:overflowPunct/>
        <w:topLinePunct w:val="0"/>
        <w:autoSpaceDE/>
        <w:autoSpaceDN/>
        <w:bidi w:val="0"/>
        <w:adjustRightInd/>
        <w:snapToGrid/>
        <w:spacing w:line="360" w:lineRule="auto"/>
        <w:ind w:right="0" w:rightChars="0"/>
        <w:jc w:val="center"/>
        <w:textAlignment w:val="auto"/>
        <w:rPr>
          <w:rFonts w:hint="default"/>
          <w:lang w:eastAsia="en-GB"/>
        </w:rPr>
      </w:pPr>
    </w:p>
    <w:p>
      <w:pPr>
        <w:spacing w:after="160" w:line="259" w:lineRule="auto"/>
        <w:jc w:val="center"/>
        <w:rPr>
          <w:rFonts w:ascii="Verdana" w:hAnsi="Verdana"/>
          <w:b w:val="0"/>
          <w:bCs/>
          <w:caps/>
          <w:sz w:val="18"/>
          <w:szCs w:val="18"/>
        </w:rPr>
      </w:pPr>
      <w:r>
        <w:rPr>
          <w:rFonts w:hint="default" w:ascii="Verdana" w:hAnsi="Verdana"/>
          <w:b w:val="0"/>
          <w:bCs/>
          <w:sz w:val="44"/>
        </w:rPr>
        <w:t>January 2020</w:t>
      </w: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p>
      <w:pPr>
        <w:spacing w:after="160" w:line="259" w:lineRule="auto"/>
        <w:rPr>
          <w:rFonts w:ascii="Verdana" w:hAnsi="Verdana"/>
          <w:b/>
          <w:caps/>
          <w:sz w:val="18"/>
          <w:szCs w:val="18"/>
        </w:rPr>
      </w:pPr>
    </w:p>
    <w:tbl>
      <w:tblPr>
        <w:tblStyle w:val="11"/>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2"/>
        <w:gridCol w:w="53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2" w:type="dxa"/>
          </w:tcPr>
          <w:p>
            <w:pPr>
              <w:spacing w:after="160" w:line="259" w:lineRule="auto"/>
              <w:rPr>
                <w:rFonts w:ascii="Verdana" w:hAnsi="Verdana"/>
                <w:b/>
                <w:bCs w:val="0"/>
                <w:caps/>
                <w:color w:val="auto"/>
                <w:sz w:val="18"/>
                <w:szCs w:val="18"/>
                <w:vertAlign w:val="baseline"/>
              </w:rPr>
            </w:pPr>
            <w:r>
              <w:rPr>
                <w:rFonts w:ascii="Verdana" w:hAnsi="Verdana"/>
                <w:b/>
                <w:bCs w:val="0"/>
                <w:caps/>
                <w:color w:val="auto"/>
                <w:sz w:val="18"/>
                <w:szCs w:val="18"/>
              </w:rPr>
              <w:t>MODULE NAME</w:t>
            </w:r>
          </w:p>
        </w:tc>
        <w:tc>
          <w:tcPr>
            <w:tcW w:w="5366" w:type="dxa"/>
          </w:tcPr>
          <w:p>
            <w:pPr>
              <w:spacing w:after="160" w:line="259" w:lineRule="auto"/>
              <w:rPr>
                <w:rFonts w:ascii="Verdana" w:hAnsi="Verdana"/>
                <w:b w:val="0"/>
                <w:bCs/>
                <w:caps/>
                <w:color w:val="auto"/>
                <w:sz w:val="18"/>
                <w:szCs w:val="18"/>
                <w:vertAlign w:val="baseline"/>
              </w:rPr>
            </w:pPr>
            <w:r>
              <w:rPr>
                <w:rFonts w:ascii="Verdana" w:hAnsi="Verdana"/>
                <w:b w:val="0"/>
                <w:bCs/>
                <w:caps/>
                <w:color w:val="auto"/>
                <w:sz w:val="18"/>
                <w:szCs w:val="18"/>
                <w:vertAlign w:val="baseline"/>
              </w:rPr>
              <w:t>CONTEMPORARY HUMAN RESOURCES IN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2" w:type="dxa"/>
          </w:tcPr>
          <w:p>
            <w:pPr>
              <w:spacing w:after="160" w:line="259"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MODULE CODE</w:t>
            </w:r>
          </w:p>
        </w:tc>
        <w:tc>
          <w:tcPr>
            <w:tcW w:w="5366" w:type="dxa"/>
          </w:tcPr>
          <w:p>
            <w:pPr>
              <w:spacing w:after="160" w:line="259" w:lineRule="auto"/>
              <w:rPr>
                <w:rFonts w:hint="eastAsia" w:ascii="Verdana" w:hAnsi="Verdana"/>
                <w:b w:val="0"/>
                <w:bCs/>
                <w:caps/>
                <w:color w:val="auto"/>
                <w:sz w:val="18"/>
                <w:szCs w:val="18"/>
              </w:rPr>
            </w:pPr>
            <w:r>
              <w:rPr>
                <w:rFonts w:hint="eastAsia" w:ascii="Verdana" w:hAnsi="Verdana"/>
                <w:b w:val="0"/>
                <w:bCs/>
                <w:caps/>
                <w:color w:val="auto"/>
                <w:sz w:val="18"/>
                <w:szCs w:val="18"/>
              </w:rPr>
              <w:t>M</w:t>
            </w:r>
            <w:r>
              <w:rPr>
                <w:rFonts w:hint="default" w:ascii="Verdana" w:hAnsi="Verdana"/>
                <w:b w:val="0"/>
                <w:bCs/>
                <w:caps/>
                <w:color w:val="auto"/>
                <w:sz w:val="18"/>
                <w:szCs w:val="18"/>
              </w:rPr>
              <w:t>6X00873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2" w:type="dxa"/>
          </w:tcPr>
          <w:p>
            <w:pPr>
              <w:spacing w:after="160" w:line="259"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STUDENT NAME</w:t>
            </w:r>
          </w:p>
        </w:tc>
        <w:tc>
          <w:tcPr>
            <w:tcW w:w="5366" w:type="dxa"/>
          </w:tcPr>
          <w:p>
            <w:pPr>
              <w:spacing w:after="160" w:line="259" w:lineRule="auto"/>
              <w:rPr>
                <w:rFonts w:hint="eastAsia" w:ascii="Verdana" w:hAnsi="Verdana"/>
                <w:b w:val="0"/>
                <w:bCs/>
                <w:caps/>
                <w:color w:val="auto"/>
                <w:sz w:val="18"/>
                <w:szCs w:val="18"/>
              </w:rPr>
            </w:pPr>
            <w:r>
              <w:rPr>
                <w:rFonts w:hint="default" w:ascii="Verdana" w:hAnsi="Verdana"/>
                <w:b w:val="0"/>
                <w:bCs/>
                <w:caps/>
                <w:color w:val="auto"/>
                <w:sz w:val="18"/>
                <w:szCs w:val="18"/>
              </w:rPr>
              <w:t>ZIPING WANG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2" w:type="dxa"/>
          </w:tcPr>
          <w:p>
            <w:pPr>
              <w:spacing w:after="160" w:line="259" w:lineRule="auto"/>
              <w:rPr>
                <w:rFonts w:ascii="Verdana" w:hAnsi="Verdana"/>
                <w:b/>
                <w:bCs w:val="0"/>
                <w:caps/>
                <w:color w:val="auto"/>
                <w:sz w:val="18"/>
                <w:szCs w:val="18"/>
                <w:vertAlign w:val="baseline"/>
              </w:rPr>
            </w:pPr>
            <w:r>
              <w:rPr>
                <w:rFonts w:ascii="Verdana" w:hAnsi="Verdana"/>
                <w:b/>
                <w:bCs w:val="0"/>
                <w:caps/>
                <w:color w:val="auto"/>
                <w:sz w:val="18"/>
                <w:szCs w:val="18"/>
                <w:vertAlign w:val="baseline"/>
              </w:rPr>
              <w:t>STUDENT NUMBER</w:t>
            </w:r>
          </w:p>
        </w:tc>
        <w:tc>
          <w:tcPr>
            <w:tcW w:w="5366" w:type="dxa"/>
          </w:tcPr>
          <w:p>
            <w:pPr>
              <w:spacing w:after="160" w:line="259" w:lineRule="auto"/>
              <w:rPr>
                <w:rFonts w:hint="eastAsia" w:ascii="Verdana" w:hAnsi="Verdana"/>
                <w:b w:val="0"/>
                <w:bCs/>
                <w:caps/>
                <w:color w:val="auto"/>
                <w:sz w:val="18"/>
                <w:szCs w:val="18"/>
              </w:rPr>
            </w:pPr>
            <w:r>
              <w:rPr>
                <w:rFonts w:hint="default" w:ascii="Verdana" w:hAnsi="Verdana"/>
                <w:b w:val="0"/>
                <w:bCs/>
                <w:caps/>
                <w:color w:val="auto"/>
                <w:sz w:val="18"/>
                <w:szCs w:val="18"/>
              </w:rPr>
              <w:t>1900407</w:t>
            </w:r>
          </w:p>
        </w:tc>
      </w:tr>
    </w:tbl>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start="1"/>
          <w:cols w:space="0" w:num="1"/>
          <w:rtlGutter w:val="0"/>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r>
        <w:rPr>
          <w:rFonts w:hint="default" w:ascii="Times New Roman" w:hAnsi="Times New Roman" w:cs="Times New Roman"/>
          <w:b/>
          <w:sz w:val="32"/>
          <w:szCs w:val="32"/>
        </w:rPr>
        <w:t>Executive Summary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This report provides an analysis and evaluation of human resource management for the company in the case study, with particular emphasis on performance management. Through discussion of the issues regarding the traditional annual performance review, finding the relevance between the employee engagement and the performance management approaches in the organisation to explore a more flexible approach for case company.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Recently, the employees’ participation rates of the this company have decreased and the completion rates of performance management has been average, through summarized several academic sources, ‘Could do better? Assessing what works in performance management’ (Gifford, 2016) and ‘Initial Findings From Performance Management TAG Research’ (Boot et al, 2018), etc. Two issues appear in traditional performance management, namely, inflexible and infrequency.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Through Lewin’s Force Field Model known there is a general trend is forcing enterprises to make changes, in addition to the arrival of a new era which is seeing a new generation, requiring management approaches to meet the new trend. The Kluber-Ross change curve indicated that change is difficult for the organisation because people might be shocked and in denial, when facing new things, the result might be that businesses are at risk of failing to change.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By comparison, the goals in the highly engaged department are more inclined towards departments’ objectives than individuals as well as being more suitable for the actual current situation of the department (Cappelli and Tavis, 2016; Boot et al, 2018; Corgnet, 2015). Additionally, the line manager, has an integral part of performance management (Gifford, 2016), to provide consistent feedback and monitoring so that goals are kept on track.</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Overall, the recommendations are:</w:t>
      </w:r>
    </w:p>
    <w:p>
      <w:pPr>
        <w:pageBreakBefore w:val="0"/>
        <w:numPr>
          <w:ilvl w:val="0"/>
          <w:numId w:val="1"/>
        </w:numPr>
        <w:kinsoku/>
        <w:wordWrap/>
        <w:overflowPunct/>
        <w:topLinePunct w:val="0"/>
        <w:autoSpaceDE/>
        <w:autoSpaceDN/>
        <w:bidi w:val="0"/>
        <w:adjustRightInd/>
        <w:snapToGrid/>
        <w:spacing w:line="24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traditional annual performance review should be replaced.</w:t>
      </w:r>
    </w:p>
    <w:p>
      <w:pPr>
        <w:pageBreakBefore w:val="0"/>
        <w:numPr>
          <w:ilvl w:val="0"/>
          <w:numId w:val="1"/>
        </w:numPr>
        <w:kinsoku/>
        <w:wordWrap/>
        <w:overflowPunct/>
        <w:topLinePunct w:val="0"/>
        <w:autoSpaceDE/>
        <w:autoSpaceDN/>
        <w:bidi w:val="0"/>
        <w:adjustRightInd/>
        <w:snapToGrid/>
        <w:spacing w:line="24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Change management is a strategy for organisations to embrace new developments.</w:t>
      </w:r>
    </w:p>
    <w:p>
      <w:pPr>
        <w:pageBreakBefore w:val="0"/>
        <w:numPr>
          <w:ilvl w:val="0"/>
          <w:numId w:val="1"/>
        </w:numPr>
        <w:kinsoku/>
        <w:wordWrap/>
        <w:overflowPunct/>
        <w:topLinePunct w:val="0"/>
        <w:autoSpaceDE/>
        <w:autoSpaceDN/>
        <w:bidi w:val="0"/>
        <w:adjustRightInd/>
        <w:snapToGrid/>
        <w:spacing w:line="24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line manager should be involve in the goals-setting.</w:t>
      </w:r>
    </w:p>
    <w:p>
      <w:pPr>
        <w:pageBreakBefore w:val="0"/>
        <w:numPr>
          <w:ilvl w:val="0"/>
          <w:numId w:val="1"/>
        </w:numPr>
        <w:kinsoku/>
        <w:wordWrap/>
        <w:overflowPunct/>
        <w:topLinePunct w:val="0"/>
        <w:autoSpaceDE/>
        <w:autoSpaceDN/>
        <w:bidi w:val="0"/>
        <w:adjustRightInd/>
        <w:snapToGrid/>
        <w:spacing w:line="24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Adopting to more flexible p</w:t>
      </w:r>
      <w:bookmarkStart w:id="33" w:name="_GoBack"/>
      <w:bookmarkEnd w:id="33"/>
      <w:r>
        <w:rPr>
          <w:rFonts w:hint="default" w:ascii="Times New Roman" w:hAnsi="Times New Roman" w:cs="Times New Roman"/>
          <w:sz w:val="24"/>
          <w:szCs w:val="24"/>
        </w:rPr>
        <w:t>erformance management approach</w:t>
      </w:r>
    </w:p>
    <w:p>
      <w:pPr>
        <w:pageBreakBefore w:val="0"/>
        <w:kinsoku/>
        <w:wordWrap/>
        <w:overflowPunct/>
        <w:topLinePunct w:val="0"/>
        <w:autoSpaceDE/>
        <w:autoSpaceDN/>
        <w:bidi w:val="0"/>
        <w:adjustRightInd/>
        <w:snapToGrid/>
        <w:spacing w:line="240" w:lineRule="auto"/>
        <w:ind w:right="0" w:rightChars="0"/>
        <w:textAlignment w:val="auto"/>
        <w:rPr>
          <w:rFonts w:hint="default" w:ascii="Times New Roman" w:hAnsi="Times New Roman" w:cs="Times New Roman"/>
          <w:sz w:val="24"/>
          <w:szCs w:val="24"/>
        </w:rPr>
        <w:sectPr>
          <w:footerReference r:id="rId3" w:type="default"/>
          <w:pgSz w:w="11906" w:h="16838"/>
          <w:pgMar w:top="1134" w:right="1134" w:bottom="1134" w:left="1134" w:header="851" w:footer="992" w:gutter="0"/>
          <w:pgNumType w:fmt="decimal"/>
          <w:cols w:space="425" w:num="1"/>
          <w:docGrid w:type="lines" w:linePitch="312" w:charSpace="0"/>
        </w:sectPr>
      </w:pPr>
    </w:p>
    <w:p>
      <w:pPr>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pPr>
      <w:r>
        <w:rPr>
          <w:rFonts w:hint="default" w:ascii="Times New Roman" w:hAnsi="Times New Roman" w:eastAsia="宋体" w:cs="Times New Roman"/>
          <w:b/>
          <w:bCs/>
          <w:sz w:val="28"/>
          <w:szCs w:val="28"/>
        </w:rPr>
        <w:t>Table of Contents</w:t>
      </w:r>
    </w:p>
    <w:sdt>
      <w:sdtPr>
        <w:rPr>
          <w:rFonts w:hint="default" w:ascii="Times New Roman" w:hAnsi="Times New Roman" w:eastAsia="宋体" w:cs="Times New Roman"/>
          <w:b/>
          <w:bCs/>
          <w:kern w:val="2"/>
          <w:sz w:val="24"/>
          <w:szCs w:val="24"/>
          <w:lang w:val="en-US" w:eastAsia="zh-CN" w:bidi="ar-SA"/>
        </w:rPr>
        <w:id w:val="666555617"/>
        <w15:color w:val="DBDBDB"/>
      </w:sdtPr>
      <w:sdtEndPr>
        <w:rPr>
          <w:rFonts w:hint="default" w:ascii="Times New Roman" w:hAnsi="Times New Roman" w:eastAsia="宋体" w:cs="Times New Roman"/>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129084871"/>
            <w15:color w:val="DBDBDB"/>
          </w:sdtPr>
          <w:sdtEndPr>
            <w:rPr>
              <w:rFonts w:hint="default" w:ascii="Times New Roman" w:hAnsi="Times New Roman" w:cs="Times New Roman" w:eastAsiaTheme="minorEastAsia"/>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28010004"/>
                <w15:color w:val="DBDBDB"/>
              </w:sdtPr>
              <w:sdtEndPr>
                <w:rPr>
                  <w:rFonts w:hint="default" w:ascii="Times New Roman" w:hAnsi="Times New Roman" w:cs="Times New Roman" w:eastAsiaTheme="minorEastAsia"/>
                  <w:b/>
                  <w:bCs/>
                  <w:kern w:val="2"/>
                  <w:sz w:val="24"/>
                  <w:szCs w:val="24"/>
                  <w:lang w:val="en-US" w:eastAsia="zh-CN" w:bidi="ar-SA"/>
                </w:rPr>
              </w:sdtEndPr>
              <w:sdtContent>
                <w:sdt>
                  <w:sdtPr>
                    <w:rPr>
                      <w:rFonts w:hint="default" w:ascii="Times New Roman" w:hAnsi="Times New Roman" w:eastAsia="宋体" w:cs="Times New Roman"/>
                      <w:b/>
                      <w:bCs/>
                      <w:kern w:val="2"/>
                      <w:sz w:val="24"/>
                      <w:szCs w:val="24"/>
                      <w:lang w:val="en-US" w:eastAsia="zh-CN" w:bidi="ar-SA"/>
                    </w:rPr>
                    <w:id w:val="947554895"/>
                    <w15:color w:val="DBDBDB"/>
                  </w:sdtPr>
                  <w:sdtEndPr>
                    <w:rPr>
                      <w:rFonts w:hint="default" w:asciiTheme="minorHAnsi" w:hAnsiTheme="minorHAnsi" w:eastAsiaTheme="minorEastAsia" w:cstheme="minorBidi"/>
                      <w:b/>
                      <w:bCs/>
                      <w:color w:val="auto"/>
                      <w:kern w:val="2"/>
                      <w:sz w:val="20"/>
                      <w:szCs w:val="20"/>
                      <w:u w:val="none"/>
                      <w:lang w:val="en-US" w:eastAsia="zh-CN" w:bidi="ar-SA"/>
                    </w:rPr>
                  </w:sdtEndPr>
                  <w:sdtContent>
                    <w:p>
                      <w:pPr>
                        <w:pageBreakBefore w:val="0"/>
                        <w:kinsoku/>
                        <w:wordWrap/>
                        <w:overflowPunct/>
                        <w:topLinePunct w:val="0"/>
                        <w:autoSpaceDE/>
                        <w:autoSpaceDN/>
                        <w:bidi w:val="0"/>
                        <w:adjustRightInd/>
                        <w:snapToGrid/>
                        <w:spacing w:before="0" w:beforeLines="0" w:after="0" w:afterLines="0" w:line="360" w:lineRule="auto"/>
                        <w:ind w:left="0" w:leftChars="0" w:right="0" w:rightChars="0" w:firstLine="0" w:firstLineChars="0"/>
                        <w:jc w:val="center"/>
                        <w:textAlignment w:val="auto"/>
                      </w:pPr>
                      <w:bookmarkStart w:id="0" w:name="_Toc1538110956_WPSOffice_Type2"/>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_Toc1892120106_WPSOffice_Level1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2921a200-e6e1-477c-bb2e-40f02de7bf0b}"/>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1.0 Introduction</w:t>
                          </w:r>
                        </w:sdtContent>
                      </w:sdt>
                      <w:r>
                        <w:rPr>
                          <w:b/>
                          <w:bCs/>
                          <w:color w:val="auto"/>
                          <w:u w:val="none"/>
                        </w:rPr>
                        <w:tab/>
                      </w:r>
                      <w:bookmarkStart w:id="1" w:name="_Toc1892120106_WPSOffice_Level1Page"/>
                      <w:r>
                        <w:rPr>
                          <w:b/>
                          <w:bCs/>
                          <w:color w:val="auto"/>
                          <w:u w:val="none"/>
                        </w:rPr>
                        <w:t>1</w:t>
                      </w:r>
                      <w:bookmarkEnd w:id="1"/>
                      <w:r>
                        <w:rPr>
                          <w:b/>
                          <w:bCs/>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_Toc1538110956_WPSOffice_Level1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487653e2-f00a-41ea-b008-61706dcdb8ee}"/>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2.0 Literature Review</w:t>
                          </w:r>
                        </w:sdtContent>
                      </w:sdt>
                      <w:r>
                        <w:rPr>
                          <w:b/>
                          <w:bCs/>
                          <w:color w:val="auto"/>
                          <w:u w:val="none"/>
                        </w:rPr>
                        <w:tab/>
                      </w:r>
                      <w:bookmarkStart w:id="2" w:name="_Toc1538110956_WPSOffice_Level1Page"/>
                      <w:r>
                        <w:rPr>
                          <w:b/>
                          <w:bCs/>
                          <w:color w:val="auto"/>
                          <w:u w:val="none"/>
                        </w:rPr>
                        <w:t>2</w:t>
                      </w:r>
                      <w:bookmarkEnd w:id="2"/>
                      <w:r>
                        <w:rPr>
                          <w:b/>
                          <w:bCs/>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_Toc1538110956_WPSOffice_Level2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7e935863-d94c-4193-9102-18ba7eccaedf}"/>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2.1 Performance Management</w:t>
                          </w:r>
                        </w:sdtContent>
                      </w:sdt>
                      <w:r>
                        <w:rPr>
                          <w:color w:val="auto"/>
                          <w:u w:val="none"/>
                        </w:rPr>
                        <w:tab/>
                      </w:r>
                      <w:bookmarkStart w:id="3" w:name="_Toc1538110956_WPSOffice_Level2Page"/>
                      <w:r>
                        <w:rPr>
                          <w:color w:val="auto"/>
                          <w:u w:val="none"/>
                        </w:rPr>
                        <w:t>2</w:t>
                      </w:r>
                      <w:bookmarkEnd w:id="3"/>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_Toc1770178553_WPSOffice_Level2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59243ea0-ed48-4a6d-8e8b-1c7dce038888}"/>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2.2 Traditional Performance Management</w:t>
                          </w:r>
                        </w:sdtContent>
                      </w:sdt>
                      <w:r>
                        <w:rPr>
                          <w:color w:val="auto"/>
                          <w:u w:val="none"/>
                        </w:rPr>
                        <w:tab/>
                      </w:r>
                      <w:bookmarkStart w:id="4" w:name="_Toc1770178553_WPSOffice_Level2Page"/>
                      <w:r>
                        <w:rPr>
                          <w:color w:val="auto"/>
                          <w:u w:val="none"/>
                        </w:rPr>
                        <w:t>2</w:t>
                      </w:r>
                      <w:bookmarkEnd w:id="4"/>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_Toc152494733_WPSOffice_Level2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821b8c1b-cb3e-435b-ba7a-fb877e7749d0}"/>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2.3 Analysis of whether Changes Are Needed</w:t>
                          </w:r>
                        </w:sdtContent>
                      </w:sdt>
                      <w:r>
                        <w:rPr>
                          <w:color w:val="auto"/>
                          <w:u w:val="none"/>
                        </w:rPr>
                        <w:tab/>
                      </w:r>
                      <w:bookmarkStart w:id="5" w:name="_Toc152494733_WPSOffice_Level2Page"/>
                      <w:r>
                        <w:rPr>
                          <w:color w:val="auto"/>
                          <w:u w:val="none"/>
                        </w:rPr>
                        <w:t>3</w:t>
                      </w:r>
                      <w:bookmarkEnd w:id="5"/>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_Toc1030986660_WPSOffice_Level2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8a8d37c9-6783-45f9-a4db-b1263f58fa40}"/>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2.4 Creating a Highly Engaged Organisation</w:t>
                          </w:r>
                        </w:sdtContent>
                      </w:sdt>
                      <w:r>
                        <w:rPr>
                          <w:color w:val="auto"/>
                          <w:u w:val="none"/>
                        </w:rPr>
                        <w:tab/>
                      </w:r>
                      <w:bookmarkStart w:id="6" w:name="_Toc1030986660_WPSOffice_Level2Page"/>
                      <w:r>
                        <w:rPr>
                          <w:color w:val="auto"/>
                          <w:u w:val="none"/>
                        </w:rPr>
                        <w:t>4</w:t>
                      </w:r>
                      <w:bookmarkEnd w:id="6"/>
                      <w:r>
                        <w:rPr>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_Toc1770178553_WPSOffice_Level1 </w:instrText>
                      </w:r>
                      <w:r>
                        <w:rPr>
                          <w:b/>
                          <w:bCs/>
                          <w:color w:val="auto"/>
                          <w:u w:val="none"/>
                        </w:rPr>
                        <w:fldChar w:fldCharType="separate"/>
                      </w:r>
                      <w:sdt>
                        <w:sdtPr>
                          <w:rPr>
                            <w:rStyle w:val="8"/>
                            <w:rFonts w:asciiTheme="minorHAnsi" w:hAnsiTheme="minorHAnsi" w:eastAsiaTheme="minorEastAsia" w:cstheme="minorBidi"/>
                            <w:b/>
                            <w:bCs/>
                            <w:color w:val="auto"/>
                            <w:kern w:val="2"/>
                            <w:sz w:val="21"/>
                            <w:szCs w:val="24"/>
                            <w:u w:val="none"/>
                            <w:lang w:val="en-US" w:eastAsia="zh-CN" w:bidi="ar-SA"/>
                          </w:rPr>
                          <w:id w:val="947554895"/>
                          <w:placeholder>
                            <w:docPart w:val="{c51604f4-2fc5-4f63-93c2-e75000bdd55c}"/>
                          </w:placeholder>
                          <w15:color w:val="509DF3"/>
                        </w:sdtPr>
                        <w:sdtEndPr>
                          <w:rPr>
                            <w:rStyle w:val="8"/>
                            <w:rFonts w:asciiTheme="minorHAnsi" w:hAnsiTheme="minorHAnsi" w:eastAsiaTheme="minorEastAsia" w:cstheme="minorBidi"/>
                            <w:b/>
                            <w:bCs/>
                            <w:color w:val="auto"/>
                            <w:kern w:val="2"/>
                            <w:sz w:val="21"/>
                            <w:szCs w:val="24"/>
                            <w:u w:val="none"/>
                            <w:lang w:val="en-US" w:eastAsia="zh-CN" w:bidi="ar-SA"/>
                          </w:rPr>
                        </w:sdtEndPr>
                        <w:sdtContent>
                          <w:r>
                            <w:rPr>
                              <w:rStyle w:val="8"/>
                              <w:rFonts w:hint="default" w:ascii="Times New Roman" w:hAnsi="Times New Roman" w:cs="Times New Roman" w:eastAsiaTheme="minorEastAsia"/>
                              <w:b/>
                              <w:bCs/>
                              <w:color w:val="auto"/>
                              <w:u w:val="none"/>
                            </w:rPr>
                            <w:t>3.0 Discussion</w:t>
                          </w:r>
                        </w:sdtContent>
                      </w:sdt>
                      <w:r>
                        <w:rPr>
                          <w:rStyle w:val="8"/>
                          <w:b/>
                          <w:bCs/>
                          <w:color w:val="auto"/>
                          <w:u w:val="none"/>
                        </w:rPr>
                        <w:tab/>
                      </w:r>
                      <w:bookmarkStart w:id="7" w:name="_Toc1770178553_WPSOffice_Level1Page"/>
                      <w:r>
                        <w:rPr>
                          <w:rStyle w:val="8"/>
                          <w:b/>
                          <w:bCs/>
                          <w:color w:val="auto"/>
                          <w:u w:val="none"/>
                        </w:rPr>
                        <w:t>6</w:t>
                      </w:r>
                      <w:bookmarkEnd w:id="7"/>
                      <w:r>
                        <w:rPr>
                          <w:b/>
                          <w:bCs/>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_Toc1894730624_WPSOffice_Level2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b5a62459-db79-4c39-b960-cc1db3cd9fcd}"/>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3.1 Traditional Rating Scale</w:t>
                          </w:r>
                        </w:sdtContent>
                      </w:sdt>
                      <w:r>
                        <w:rPr>
                          <w:color w:val="auto"/>
                          <w:u w:val="none"/>
                        </w:rPr>
                        <w:tab/>
                      </w:r>
                      <w:bookmarkStart w:id="8" w:name="_Toc1894730624_WPSOffice_Level2Page"/>
                      <w:r>
                        <w:rPr>
                          <w:color w:val="auto"/>
                          <w:u w:val="none"/>
                        </w:rPr>
                        <w:t>6</w:t>
                      </w:r>
                      <w:bookmarkEnd w:id="8"/>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_Toc1850079852_WPSOffice_Level2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2d9c3427-3cd6-4eda-8a5f-2ec19fa122f6}"/>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3.2 Performance Criteria</w:t>
                          </w:r>
                        </w:sdtContent>
                      </w:sdt>
                      <w:r>
                        <w:rPr>
                          <w:color w:val="auto"/>
                          <w:u w:val="none"/>
                        </w:rPr>
                        <w:tab/>
                      </w:r>
                      <w:bookmarkStart w:id="9" w:name="_Toc1850079852_WPSOffice_Level2Page"/>
                      <w:r>
                        <w:rPr>
                          <w:color w:val="auto"/>
                          <w:u w:val="none"/>
                        </w:rPr>
                        <w:t>6</w:t>
                      </w:r>
                      <w:bookmarkEnd w:id="9"/>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_Toc876347651_WPSOffice_Level2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2a8474de-3e84-4b8d-9cfe-a9ac92598269}"/>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3.3 New IT system</w:t>
                          </w:r>
                        </w:sdtContent>
                      </w:sdt>
                      <w:r>
                        <w:rPr>
                          <w:color w:val="auto"/>
                          <w:u w:val="none"/>
                        </w:rPr>
                        <w:tab/>
                      </w:r>
                      <w:bookmarkStart w:id="10" w:name="_Toc876347651_WPSOffice_Level2Page"/>
                      <w:r>
                        <w:rPr>
                          <w:color w:val="auto"/>
                          <w:u w:val="none"/>
                        </w:rPr>
                        <w:t>7</w:t>
                      </w:r>
                      <w:bookmarkEnd w:id="10"/>
                      <w:r>
                        <w:rPr>
                          <w:color w:val="auto"/>
                          <w:u w:val="none"/>
                        </w:rPr>
                        <w:fldChar w:fldCharType="end"/>
                      </w:r>
                    </w:p>
                    <w:p>
                      <w:pPr>
                        <w:pStyle w:val="13"/>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color w:val="auto"/>
                          <w:u w:val="none"/>
                        </w:rPr>
                        <w:fldChar w:fldCharType="begin"/>
                      </w:r>
                      <w:r>
                        <w:rPr>
                          <w:color w:val="auto"/>
                          <w:u w:val="none"/>
                        </w:rPr>
                        <w:instrText xml:space="preserve"> HYPERLINK \l _Toc1332119231_WPSOffice_Level2 </w:instrText>
                      </w:r>
                      <w:r>
                        <w:rPr>
                          <w:color w:val="auto"/>
                          <w:u w:val="none"/>
                        </w:rPr>
                        <w:fldChar w:fldCharType="separate"/>
                      </w:r>
                      <w:sdt>
                        <w:sdtPr>
                          <w:rPr>
                            <w:rFonts w:asciiTheme="minorHAnsi" w:hAnsiTheme="minorHAnsi" w:eastAsiaTheme="minorEastAsia" w:cstheme="minorBidi"/>
                            <w:color w:val="auto"/>
                            <w:kern w:val="2"/>
                            <w:sz w:val="21"/>
                            <w:szCs w:val="24"/>
                            <w:u w:val="none"/>
                            <w:lang w:val="en-US" w:eastAsia="zh-CN" w:bidi="ar-SA"/>
                          </w:rPr>
                          <w:id w:val="947554895"/>
                          <w:placeholder>
                            <w:docPart w:val="{cd52fd6a-bc22-4a5b-b929-f1ff8fe98ab3}"/>
                          </w:placeholder>
                          <w15:color w:val="509DF3"/>
                        </w:sdtPr>
                        <w:sdtEndPr>
                          <w:rPr>
                            <w:rFonts w:asciiTheme="minorHAnsi" w:hAnsiTheme="minorHAnsi" w:eastAsiaTheme="minorEastAsia" w:cstheme="minorBidi"/>
                            <w:color w:val="auto"/>
                            <w:kern w:val="2"/>
                            <w:sz w:val="21"/>
                            <w:szCs w:val="24"/>
                            <w:u w:val="none"/>
                            <w:lang w:val="en-US" w:eastAsia="zh-CN" w:bidi="ar-SA"/>
                          </w:rPr>
                        </w:sdtEndPr>
                        <w:sdtContent>
                          <w:r>
                            <w:rPr>
                              <w:rFonts w:hint="default" w:ascii="Times New Roman" w:hAnsi="Times New Roman" w:eastAsia="方正黑体_GBK" w:cs="Times New Roman"/>
                              <w:color w:val="auto"/>
                              <w:u w:val="none"/>
                            </w:rPr>
                            <w:t>3.3 Annual Appraisal Process</w:t>
                          </w:r>
                        </w:sdtContent>
                      </w:sdt>
                      <w:r>
                        <w:rPr>
                          <w:color w:val="auto"/>
                          <w:u w:val="none"/>
                        </w:rPr>
                        <w:tab/>
                      </w:r>
                      <w:bookmarkStart w:id="11" w:name="_Toc1332119231_WPSOffice_Level2Page"/>
                      <w:r>
                        <w:rPr>
                          <w:color w:val="auto"/>
                          <w:u w:val="none"/>
                        </w:rPr>
                        <w:t>7</w:t>
                      </w:r>
                      <w:bookmarkEnd w:id="11"/>
                      <w:r>
                        <w:rPr>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_Toc152494733_WPSOffice_Level1 </w:instrText>
                      </w:r>
                      <w:r>
                        <w:rPr>
                          <w:b/>
                          <w:bCs/>
                          <w:color w:val="auto"/>
                          <w:u w:val="none"/>
                        </w:rPr>
                        <w:fldChar w:fldCharType="separate"/>
                      </w:r>
                      <w:sdt>
                        <w:sdtPr>
                          <w:rPr>
                            <w:rStyle w:val="8"/>
                            <w:rFonts w:asciiTheme="minorHAnsi" w:hAnsiTheme="minorHAnsi" w:eastAsiaTheme="minorEastAsia" w:cstheme="minorBidi"/>
                            <w:b/>
                            <w:bCs/>
                            <w:color w:val="auto"/>
                            <w:kern w:val="2"/>
                            <w:sz w:val="21"/>
                            <w:szCs w:val="24"/>
                            <w:u w:val="none"/>
                            <w:lang w:val="en-US" w:eastAsia="zh-CN" w:bidi="ar-SA"/>
                          </w:rPr>
                          <w:id w:val="947554895"/>
                          <w:placeholder>
                            <w:docPart w:val="{f1d8a7e7-ee95-4569-a0a4-33b7457cb372}"/>
                          </w:placeholder>
                          <w15:color w:val="509DF3"/>
                        </w:sdtPr>
                        <w:sdtEndPr>
                          <w:rPr>
                            <w:rStyle w:val="8"/>
                            <w:rFonts w:asciiTheme="minorHAnsi" w:hAnsiTheme="minorHAnsi" w:eastAsiaTheme="minorEastAsia" w:cstheme="minorBidi"/>
                            <w:b/>
                            <w:bCs/>
                            <w:color w:val="auto"/>
                            <w:kern w:val="2"/>
                            <w:sz w:val="21"/>
                            <w:szCs w:val="24"/>
                            <w:u w:val="none"/>
                            <w:lang w:val="en-US" w:eastAsia="zh-CN" w:bidi="ar-SA"/>
                          </w:rPr>
                        </w:sdtEndPr>
                        <w:sdtContent>
                          <w:r>
                            <w:rPr>
                              <w:rStyle w:val="8"/>
                              <w:rFonts w:hint="default" w:ascii="Times New Roman" w:hAnsi="Times New Roman" w:cs="Times New Roman" w:eastAsiaTheme="minorEastAsia"/>
                              <w:b/>
                              <w:bCs/>
                              <w:color w:val="auto"/>
                              <w:u w:val="none"/>
                            </w:rPr>
                            <w:t>4.0 Conclusions</w:t>
                          </w:r>
                        </w:sdtContent>
                      </w:sdt>
                      <w:r>
                        <w:rPr>
                          <w:rStyle w:val="8"/>
                          <w:b/>
                          <w:bCs/>
                          <w:color w:val="auto"/>
                          <w:u w:val="none"/>
                        </w:rPr>
                        <w:tab/>
                      </w:r>
                      <w:bookmarkStart w:id="12" w:name="_Toc152494733_WPSOffice_Level1Page"/>
                      <w:r>
                        <w:rPr>
                          <w:rStyle w:val="8"/>
                          <w:b/>
                          <w:bCs/>
                          <w:color w:val="auto"/>
                          <w:u w:val="none"/>
                        </w:rPr>
                        <w:t>8</w:t>
                      </w:r>
                      <w:bookmarkEnd w:id="12"/>
                      <w:r>
                        <w:rPr>
                          <w:b/>
                          <w:bCs/>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_Toc1030986660_WPSOffice_Level1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22007b77-290f-4b8b-ba47-76576b5fb0f2}"/>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5.0 Recommendations</w:t>
                          </w:r>
                        </w:sdtContent>
                      </w:sdt>
                      <w:r>
                        <w:rPr>
                          <w:b/>
                          <w:bCs/>
                          <w:color w:val="auto"/>
                          <w:u w:val="none"/>
                        </w:rPr>
                        <w:tab/>
                      </w:r>
                      <w:bookmarkStart w:id="13" w:name="_Toc1030986660_WPSOffice_Level1Page"/>
                      <w:r>
                        <w:rPr>
                          <w:b/>
                          <w:bCs/>
                          <w:color w:val="auto"/>
                          <w:u w:val="none"/>
                        </w:rPr>
                        <w:t>9</w:t>
                      </w:r>
                      <w:bookmarkEnd w:id="13"/>
                      <w:r>
                        <w:rPr>
                          <w:b/>
                          <w:bCs/>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_Toc1894730624_WPSOffice_Level1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fc79df49-be42-4e6d-a3f7-dd9b39a9d9e3}"/>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6.0 References</w:t>
                          </w:r>
                        </w:sdtContent>
                      </w:sdt>
                      <w:r>
                        <w:rPr>
                          <w:b/>
                          <w:bCs/>
                          <w:color w:val="auto"/>
                          <w:u w:val="none"/>
                        </w:rPr>
                        <w:tab/>
                      </w:r>
                      <w:bookmarkStart w:id="14" w:name="_Toc1894730624_WPSOffice_Level1Page"/>
                      <w:r>
                        <w:rPr>
                          <w:b/>
                          <w:bCs/>
                          <w:color w:val="auto"/>
                          <w:u w:val="none"/>
                        </w:rPr>
                        <w:t>10</w:t>
                      </w:r>
                      <w:bookmarkEnd w:id="14"/>
                      <w:r>
                        <w:rPr>
                          <w:b/>
                          <w:bCs/>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_Toc1850079852_WPSOffice_Level1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437eeae3-c93e-4284-9ba9-6e96049c42e1}"/>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Appendix I Generation in the Workplac</w:t>
                          </w:r>
                          <w:r>
                            <w:rPr>
                              <w:rFonts w:hint="default" w:ascii="Times New Roman" w:hAnsi="Times New Roman" w:cs="Times New Roman"/>
                              <w:b/>
                              <w:bCs/>
                              <w:color w:val="auto"/>
                              <w:u w:val="none"/>
                            </w:rPr>
                            <w:t>e</w:t>
                          </w:r>
                        </w:sdtContent>
                      </w:sdt>
                      <w:r>
                        <w:rPr>
                          <w:b/>
                          <w:bCs/>
                          <w:color w:val="auto"/>
                          <w:u w:val="none"/>
                        </w:rPr>
                        <w:tab/>
                      </w:r>
                      <w:bookmarkStart w:id="15" w:name="_Toc1850079852_WPSOffice_Level1Page"/>
                      <w:r>
                        <w:rPr>
                          <w:b/>
                          <w:bCs/>
                          <w:color w:val="auto"/>
                          <w:u w:val="none"/>
                        </w:rPr>
                        <w:t>13</w:t>
                      </w:r>
                      <w:bookmarkEnd w:id="15"/>
                      <w:r>
                        <w:rPr>
                          <w:b/>
                          <w:bCs/>
                          <w:color w:val="auto"/>
                          <w:u w:val="none"/>
                        </w:rPr>
                        <w:fldChar w:fldCharType="end"/>
                      </w:r>
                    </w:p>
                    <w:p>
                      <w:pPr>
                        <w:pStyle w:val="12"/>
                        <w:pageBreakBefore w:val="0"/>
                        <w:tabs>
                          <w:tab w:val="right" w:leader="dot" w:pos="8306"/>
                        </w:tabs>
                        <w:kinsoku/>
                        <w:wordWrap/>
                        <w:overflowPunct/>
                        <w:topLinePunct w:val="0"/>
                        <w:autoSpaceDE/>
                        <w:autoSpaceDN/>
                        <w:bidi w:val="0"/>
                        <w:adjustRightInd/>
                        <w:snapToGrid/>
                        <w:spacing w:line="360" w:lineRule="auto"/>
                        <w:ind w:right="0" w:rightChars="0"/>
                        <w:jc w:val="center"/>
                        <w:textAlignment w:val="auto"/>
                        <w:rPr>
                          <w:color w:val="auto"/>
                          <w:u w:val="none"/>
                        </w:rPr>
                      </w:pPr>
                      <w:r>
                        <w:rPr>
                          <w:b/>
                          <w:bCs/>
                          <w:color w:val="auto"/>
                          <w:u w:val="none"/>
                        </w:rPr>
                        <w:fldChar w:fldCharType="begin"/>
                      </w:r>
                      <w:r>
                        <w:rPr>
                          <w:color w:val="auto"/>
                          <w:u w:val="none"/>
                        </w:rPr>
                        <w:instrText xml:space="preserve"> HYPERLINK \l _Toc876347651_WPSOffice_Level1 </w:instrText>
                      </w:r>
                      <w:r>
                        <w:rPr>
                          <w:b/>
                          <w:bCs/>
                          <w:color w:val="auto"/>
                          <w:u w:val="none"/>
                        </w:rPr>
                        <w:fldChar w:fldCharType="separate"/>
                      </w:r>
                      <w:sdt>
                        <w:sdtPr>
                          <w:rPr>
                            <w:rFonts w:asciiTheme="minorHAnsi" w:hAnsiTheme="minorHAnsi" w:eastAsiaTheme="minorEastAsia" w:cstheme="minorBidi"/>
                            <w:b/>
                            <w:bCs/>
                            <w:color w:val="auto"/>
                            <w:kern w:val="2"/>
                            <w:sz w:val="21"/>
                            <w:szCs w:val="24"/>
                            <w:u w:val="none"/>
                            <w:lang w:val="en-US" w:eastAsia="zh-CN" w:bidi="ar-SA"/>
                          </w:rPr>
                          <w:id w:val="947554895"/>
                          <w:placeholder>
                            <w:docPart w:val="{58599c47-f3dd-47b8-b79b-ead43b631306}"/>
                          </w:placeholder>
                          <w15:color w:val="509DF3"/>
                        </w:sdtPr>
                        <w:sdtEndPr>
                          <w:rPr>
                            <w:rFonts w:asciiTheme="minorHAnsi" w:hAnsiTheme="minorHAnsi" w:eastAsiaTheme="minorEastAsia" w:cstheme="minorBidi"/>
                            <w:b/>
                            <w:bCs/>
                            <w:color w:val="auto"/>
                            <w:kern w:val="2"/>
                            <w:sz w:val="21"/>
                            <w:szCs w:val="24"/>
                            <w:u w:val="none"/>
                            <w:lang w:val="en-US" w:eastAsia="zh-CN" w:bidi="ar-SA"/>
                          </w:rPr>
                        </w:sdtEndPr>
                        <w:sdtContent>
                          <w:r>
                            <w:rPr>
                              <w:rFonts w:hint="default" w:ascii="Times New Roman" w:hAnsi="Times New Roman" w:cs="Times New Roman" w:eastAsiaTheme="minorEastAsia"/>
                              <w:b/>
                              <w:bCs/>
                              <w:color w:val="auto"/>
                              <w:u w:val="none"/>
                            </w:rPr>
                            <w:t>Appendix II The Kubler-Ross Change Curv</w:t>
                          </w:r>
                          <w:r>
                            <w:rPr>
                              <w:rFonts w:hint="default" w:ascii="Times New Roman" w:hAnsi="Times New Roman" w:cs="Times New Roman"/>
                              <w:b/>
                              <w:bCs/>
                              <w:color w:val="auto"/>
                              <w:u w:val="none"/>
                            </w:rPr>
                            <w:t>e</w:t>
                          </w:r>
                        </w:sdtContent>
                      </w:sdt>
                      <w:r>
                        <w:rPr>
                          <w:b/>
                          <w:bCs/>
                          <w:color w:val="auto"/>
                          <w:u w:val="none"/>
                        </w:rPr>
                        <w:tab/>
                      </w:r>
                      <w:bookmarkStart w:id="16" w:name="_Toc876347651_WPSOffice_Level1Page"/>
                      <w:r>
                        <w:rPr>
                          <w:b/>
                          <w:bCs/>
                          <w:color w:val="auto"/>
                          <w:u w:val="none"/>
                        </w:rPr>
                        <w:t>14</w:t>
                      </w:r>
                      <w:bookmarkEnd w:id="16"/>
                      <w:r>
                        <w:rPr>
                          <w:b/>
                          <w:bCs/>
                          <w:color w:val="auto"/>
                          <w:u w:val="none"/>
                        </w:rPr>
                        <w:fldChar w:fldCharType="end"/>
                      </w:r>
                      <w:bookmarkEnd w:id="0"/>
                    </w:p>
                  </w:sdtContent>
                </w:sdt>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bCs/>
                      <w:sz w:val="24"/>
                      <w:szCs w:val="24"/>
                    </w:rPr>
                  </w:pPr>
                </w:p>
              </w:sdtContent>
            </w:sdt>
          </w:sdtContent>
        </w:sdt>
      </w:sdtContent>
    </w:sdt>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footerReference r:id="rId4" w:type="default"/>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17" w:name="_Toc1892120106_WPSOffice_Level1"/>
      <w:r>
        <w:rPr>
          <w:rFonts w:hint="default" w:ascii="Times New Roman" w:hAnsi="Times New Roman" w:cs="Times New Roman"/>
          <w:b/>
          <w:sz w:val="32"/>
          <w:szCs w:val="32"/>
        </w:rPr>
        <w:t>1.0 Introduction</w:t>
      </w:r>
      <w:bookmarkEnd w:id="17"/>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With the advent of the new working environment, the traditional performance appraisal approaches have become outdated. A statistic given by Deloitte’s Global Human Capital Trend (2014), shows that there are only 8% of enterprises, which consider the performance management process a high-value tool, while 58% states that it is ineffective, indicating that there are plenty of problems with the traditional process of performance management (Church, 2019). Hence, this report will explore the issues, with the aim of improve the performance management process.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Generally, performance management is used to inspire the performance of employees. However, the traditional annual performance appraisal has destroyed the trust between employees and employers (Chandler, 2016), as it is infrequent and lack flexibility. Nowadays, many enterprises are moving away from the traditional method to more flexible approaches, yet change is not easy, referencing with the change management might be an appropriate suggestion for enterprises to take the revolution.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the summarize and analyze the academic sources, if enterprises want to encourage the engagement of employees, setting department goals, involving the line manager into the goals-setting, besides, continuous monitoring of the process of the performance management and the offer of consistent feedback for employees is required.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Nevertheless, the limitation of this report should be noted. A sample search for the topic discussed in the report may not be sufficient due to time constraints, resulting in insufficient detail. Besides, this report is only focused on the collection of secondary information therefore, a lack of a primary research may make some details inconsistent with the actual situation.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footerReference r:id="rId5" w:type="default"/>
          <w:pgSz w:w="11906" w:h="16838"/>
          <w:pgMar w:top="1134" w:right="1134" w:bottom="1134" w:left="1134" w:header="851" w:footer="992" w:gutter="0"/>
          <w:pgNumType w:fmt="decimal" w:start="1"/>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bookmarkStart w:id="18" w:name="_Toc1538110956_WPSOffice_Level1"/>
      <w:r>
        <w:rPr>
          <w:rFonts w:hint="default" w:ascii="Times New Roman" w:hAnsi="Times New Roman" w:cs="Times New Roman"/>
          <w:b/>
          <w:sz w:val="32"/>
          <w:szCs w:val="32"/>
        </w:rPr>
        <w:t>2.0 Literature Review</w:t>
      </w:r>
      <w:bookmarkEnd w:id="18"/>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19" w:name="_Toc1538110956_WPSOffice_Level2"/>
      <w:r>
        <w:rPr>
          <w:rFonts w:hint="default" w:ascii="Times New Roman" w:hAnsi="Times New Roman" w:cs="Times New Roman"/>
          <w:sz w:val="28"/>
          <w:szCs w:val="28"/>
        </w:rPr>
        <w:t>2.1 Performance Management</w:t>
      </w:r>
      <w:bookmarkEnd w:id="19"/>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Typically, the definition of performance management has not been clearly defined yet (Hutchinson, 2013; Armstrong and Baron, 2005), but it is known that there are two core aspects involved in performance management: performance review and goals setting (Gifford 2016; Mone.et al, 2011), and the ultimate purpose of performance management is to improve performance and engagement (Borman and Motowildo, 1993).</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Performance management closely interacts with employee engagement. Specifically, a distinct performance management system produces highly engaged employees so that it motivates performance of the organisation (Mone et al, 2001; Macey, Scheider, Barbera and Young, 2009).</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traditional performance review has been in turmoil recently. According to the headlines, an increasing number of companies has got rid of the traditional performance management to the new flexible approaches, like Accenture, Microsoft, and Adobe (Cunningham, 2015; Warren, 2013; Baer, 2014). Consequently, the issues with traditional performance management will be discussed and introducing new performance management.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0" w:name="_Toc1770178553_WPSOffice_Level2"/>
      <w:r>
        <w:rPr>
          <w:rFonts w:hint="default" w:ascii="Times New Roman" w:hAnsi="Times New Roman" w:cs="Times New Roman"/>
          <w:sz w:val="28"/>
          <w:szCs w:val="28"/>
        </w:rPr>
        <w:t>2.2 Traditional Performance Management</w:t>
      </w:r>
      <w:bookmarkEnd w:id="20"/>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managers use the paper-and-pen to record performance over the past, greater than contemporary methods–email since the traditional methods results in high employee participation in appraisal and improving the responsibilities of employees (Payne et al, 2009; Kurtzberg et al, 2005).</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Nevertheless, there still exit two issues. The first one is infrequency, the preference with past management approaches was utilised the annual performance review - once a year. The direct effects of infrequency are less feedback as well as communication within the organisation, hence, it is hard for employers and employees to ensure goals on track (Webb and Sheeran, 2008).</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second one is that it is less flexible regarding both the rating scale and appraisal formats. Nel (2016) reported that traditional performance appraisal was more focus on compliance and policies, which might lead to the resistance of employees and create a tense atmosphere. Wally (2014) discussed that the fearfulness would affect the outcomes of communication and the turnover rate, as to destroy enterprises’ reputation and productivity.</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1" w:name="_Toc152494733_WPSOffice_Level2"/>
      <w:r>
        <w:rPr>
          <w:rFonts w:hint="default" w:ascii="Times New Roman" w:hAnsi="Times New Roman" w:cs="Times New Roman"/>
          <w:sz w:val="28"/>
          <w:szCs w:val="28"/>
        </w:rPr>
        <w:t>2.3 Analysis on whether Changes Are Needed</w:t>
      </w:r>
      <w:bookmarkEnd w:id="21"/>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Lewin’s Force Field Model provides a visualise overview of the forces for and against change problems. As for the performance management, there are three forces for enterprises to take revolution.</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2.3.1 A Different Work Environment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most significant factor is the new working environment. The society people live in currently are called the VUCA era - more volatile, uncertain, complex, and ambiguity. With the new generations pour into the workplace, age diversity is a controversial theme, leading to a lot of changes of thinking way and behaviour. In the past, the working environment was more like a fixed mode, with few changes, and the working process was easy to observe and estimate (Banks and May, 1999), while the workplace at present is more volatile rather than a static state (Singh, 2008).</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2.3.2 Age Diversity: Baviour and Thinking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Nowadays, five generations are predicted to describe workforce: Veterans, Baby Boomers. Generation X, Y and Z (Panna and CIPD, 2008) (refer to Appendix I for the specific information about five generations). With the growth of new generations - Millennials which the proportion in the workplace rises sharply, HR should pay high attention to the new generations since new workforce causes new behaviour and concept, enterprises should take alternative performance management approaches in order to adapt to the new environment.</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label of generation Y and Z is the familiarity with artificial intelligence as they consider technology as crucial for a living (Stuart, 2015). Presky (2012) used the term ‘digital natives’ to present the generation Y and Z, which is, the generation that open mind with new things like technology, internet and multitask. Brown (2005) describes the generation Y and Z as the goal and achievement-oriented, and to autonomic learning and social activities. As a result, they usually achieved by the realization of self-worth and desire more connection with new things (Blauth. et al, 2011).</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2.3.3 Organisational Change: The Management Response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described in 2.2, the traditional performance management system has appeared massive issues. The Chartered Institute of Personnel and Development (CIPD) survey (2015) supported that 55% of the HR manager consider traditional performance management as ineffectiveness and 66% of employees from the Deloitte survey (2014) state that annual performance appraisal has a negative impact on productivity (Schwartz, Bersin and Pelster, 2014), also, there are a plenty of companies which have altered the traditional ways (Cunningham, 2015; Warren, 2013; Baer, 2014). Therefore, changing the performance management process is a general trend.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4"/>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2.3.4 Against of Change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Kubler-Ross change curve (1969) provides the insight that a it is tough task for organisation to take revolution because it is not overnight, and need a process to accept new manage approaches, that is the distance from ‘shock’ to ‘integration’ (The details about Kubler-Ross change curve have been placed into Appendix II). For companies, it is time and energy consuming for managers are required to master new skills and learn new knowledge for better practice. Meanwhile, enterprises also bear the high risk of change failure during changing.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Regardless, overall, looking overview at the weight of evidence, changing is an urgent and necessary task for companies.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2" w:name="_Toc1030986660_WPSOffice_Level2"/>
      <w:r>
        <w:rPr>
          <w:rFonts w:hint="default" w:ascii="Times New Roman" w:hAnsi="Times New Roman" w:cs="Times New Roman"/>
          <w:sz w:val="28"/>
          <w:szCs w:val="28"/>
        </w:rPr>
        <w:t>2.4 Creating a Highly Engaged Organisation</w:t>
      </w:r>
      <w:bookmarkEnd w:id="22"/>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In a recent article by Boot et al (2018) discussed the characteristics of the highly engaged department and low engaged department. In comparison, highly engaged organisation tends to set goals for the department than an individual, while low engaged organisation usually prefer the goals of individuals. Cappelli and Tavis (2016) argued in Harvard Business Review is what contemporary society needs more is teamwork rather than individual performance.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Besides, the goals in the highly engaged organisation are more suitable for actual departmental situation, the low engaged department more incline to follow fixed rules (Boot, 2018; Corgnet, 2015). Delery and Doty (1996) pointed out the performance management activities are not a single model but stretch to whole organisational strategy practices. Hence, it is important for the enterprise to embed policy and goals into organisational strategies.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Gifford (2016) also provided suggestions about the goals setting. Primarily, the participation of line managers are indispensable since managers are required to provide objectives with employees, there are shreds of evidence that presenting assigned goals are more effectively (Harkins and Lowe, 2000; Klein et al,1999). Additionally, through the Kubler-Ross change curve, resistance and abandonment might develop when employees experience change. Manager’s involvement in goals getting enables a clearer understanding of the organisation goals therefore it better assists employees to understand how they contributes support enterprise strategies and orientation (Mone et al, 2011).</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After goals have been set, providing continuous feedback and monitoring processes is the top priority. Gifford (2018) recognise that supervision can help the organisation ensure goals on the track. The function of feedback is to supported employees to understand the distance between the current situation and goals so as to modify their behaviour when they are offset tracking.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3" w:name="_Toc1770178553_WPSOffice_Level1"/>
      <w:r>
        <w:rPr>
          <w:rFonts w:hint="default" w:ascii="Times New Roman" w:hAnsi="Times New Roman" w:cs="Times New Roman"/>
          <w:b/>
          <w:sz w:val="32"/>
          <w:szCs w:val="32"/>
        </w:rPr>
        <w:t>3.0 Discussions</w:t>
      </w:r>
      <w:bookmarkEnd w:id="23"/>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description in case, the completion rate has decreased for a while, combined with the previous analysis, it is evident that it has begun to have problems, there are some reasons why the completion presents an average result: The traditional rating scale, Six performance criteria, Same annual appraisal process for ten years and New IT systems.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bookmarkStart w:id="24" w:name="_Toc1894730624_WPSOffice_Level2"/>
      <w:r>
        <w:rPr>
          <w:rFonts w:hint="default" w:ascii="Times New Roman" w:hAnsi="Times New Roman" w:cs="Times New Roman"/>
          <w:sz w:val="28"/>
          <w:szCs w:val="28"/>
        </w:rPr>
        <w:t>3.1 Traditional Rating Scale</w:t>
      </w:r>
      <w:bookmarkEnd w:id="24"/>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well as massive recent studies (Rock, 2010; Nel, 2016; Wally, 2014) have reviewed that traditional rating scale did not affect to motivate employees and sometimes, even, hurt the trust between employees and reduce the productivity. A notable example is the Bell Curve, identified as cause too rigid within the organisation. Bell Curve divides employees into three levels: hyper performers, middle performers and low performers (Maniyamkott, 2017). Bersin (2014) pointed out the Bell Curve might counter effect in management because there are few employees are willing to be graded when they are evaluated.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u w:val="none"/>
        </w:rPr>
      </w:pPr>
      <w:r>
        <w:rPr>
          <w:rFonts w:hint="default" w:ascii="Times New Roman" w:hAnsi="Times New Roman" w:cs="Times New Roman"/>
          <w:sz w:val="24"/>
          <w:szCs w:val="24"/>
        </w:rPr>
        <w:t>With a support survey which was conducted by David Rock (2010) indicates that grading or categorizing are always sent a worrier and threaten sign within the brain. Mainyamkott (2017) also elaborates the grading on Bell Curve more likely an ‘insult’ for low performers, for middle performers, meanwhile, they think the d</w:t>
      </w:r>
      <w:r>
        <w:rPr>
          <w:rFonts w:hint="default" w:ascii="Times New Roman" w:hAnsi="Times New Roman" w:cs="Times New Roman"/>
          <w:sz w:val="24"/>
          <w:szCs w:val="24"/>
          <w:u w:val="none"/>
        </w:rPr>
        <w:t>istribution and efforts have not been recognised. Therefore, case company should use grading scale cautiously, there is another suggestion by Gifford (2016), rating could be substituted by proxy ratings, for example, if the employee's bonus is directly affected by the manager's view of their performance, then even if they do not use a formal rating, they can interpret it as a clear indication of their rating.</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5" w:name="_Toc1850079852_WPSOffice_Level2"/>
      <w:r>
        <w:rPr>
          <w:rFonts w:hint="default" w:ascii="Times New Roman" w:hAnsi="Times New Roman" w:cs="Times New Roman"/>
          <w:sz w:val="28"/>
          <w:szCs w:val="28"/>
        </w:rPr>
        <w:t>3.2 Performance Criteria</w:t>
      </w:r>
      <w:bookmarkEnd w:id="25"/>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case, the six criteria descriptions are too general and not clear enough for employees to understand what they have achieved to reach their goals. The case company can reset criteria in order to motivate the engagement of employees. In detail, formulating more challenging, clear and complex goals. A supported survey by Honore et al (2012) provides information that generation Y looks for information only when needed, they do not give priority to the knowledge within the brain, as a result, challenging and complex tasks are the motivation for employees. Clear goals provide clear guides with employees so that they would have a better understanding of their tasks.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6" w:name="_Toc876347651_WPSOffice_Level2"/>
      <w:r>
        <w:rPr>
          <w:rFonts w:hint="default" w:ascii="Times New Roman" w:hAnsi="Times New Roman" w:cs="Times New Roman"/>
          <w:sz w:val="28"/>
          <w:szCs w:val="28"/>
        </w:rPr>
        <w:t>3.3 New IT system</w:t>
      </w:r>
      <w:bookmarkEnd w:id="26"/>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case mentioned that the company is adapting to new things - a new IT system. Referencing the Kubler-Ross change curve, people instinctively resist new things, which is why employee participation was decreased after the introduction of the new IT system. During this process, the assistant of managers is quite crucial, firstly, case company should re-train the management skills and the knowledge about the new IT system employers for better explain the operational principles of systems for employees.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Style w:val="3"/>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8"/>
          <w:szCs w:val="28"/>
        </w:rPr>
      </w:pPr>
      <w:bookmarkStart w:id="27" w:name="_Toc1332119231_WPSOffice_Level2"/>
      <w:r>
        <w:rPr>
          <w:rFonts w:hint="default" w:ascii="Times New Roman" w:hAnsi="Times New Roman" w:cs="Times New Roman"/>
          <w:sz w:val="28"/>
          <w:szCs w:val="28"/>
        </w:rPr>
        <w:t>3.3 Annual Appraisal Process</w:t>
      </w:r>
      <w:bookmarkEnd w:id="27"/>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As previously described, traditional performance appraisal methods have become problematic. With the change of the contemporary working environment, the behaviour and thinking mode of the new generation of the labour force have converted, and the traditional solidified way will often be counterproductive in effect (Potoski and Callery, 2018). That is to make employees feel reluctant to participate in management. A better solution is to replace it with a more flexible management approach. For instance, use personalized rewards and recognition, or increase the frequency of meetings to provide employees with as many opportunities for two-way communication as possible (Torrington et al, 2017).</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8" w:name="_Toc152494733_WPSOffice_Level1"/>
      <w:r>
        <w:rPr>
          <w:rFonts w:hint="default" w:ascii="Times New Roman" w:hAnsi="Times New Roman" w:cs="Times New Roman"/>
          <w:b/>
          <w:sz w:val="32"/>
          <w:szCs w:val="32"/>
        </w:rPr>
        <w:t>4.0 Conclusions</w:t>
      </w:r>
      <w:bookmarkEnd w:id="28"/>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According to the authentic survey known the traditional annual performance review appeared many issues, it is hardly for employee obtained abundant feedback from organisation, resulting confusion about the future development (Bryman et al, 2018), as well as there are few traditional performance approaches are lack of flexible which made organisation full of stress and fear atmosphere (Rock, 2010).</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Meanwhile, new generations come into the workplace, changed numerous concept and behavior, also there are several scholars evidenced that the organisation is changing faster than it used to be, as a result, change management is necessary for the organisation because it provides operation strategies and structure for employers.</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However, it is not easy to change. The Kubler-Ross change curve provided evidence that there is a process for people to accept new things, while Mone. et al (2011) shown that the line managers play a significant role in performance management. Therefore, by combining the change curve and the responsibility of line manager, in goals set, managers are best to participate the setting and create trust and fair environment for employees (Macey et al, 2009). It is necessary for managers to create communication opportunities for employees in order to help employees get through the resistance stage of the new plan (Boot, 2018; Mone et al, 2011; Musset and Kurekova, 2018). And the last point is, continuous feedback and monitor can help company’s goal can keep on track.</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Eventually, by comparison between high and low engaged organisation indicated, the high engaged organisation prefer to set goals for the department than an individual, while low engaged organisation usually preference with the goals of individuals. Besides, the goals in the high engaged organisation are more in suitable for department actual situation, the low engaged department more decline to follow fixed rules (Boot, 2018; Corgnet, 2015).</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29" w:name="_Toc1030986660_WPSOffice_Level1"/>
      <w:r>
        <w:rPr>
          <w:rFonts w:hint="default" w:ascii="Times New Roman" w:hAnsi="Times New Roman" w:cs="Times New Roman"/>
          <w:b/>
          <w:sz w:val="32"/>
          <w:szCs w:val="32"/>
        </w:rPr>
        <w:t>5.0 Recommendations</w:t>
      </w:r>
      <w:bookmarkEnd w:id="29"/>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Primarily, replacing the traditional annual performance appraisal and reference with the Kubler-Ross change curve in the change management to take the emotional elements of employees during the changing into the consideration for reducing the likelihood of change failure.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Furthermore, utilising more flexible management approaches:</w:t>
      </w: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Avoiding grading/rating employees</w:t>
      </w:r>
    </w:p>
    <w:p>
      <w:pPr>
        <w:pageBreakBefore w:val="0"/>
        <w:numPr>
          <w:ilvl w:val="0"/>
          <w:numId w:val="0"/>
        </w:numPr>
        <w:kinsoku/>
        <w:wordWrap/>
        <w:overflowPunct/>
        <w:topLinePunct w:val="0"/>
        <w:autoSpaceDE/>
        <w:autoSpaceDN/>
        <w:bidi w:val="0"/>
        <w:adjustRightInd/>
        <w:snapToGrid/>
        <w:spacing w:line="360" w:lineRule="auto"/>
        <w:ind w:leftChars="0"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Shifting the attention of distribution curve to the evaluation of personal performance, with a supported case that Accenture has changed forced ranking to evaluate the individual and avoid rank employees with collages (Accenture, 2015; The Washington Post, 2015; Garvey, 2017). Besides, it is better for managers to choose a rating scale with more categories, which make employees more confident that they can improve their performance (Gifford, 2016).</w:t>
      </w:r>
    </w:p>
    <w:p>
      <w:pPr>
        <w:pageBreakBefore w:val="0"/>
        <w:numPr>
          <w:ilvl w:val="0"/>
          <w:numId w:val="0"/>
        </w:numPr>
        <w:kinsoku/>
        <w:wordWrap/>
        <w:overflowPunct/>
        <w:topLinePunct w:val="0"/>
        <w:autoSpaceDE/>
        <w:autoSpaceDN/>
        <w:bidi w:val="0"/>
        <w:adjustRightInd/>
        <w:snapToGrid/>
        <w:spacing w:line="360" w:lineRule="auto"/>
        <w:ind w:leftChars="0" w:right="0" w:rightChars="0"/>
        <w:textAlignment w:val="auto"/>
        <w:rPr>
          <w:rFonts w:hint="default" w:ascii="Times New Roman" w:hAnsi="Times New Roman" w:cs="Times New Roman"/>
          <w:sz w:val="24"/>
          <w:szCs w:val="24"/>
        </w:rPr>
      </w:pPr>
    </w:p>
    <w:p>
      <w:pPr>
        <w:pageBreakBefore w:val="0"/>
        <w:numPr>
          <w:ilvl w:val="0"/>
          <w:numId w:val="1"/>
        </w:numPr>
        <w:kinsoku/>
        <w:wordWrap/>
        <w:overflowPunct/>
        <w:topLinePunct w:val="0"/>
        <w:autoSpaceDE/>
        <w:autoSpaceDN/>
        <w:bidi w:val="0"/>
        <w:adjustRightInd/>
        <w:snapToGrid/>
        <w:spacing w:line="360" w:lineRule="auto"/>
        <w:ind w:left="420" w:leftChars="0" w:right="0" w:rightChars="0" w:hanging="42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Providing continuous feedward and feedback</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Continuous feedback includes frequent dialogue around performance so that provide better support around employee to help them achieve goals, likewise, arrange regular performance reviews and in time converted into continuous feedback to facilitate organization's timely adjustment of changes. There is a suggestion that review every three months to increase the frequency of performance appraisal. In the feed-ward, managers listen actively and ask questions when appropriate, while employees are responsible for the topics discussed.</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Moreover, the survey (Colquitt et al 2013)shows that the employee's response to feedback is much more important than the feedback itself, so in the process of feedback, managers should always pay attention to the employee's response to feedback. If the employee considers the feedback to be ineffective, it means that the frequency and depth of the conversation need to be improved.</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30" w:name="_Toc1894730624_WPSOffice_Level1"/>
      <w:r>
        <w:rPr>
          <w:rFonts w:hint="default" w:ascii="Times New Roman" w:hAnsi="Times New Roman" w:cs="Times New Roman"/>
          <w:b/>
          <w:sz w:val="32"/>
          <w:szCs w:val="32"/>
        </w:rPr>
        <w:t>6.0 References</w:t>
      </w:r>
      <w:bookmarkEnd w:id="30"/>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Armstrong, M. and Baron, A. (2005). </w:t>
      </w:r>
      <w:r>
        <w:rPr>
          <w:rFonts w:hint="default" w:ascii="Times New Roman" w:hAnsi="Times New Roman" w:cs="Times New Roman"/>
          <w:i/>
          <w:iCs/>
          <w:sz w:val="24"/>
          <w:szCs w:val="24"/>
        </w:rPr>
        <w:t>Managing performance: performance management in action</w:t>
      </w:r>
      <w:r>
        <w:rPr>
          <w:rFonts w:hint="default" w:ascii="Times New Roman" w:hAnsi="Times New Roman" w:cs="Times New Roman"/>
          <w:sz w:val="24"/>
          <w:szCs w:val="24"/>
        </w:rPr>
        <w:t>. London: Chartered Institute of Personnel and Development.</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Armstrong, M. (2015). </w:t>
      </w:r>
      <w:r>
        <w:rPr>
          <w:rFonts w:hint="default" w:ascii="Times New Roman" w:hAnsi="Times New Roman" w:cs="Times New Roman"/>
          <w:i/>
          <w:iCs/>
          <w:sz w:val="24"/>
          <w:szCs w:val="24"/>
        </w:rPr>
        <w:t>Armstrong's handbook of performance management : an evidence-based guide to delivering high performance</w:t>
      </w:r>
      <w:r>
        <w:rPr>
          <w:rFonts w:hint="default" w:ascii="Times New Roman" w:hAnsi="Times New Roman" w:cs="Times New Roman"/>
          <w:sz w:val="24"/>
          <w:szCs w:val="24"/>
        </w:rPr>
        <w:t xml:space="preserve"> Fifth.</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Boot, G., Rendell, F., Beesley, P. and Court-Smith, J. (2018). </w:t>
      </w:r>
      <w:r>
        <w:rPr>
          <w:rFonts w:hint="default" w:ascii="Times New Roman" w:hAnsi="Times New Roman" w:cs="Times New Roman"/>
          <w:i/>
          <w:iCs/>
          <w:sz w:val="24"/>
          <w:szCs w:val="24"/>
        </w:rPr>
        <w:t>Initial Findings From Performance Management TAG Research.</w:t>
      </w:r>
      <w:r>
        <w:rPr>
          <w:rFonts w:hint="default" w:ascii="Times New Roman" w:hAnsi="Times New Roman" w:cs="Times New Roman"/>
          <w:sz w:val="24"/>
          <w:szCs w:val="24"/>
        </w:rPr>
        <w:t xml:space="preserve"> pp.1-5.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Bryman et al. (2018). </w:t>
      </w:r>
      <w:r>
        <w:rPr>
          <w:rFonts w:hint="default" w:ascii="Times New Roman" w:hAnsi="Times New Roman" w:cs="Times New Roman"/>
          <w:i/>
          <w:iCs/>
          <w:sz w:val="24"/>
          <w:szCs w:val="24"/>
        </w:rPr>
        <w:t>Unconventional methodology in organization and management research First</w:t>
      </w:r>
      <w:r>
        <w:rPr>
          <w:rFonts w:hint="default" w:ascii="Times New Roman" w:hAnsi="Times New Roman" w:cs="Times New Roman"/>
          <w:sz w:val="24"/>
          <w:szCs w:val="24"/>
        </w:rPr>
        <w:t>.</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Baer, D. (2014). Why Adobe abolished the annual performance review and you should, too. </w:t>
      </w:r>
      <w:r>
        <w:rPr>
          <w:rFonts w:hint="default" w:ascii="Times New Roman" w:hAnsi="Times New Roman" w:cs="Times New Roman"/>
          <w:i/>
          <w:iCs/>
          <w:sz w:val="24"/>
          <w:szCs w:val="24"/>
        </w:rPr>
        <w:t>Business Insider</w:t>
      </w:r>
      <w:r>
        <w:rPr>
          <w:rFonts w:hint="default" w:ascii="Times New Roman" w:hAnsi="Times New Roman" w:cs="Times New Roman"/>
          <w:sz w:val="24"/>
          <w:szCs w:val="24"/>
        </w:rPr>
        <w:t>. 10 April. Available at: http://www.businessinsider. com/adobe-abolished-annual- performance-review-2014-4?IR=T [Accessed 9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Brown, M. (2005). Learning spaces. In: OBLINGER, D.G. and OBLINGER, J.L. (eds).</w:t>
      </w:r>
      <w:r>
        <w:rPr>
          <w:rFonts w:hint="default" w:ascii="Times New Roman" w:hAnsi="Times New Roman" w:cs="Times New Roman"/>
          <w:i/>
          <w:iCs/>
          <w:sz w:val="24"/>
          <w:szCs w:val="24"/>
        </w:rPr>
        <w:t xml:space="preserve"> Educating the net generation</w:t>
      </w:r>
      <w:r>
        <w:rPr>
          <w:rFonts w:hint="default" w:ascii="Times New Roman" w:hAnsi="Times New Roman" w:cs="Times New Roman"/>
          <w:sz w:val="24"/>
          <w:szCs w:val="24"/>
        </w:rPr>
        <w:t>. Washington, DC: EDUCAUSE. pp12.1–12.22. Available at: http://www.educause.edu/ educatingthenetgen [Accessed 13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CIPD. (2016). </w:t>
      </w:r>
      <w:r>
        <w:rPr>
          <w:rFonts w:hint="default" w:ascii="Times New Roman" w:hAnsi="Times New Roman" w:cs="Times New Roman"/>
          <w:i/>
          <w:iCs/>
          <w:sz w:val="24"/>
          <w:szCs w:val="24"/>
        </w:rPr>
        <w:t xml:space="preserve">HR outlook: winter 2015–16. </w:t>
      </w:r>
      <w:r>
        <w:rPr>
          <w:rFonts w:hint="default" w:ascii="Times New Roman" w:hAnsi="Times New Roman" w:cs="Times New Roman"/>
          <w:i w:val="0"/>
          <w:iCs w:val="0"/>
          <w:sz w:val="24"/>
          <w:szCs w:val="24"/>
        </w:rPr>
        <w:t>London: Chartered Institute of Personnel and Development.</w:t>
      </w:r>
      <w:r>
        <w:rPr>
          <w:rFonts w:hint="default" w:ascii="Times New Roman" w:hAnsi="Times New Roman" w:cs="Times New Roman"/>
          <w:sz w:val="24"/>
          <w:szCs w:val="24"/>
        </w:rPr>
        <w:t xml:space="preserve"> Available at: https:// www.cipd.co.uk/knowledge/ strategy/hr/outlook-reports [Accessed 9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Chillakuri, B. (2018). Scrapping the Bell Curve: A Practitioner’s Review of Reinvented Performance Management System. South Asian Journal of Human Resource Management, 5(2), pp.244–253.</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Corgnet, B., Gomezminambres, J and Hernangonzalez, R. (2015). Goal setting and monetary incentives: when large stakes are not enough. </w:t>
      </w:r>
      <w:r>
        <w:rPr>
          <w:rFonts w:hint="default" w:ascii="Times New Roman" w:hAnsi="Times New Roman" w:cs="Times New Roman"/>
          <w:i/>
          <w:iCs/>
          <w:sz w:val="24"/>
          <w:szCs w:val="24"/>
        </w:rPr>
        <w:t>Management Science</w:t>
      </w:r>
      <w:r>
        <w:rPr>
          <w:rFonts w:hint="default" w:ascii="Times New Roman" w:hAnsi="Times New Roman" w:cs="Times New Roman"/>
          <w:sz w:val="24"/>
          <w:szCs w:val="24"/>
        </w:rPr>
        <w:t>. Vol 61, No 12. pp26-44.</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Colquitt, J.A., Scott, B.A., Rodell, J.B., Long, D.M., Zapata, C.P., Conlon, D.E. and Wesson, M.J. (2013). Justice at the millennium, a decade later: a metaanalytic test of social exchange and affect-based perspectives. </w:t>
      </w:r>
      <w:r>
        <w:rPr>
          <w:rFonts w:hint="default" w:ascii="Times New Roman" w:hAnsi="Times New Roman" w:cs="Times New Roman"/>
          <w:i/>
          <w:iCs/>
          <w:sz w:val="24"/>
          <w:szCs w:val="24"/>
        </w:rPr>
        <w:t>Journal of Applied Psychology</w:t>
      </w:r>
      <w:r>
        <w:rPr>
          <w:rFonts w:hint="default" w:ascii="Times New Roman" w:hAnsi="Times New Roman" w:cs="Times New Roman"/>
          <w:sz w:val="24"/>
          <w:szCs w:val="24"/>
        </w:rPr>
        <w:t>. Vol 98, No 2. p199.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Cappelli, P. and Tavis, A. (2016). The performance management revolution. </w:t>
      </w:r>
      <w:r>
        <w:rPr>
          <w:rFonts w:hint="default" w:ascii="Times New Roman" w:hAnsi="Times New Roman" w:cs="Times New Roman"/>
          <w:i/>
          <w:iCs/>
          <w:sz w:val="24"/>
          <w:szCs w:val="24"/>
        </w:rPr>
        <w:t>Harvard Business Review</w:t>
      </w:r>
      <w:r>
        <w:rPr>
          <w:rFonts w:hint="default" w:ascii="Times New Roman" w:hAnsi="Times New Roman" w:cs="Times New Roman"/>
          <w:sz w:val="24"/>
          <w:szCs w:val="24"/>
        </w:rPr>
        <w:t>. October. pp58–67.</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i/>
          <w:iCs/>
          <w:sz w:val="24"/>
          <w:szCs w:val="24"/>
        </w:rPr>
      </w:pPr>
      <w:r>
        <w:rPr>
          <w:rFonts w:hint="default" w:ascii="Times New Roman" w:hAnsi="Times New Roman" w:cs="Times New Roman"/>
          <w:sz w:val="24"/>
          <w:szCs w:val="24"/>
        </w:rPr>
        <w:t xml:space="preserve">Church, A.H. (2019). </w:t>
      </w:r>
      <w:r>
        <w:rPr>
          <w:rFonts w:hint="default" w:ascii="Times New Roman" w:hAnsi="Times New Roman" w:cs="Times New Roman"/>
          <w:i/>
          <w:iCs/>
          <w:sz w:val="24"/>
          <w:szCs w:val="24"/>
        </w:rPr>
        <w:t>Handbook of strategic 360 feedback.</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i/>
          <w:iCs/>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Cunningham, L. (2015). In big move, Accenture will get rid of annual performance reviews and rankings. </w:t>
      </w:r>
      <w:r>
        <w:rPr>
          <w:rFonts w:hint="default" w:ascii="Times New Roman" w:hAnsi="Times New Roman" w:cs="Times New Roman"/>
          <w:i/>
          <w:iCs/>
          <w:sz w:val="24"/>
          <w:szCs w:val="24"/>
        </w:rPr>
        <w:t>Washington Post</w:t>
      </w:r>
      <w:r>
        <w:rPr>
          <w:rFonts w:hint="default" w:ascii="Times New Roman" w:hAnsi="Times New Roman" w:cs="Times New Roman"/>
          <w:sz w:val="24"/>
          <w:szCs w:val="24"/>
        </w:rPr>
        <w:t>. 21 July. Available at: https://www. washingtonpost.com/news/on- leadership/wp/2015/07/21/in-big- move-accenture-will-get-rid-of- annual-performance-reviews-and- rankings/ [Accessed 9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DeNisi, A. &amp; Murphy, K. (2017). Performance appraisal and performance management: 100 years of progress? </w:t>
      </w:r>
      <w:r>
        <w:rPr>
          <w:rFonts w:hint="default" w:ascii="Times New Roman" w:hAnsi="Times New Roman" w:cs="Times New Roman"/>
          <w:i/>
          <w:iCs/>
          <w:sz w:val="24"/>
          <w:szCs w:val="24"/>
        </w:rPr>
        <w:t>Journal of Applied Psychology</w:t>
      </w:r>
      <w:r>
        <w:rPr>
          <w:rFonts w:hint="default" w:ascii="Times New Roman" w:hAnsi="Times New Roman" w:cs="Times New Roman"/>
          <w:sz w:val="24"/>
          <w:szCs w:val="24"/>
        </w:rPr>
        <w:t>, 102(3), pp.421–433.</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Eisner, S.P. “Managing Generation Y.” </w:t>
      </w:r>
      <w:r>
        <w:rPr>
          <w:rFonts w:hint="default" w:ascii="Times New Roman" w:hAnsi="Times New Roman" w:cs="Times New Roman"/>
          <w:i/>
          <w:iCs/>
          <w:sz w:val="24"/>
          <w:szCs w:val="24"/>
        </w:rPr>
        <w:t>SAM Advanced Management Journal 70</w:t>
      </w:r>
      <w:r>
        <w:rPr>
          <w:rFonts w:hint="default" w:ascii="Times New Roman" w:hAnsi="Times New Roman" w:cs="Times New Roman"/>
          <w:sz w:val="24"/>
          <w:szCs w:val="24"/>
        </w:rPr>
        <w:t xml:space="preserve"> (2005): 4–15.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i w:val="0"/>
          <w:iCs w:val="0"/>
          <w:color w:val="auto"/>
          <w:sz w:val="24"/>
          <w:szCs w:val="24"/>
          <w:u w:val="none"/>
        </w:rPr>
      </w:pPr>
      <w:r>
        <w:rPr>
          <w:rFonts w:hint="default" w:ascii="Times New Roman" w:hAnsi="Times New Roman" w:cs="Times New Roman"/>
          <w:sz w:val="24"/>
          <w:szCs w:val="24"/>
        </w:rPr>
        <w:t xml:space="preserve">Gifford, J. (2016). </w:t>
      </w:r>
      <w:r>
        <w:rPr>
          <w:rFonts w:hint="default" w:ascii="Times New Roman" w:hAnsi="Times New Roman" w:cs="Times New Roman"/>
          <w:i/>
          <w:iCs/>
          <w:sz w:val="24"/>
          <w:szCs w:val="24"/>
        </w:rPr>
        <w:t xml:space="preserve">Could do better? Assessing what works in performance management. </w:t>
      </w:r>
      <w:r>
        <w:rPr>
          <w:rFonts w:hint="default" w:ascii="Times New Roman" w:hAnsi="Times New Roman" w:cs="Times New Roman"/>
          <w:sz w:val="24"/>
          <w:szCs w:val="24"/>
        </w:rPr>
        <w:t xml:space="preserve">London: Chartered Institute of Personnel and Development. Available at: </w:t>
      </w:r>
      <w:r>
        <w:rPr>
          <w:rFonts w:hint="default" w:ascii="Times New Roman" w:hAnsi="Times New Roman" w:cs="Times New Roman"/>
          <w:i w:val="0"/>
          <w:iCs w:val="0"/>
          <w:color w:val="auto"/>
          <w:sz w:val="24"/>
          <w:szCs w:val="24"/>
          <w:u w:val="none"/>
        </w:rPr>
        <w:fldChar w:fldCharType="begin"/>
      </w:r>
      <w:r>
        <w:rPr>
          <w:rFonts w:hint="default" w:ascii="Times New Roman" w:hAnsi="Times New Roman" w:cs="Times New Roman"/>
          <w:i w:val="0"/>
          <w:iCs w:val="0"/>
          <w:color w:val="auto"/>
          <w:sz w:val="24"/>
          <w:szCs w:val="24"/>
          <w:u w:val="none"/>
        </w:rPr>
        <w:instrText xml:space="preserve"> HYPERLINK "https://www.cipd.co.uk/Images/could-do-better_2016-assessing-what-works-in-performance-management_tcm18-16874.pdf" </w:instrText>
      </w:r>
      <w:r>
        <w:rPr>
          <w:rFonts w:hint="default" w:ascii="Times New Roman" w:hAnsi="Times New Roman" w:cs="Times New Roman"/>
          <w:i w:val="0"/>
          <w:iCs w:val="0"/>
          <w:color w:val="auto"/>
          <w:sz w:val="24"/>
          <w:szCs w:val="24"/>
          <w:u w:val="none"/>
        </w:rPr>
        <w:fldChar w:fldCharType="separate"/>
      </w:r>
      <w:r>
        <w:rPr>
          <w:rStyle w:val="9"/>
          <w:rFonts w:hint="default" w:ascii="Times New Roman" w:hAnsi="Times New Roman" w:cs="Times New Roman"/>
          <w:i w:val="0"/>
          <w:iCs w:val="0"/>
          <w:color w:val="auto"/>
          <w:sz w:val="24"/>
          <w:szCs w:val="24"/>
          <w:u w:val="none"/>
        </w:rPr>
        <w:t>https://www.cipd.co.uk/Images/could-do-better_2016-assessing-what-works-in-performance-management_tcm18-16874.pdf</w:t>
      </w:r>
      <w:r>
        <w:rPr>
          <w:rFonts w:hint="default" w:ascii="Times New Roman" w:hAnsi="Times New Roman" w:cs="Times New Roman"/>
          <w:i w:val="0"/>
          <w:iCs w:val="0"/>
          <w:color w:val="auto"/>
          <w:sz w:val="24"/>
          <w:szCs w:val="24"/>
          <w:u w:val="none"/>
        </w:rPr>
        <w:fldChar w:fldCharType="end"/>
      </w:r>
      <w:r>
        <w:rPr>
          <w:rFonts w:hint="default" w:ascii="Times New Roman" w:hAnsi="Times New Roman" w:cs="Times New Roman"/>
          <w:i w:val="0"/>
          <w:iCs w:val="0"/>
          <w:color w:val="auto"/>
          <w:sz w:val="24"/>
          <w:szCs w:val="24"/>
          <w:u w:val="none"/>
        </w:rPr>
        <w:t xml:space="preserve"> [</w:t>
      </w:r>
      <w:r>
        <w:rPr>
          <w:rFonts w:hint="default" w:ascii="Times New Roman" w:hAnsi="Times New Roman" w:cs="Times New Roman"/>
          <w:sz w:val="24"/>
          <w:szCs w:val="24"/>
        </w:rPr>
        <w:t>Accessed 24 Dec. 2019</w:t>
      </w:r>
      <w:r>
        <w:rPr>
          <w:rFonts w:hint="default" w:ascii="Times New Roman" w:hAnsi="Times New Roman" w:cs="Times New Roman"/>
          <w:i w:val="0"/>
          <w:iCs w:val="0"/>
          <w:color w:val="auto"/>
          <w:sz w:val="24"/>
          <w:szCs w:val="24"/>
          <w:u w:val="none"/>
        </w:rPr>
        <w:t>].</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Gruman, J.A. &amp; Saks, A.M. (2011). Performance management and employee engagement. </w:t>
      </w:r>
      <w:r>
        <w:rPr>
          <w:rFonts w:hint="default" w:ascii="Times New Roman" w:hAnsi="Times New Roman" w:cs="Times New Roman"/>
          <w:i/>
          <w:iCs/>
          <w:sz w:val="24"/>
          <w:szCs w:val="24"/>
        </w:rPr>
        <w:t>Human Resource Management Review</w:t>
      </w:r>
      <w:r>
        <w:rPr>
          <w:rFonts w:hint="default" w:ascii="Times New Roman" w:hAnsi="Times New Roman" w:cs="Times New Roman"/>
          <w:sz w:val="24"/>
          <w:szCs w:val="24"/>
        </w:rPr>
        <w:t>, 21(2), pp.123–136.</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Garvey, D. (2017). </w:t>
      </w:r>
      <w:r>
        <w:rPr>
          <w:rFonts w:hint="default" w:ascii="Times New Roman" w:hAnsi="Times New Roman" w:cs="Times New Roman"/>
          <w:i/>
          <w:iCs/>
          <w:sz w:val="24"/>
          <w:szCs w:val="24"/>
        </w:rPr>
        <w:t>Performance management in early years settings : a practical guide for leaders and managers</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Harkin, B., Webb, T.L., Chang, B.P., Prestwich, A., Conner, M., Keller, I., Benn, Y. and Sheeran, P. (2016). Does monitoring goal progress promote goal attainment? A meta-analysis of the experimental evidence. </w:t>
      </w:r>
      <w:r>
        <w:rPr>
          <w:rFonts w:hint="default" w:ascii="Times New Roman" w:hAnsi="Times New Roman" w:cs="Times New Roman"/>
          <w:i/>
          <w:iCs/>
          <w:sz w:val="24"/>
          <w:szCs w:val="24"/>
        </w:rPr>
        <w:t>Psychological Bulletin</w:t>
      </w:r>
      <w:r>
        <w:rPr>
          <w:rFonts w:hint="default" w:ascii="Times New Roman" w:hAnsi="Times New Roman" w:cs="Times New Roman"/>
          <w:sz w:val="24"/>
          <w:szCs w:val="24"/>
        </w:rPr>
        <w:t>. Vol 142, No 2. pp198–229.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Heywood, J.S., Jirjahn, U. &amp; Struewing, C. (2017). Locus of control and performance appraisal. </w:t>
      </w:r>
      <w:r>
        <w:rPr>
          <w:rFonts w:hint="default" w:ascii="Times New Roman" w:hAnsi="Times New Roman" w:cs="Times New Roman"/>
          <w:i/>
          <w:iCs/>
          <w:sz w:val="24"/>
          <w:szCs w:val="24"/>
        </w:rPr>
        <w:t>Journal of Economic Behavior and Organization</w:t>
      </w:r>
      <w:r>
        <w:rPr>
          <w:rFonts w:hint="default" w:ascii="Times New Roman" w:hAnsi="Times New Roman" w:cs="Times New Roman"/>
          <w:sz w:val="24"/>
          <w:szCs w:val="24"/>
        </w:rPr>
        <w:t>, 142, pp.205–225.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Hutchinson, S. (2013). </w:t>
      </w:r>
      <w:r>
        <w:rPr>
          <w:rFonts w:hint="default" w:ascii="Times New Roman" w:hAnsi="Times New Roman" w:cs="Times New Roman"/>
          <w:i/>
          <w:iCs/>
          <w:sz w:val="24"/>
          <w:szCs w:val="24"/>
        </w:rPr>
        <w:t>Performance management theory and practice</w:t>
      </w:r>
      <w:r>
        <w:rPr>
          <w:rFonts w:hint="default" w:ascii="Times New Roman" w:hAnsi="Times New Roman" w:cs="Times New Roman"/>
          <w:sz w:val="24"/>
          <w:szCs w:val="24"/>
        </w:rPr>
        <w:t>. London: Chartered Institute of Personnel and Development.</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Haifeng, Z. &amp; Sibing, W. (2014). The power of motivation-goal fit in predicting entrepreneurial persistence. </w:t>
      </w:r>
      <w:r>
        <w:rPr>
          <w:rFonts w:hint="default" w:ascii="Times New Roman" w:hAnsi="Times New Roman" w:cs="Times New Roman"/>
          <w:i/>
          <w:iCs/>
          <w:sz w:val="24"/>
          <w:szCs w:val="24"/>
        </w:rPr>
        <w:t>Social behaviour and Personality</w:t>
      </w:r>
      <w:r>
        <w:rPr>
          <w:rFonts w:hint="default" w:ascii="Times New Roman" w:hAnsi="Times New Roman" w:cs="Times New Roman"/>
          <w:sz w:val="24"/>
          <w:szCs w:val="24"/>
        </w:rPr>
        <w:t>, 42(8), pp.1345–1352.</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Kirton, H. (2015). Appraisals are finished. What next?</w:t>
      </w:r>
      <w:r>
        <w:rPr>
          <w:rFonts w:hint="default" w:ascii="Times New Roman" w:hAnsi="Times New Roman" w:cs="Times New Roman"/>
          <w:i/>
          <w:iCs/>
          <w:sz w:val="24"/>
          <w:szCs w:val="24"/>
        </w:rPr>
        <w:t xml:space="preserve"> People Management.</w:t>
      </w:r>
      <w:r>
        <w:rPr>
          <w:rFonts w:hint="default" w:ascii="Times New Roman" w:hAnsi="Times New Roman" w:cs="Times New Roman"/>
          <w:sz w:val="24"/>
          <w:szCs w:val="24"/>
        </w:rPr>
        <w:t xml:space="preserve"> 20 August. Available at: http://www.cipd.co.uk/pm/ peoplemanagement/b/weblog/ archive/2015/08/20/appraisals- are-finished-what-next.aspx [Accessed 22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Klein, H.J., Wesson, M.J., Hollenbeck, J.R. and Alge, B.J. (1999). Goal commitment and the goal setting process: conceptual clarification and empirical synthesis. </w:t>
      </w:r>
      <w:r>
        <w:rPr>
          <w:rFonts w:hint="default" w:ascii="Times New Roman" w:hAnsi="Times New Roman" w:cs="Times New Roman"/>
          <w:i/>
          <w:iCs/>
          <w:sz w:val="24"/>
          <w:szCs w:val="24"/>
        </w:rPr>
        <w:t>Journal of Applied Psychology</w:t>
      </w:r>
      <w:r>
        <w:rPr>
          <w:rFonts w:hint="default" w:ascii="Times New Roman" w:hAnsi="Times New Roman" w:cs="Times New Roman"/>
          <w:sz w:val="24"/>
          <w:szCs w:val="24"/>
        </w:rPr>
        <w:t>. Vol 84, No 6. p885.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Kurtzberg, T.R., Naquin, C.E. and Belkin, L.Y. (2005). Electronic performance appraisals: the effects of e-mail communication on peer ratings in actual and simulated environments. </w:t>
      </w:r>
      <w:r>
        <w:rPr>
          <w:rFonts w:hint="default" w:ascii="Times New Roman" w:hAnsi="Times New Roman" w:cs="Times New Roman"/>
          <w:i/>
          <w:iCs/>
          <w:sz w:val="24"/>
          <w:szCs w:val="24"/>
        </w:rPr>
        <w:t>organisational behaviour and Human Decision Processes</w:t>
      </w:r>
      <w:r>
        <w:rPr>
          <w:rFonts w:hint="default" w:ascii="Times New Roman" w:hAnsi="Times New Roman" w:cs="Times New Roman"/>
          <w:sz w:val="24"/>
          <w:szCs w:val="24"/>
        </w:rPr>
        <w:t>. Vol 98, No 2. pp216–26.</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London, M. and Beatty, R.W. (1993). ‘360-degree feedback as a competitive advantage’,</w:t>
      </w:r>
      <w:r>
        <w:rPr>
          <w:rFonts w:hint="default" w:ascii="Times New Roman" w:hAnsi="Times New Roman" w:cs="Times New Roman"/>
          <w:i/>
          <w:iCs/>
          <w:sz w:val="24"/>
          <w:szCs w:val="24"/>
        </w:rPr>
        <w:t xml:space="preserve"> Human Resource Management, </w:t>
      </w:r>
      <w:r>
        <w:rPr>
          <w:rFonts w:hint="default" w:ascii="Times New Roman" w:hAnsi="Times New Roman" w:cs="Times New Roman"/>
          <w:sz w:val="24"/>
          <w:szCs w:val="24"/>
        </w:rPr>
        <w:t>Vol. 32, pp. 352-73.</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Lemon, L.L. &amp; Palenchar, M.J. (2018). Public relations and zones of engagement: Employees’ lived experiences and the fundamental nature of employee engagement. </w:t>
      </w:r>
      <w:r>
        <w:rPr>
          <w:rFonts w:hint="default" w:ascii="Times New Roman" w:hAnsi="Times New Roman" w:cs="Times New Roman"/>
          <w:i/>
          <w:iCs/>
          <w:sz w:val="24"/>
          <w:szCs w:val="24"/>
        </w:rPr>
        <w:t>Public Relations Review</w:t>
      </w:r>
      <w:r>
        <w:rPr>
          <w:rFonts w:hint="default" w:ascii="Times New Roman" w:hAnsi="Times New Roman" w:cs="Times New Roman"/>
          <w:sz w:val="24"/>
          <w:szCs w:val="24"/>
        </w:rPr>
        <w:t>, 44(1), pp.142–155.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Musset, P. &amp; Kurekova, L. (2018). </w:t>
      </w:r>
      <w:r>
        <w:rPr>
          <w:rFonts w:hint="default" w:ascii="Times New Roman" w:hAnsi="Times New Roman" w:cs="Times New Roman"/>
          <w:i/>
          <w:iCs/>
          <w:sz w:val="24"/>
          <w:szCs w:val="24"/>
        </w:rPr>
        <w:t>Working it out: Career Guidance and Employer Engagement</w:t>
      </w:r>
      <w:r>
        <w:rPr>
          <w:rFonts w:hint="default" w:ascii="Times New Roman" w:hAnsi="Times New Roman" w:cs="Times New Roman"/>
          <w:sz w:val="24"/>
          <w:szCs w:val="24"/>
        </w:rPr>
        <w:t>, Paris: Organisation for Economic Cooperation and Development (OECD).</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Mone, E. et al., (2011). Performance Management at the Wheel: Driving Employee Engagement in organisations.</w:t>
      </w:r>
      <w:r>
        <w:rPr>
          <w:rFonts w:hint="default" w:ascii="Times New Roman" w:hAnsi="Times New Roman" w:cs="Times New Roman"/>
          <w:i/>
          <w:iCs/>
          <w:sz w:val="24"/>
          <w:szCs w:val="24"/>
        </w:rPr>
        <w:t xml:space="preserve"> Journal of Business and Psychology</w:t>
      </w:r>
      <w:r>
        <w:rPr>
          <w:rFonts w:hint="default" w:ascii="Times New Roman" w:hAnsi="Times New Roman" w:cs="Times New Roman"/>
          <w:sz w:val="24"/>
          <w:szCs w:val="24"/>
        </w:rPr>
        <w:t>, 26(2), pp.205–212.</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Mone, E. M., &amp; London, M. (2009). </w:t>
      </w:r>
      <w:r>
        <w:rPr>
          <w:rFonts w:hint="default" w:ascii="Times New Roman" w:hAnsi="Times New Roman" w:cs="Times New Roman"/>
          <w:i/>
          <w:iCs/>
          <w:sz w:val="24"/>
          <w:szCs w:val="24"/>
        </w:rPr>
        <w:t>Employee engagement through effective performance management: a manager’s guide</w:t>
      </w:r>
      <w:r>
        <w:rPr>
          <w:rFonts w:hint="default" w:ascii="Times New Roman" w:hAnsi="Times New Roman" w:cs="Times New Roman"/>
          <w:sz w:val="24"/>
          <w:szCs w:val="24"/>
        </w:rPr>
        <w:t>. New York: Routledge.</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Mathew, M. (2017). </w:t>
      </w:r>
      <w:r>
        <w:rPr>
          <w:rFonts w:hint="default" w:ascii="Times New Roman" w:hAnsi="Times New Roman" w:cs="Times New Roman"/>
          <w:i/>
          <w:iCs/>
          <w:sz w:val="24"/>
          <w:szCs w:val="24"/>
          <w:u w:val="none"/>
        </w:rPr>
        <w:t>Why you should not grade your employees on a bell curve</w:t>
      </w:r>
      <w:r>
        <w:rPr>
          <w:rFonts w:hint="default" w:ascii="Times New Roman" w:hAnsi="Times New Roman" w:cs="Times New Roman"/>
          <w:sz w:val="24"/>
          <w:szCs w:val="24"/>
        </w:rPr>
        <w:t>. [online] Yourstory.com. Available at: https://yourstory.com/2017/02/disadvantages-of-bell-curve/ [Accessed 23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Nel, B. (2016). The Demise of Traditional Performance Management Systems. </w:t>
      </w:r>
      <w:r>
        <w:rPr>
          <w:rFonts w:hint="default" w:ascii="Times New Roman" w:hAnsi="Times New Roman" w:cs="Times New Roman"/>
          <w:i/>
          <w:iCs/>
          <w:sz w:val="24"/>
          <w:szCs w:val="24"/>
        </w:rPr>
        <w:t>Performance Improvement</w:t>
      </w:r>
      <w:r>
        <w:rPr>
          <w:rFonts w:hint="default" w:ascii="Times New Roman" w:hAnsi="Times New Roman" w:cs="Times New Roman"/>
          <w:sz w:val="24"/>
          <w:szCs w:val="24"/>
        </w:rPr>
        <w:t>, 55(3), pp.10–12.</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O'Boyle, I. (2013). Traditional performance appraisal versus 360-degree feedback. </w:t>
      </w:r>
      <w:r>
        <w:rPr>
          <w:rFonts w:hint="default" w:ascii="Times New Roman" w:hAnsi="Times New Roman" w:cs="Times New Roman"/>
          <w:i/>
          <w:iCs/>
          <w:sz w:val="24"/>
          <w:szCs w:val="24"/>
        </w:rPr>
        <w:t>Training &amp; Management Development Methods,</w:t>
      </w:r>
      <w:r>
        <w:rPr>
          <w:rFonts w:hint="default" w:ascii="Times New Roman" w:hAnsi="Times New Roman" w:cs="Times New Roman"/>
          <w:sz w:val="24"/>
          <w:szCs w:val="24"/>
        </w:rPr>
        <w:t xml:space="preserve"> pp.201–207,705.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Penna and Chartered Institute of Personal and Development. (2008). </w:t>
      </w:r>
      <w:r>
        <w:rPr>
          <w:rFonts w:hint="default" w:ascii="Times New Roman" w:hAnsi="Times New Roman" w:cs="Times New Roman"/>
          <w:i/>
          <w:iCs/>
          <w:sz w:val="24"/>
          <w:szCs w:val="24"/>
        </w:rPr>
        <w:t xml:space="preserve">Gen up: how the four generations work. </w:t>
      </w:r>
      <w:r>
        <w:rPr>
          <w:rFonts w:hint="default" w:ascii="Times New Roman" w:hAnsi="Times New Roman" w:cs="Times New Roman"/>
          <w:i w:val="0"/>
          <w:iCs w:val="0"/>
          <w:sz w:val="24"/>
          <w:szCs w:val="24"/>
        </w:rPr>
        <w:t>[online]</w:t>
      </w:r>
      <w:r>
        <w:rPr>
          <w:rFonts w:hint="default" w:ascii="Times New Roman" w:hAnsi="Times New Roman" w:cs="Times New Roman"/>
          <w:sz w:val="24"/>
          <w:szCs w:val="24"/>
        </w:rPr>
        <w:t xml:space="preserve"> Survey report. London: Penna. Available at: http://www. cipd.co.uk/hr-resources/survey- reports/how-four-generations-work. aspx [Accessed 13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Payne, S.C., Horner, M.T., Boswell, W.R., Schroeder, A.N. and Stine-Cheyne, K.J. (2009). Comparison of online and traditional performance appraisal systems.</w:t>
      </w:r>
      <w:r>
        <w:rPr>
          <w:rFonts w:hint="default" w:ascii="Times New Roman" w:hAnsi="Times New Roman" w:cs="Times New Roman"/>
          <w:i/>
          <w:iCs/>
          <w:sz w:val="24"/>
          <w:szCs w:val="24"/>
        </w:rPr>
        <w:t xml:space="preserve"> Journal of Managerial Psychology</w:t>
      </w:r>
      <w:r>
        <w:rPr>
          <w:rFonts w:hint="default" w:ascii="Times New Roman" w:hAnsi="Times New Roman" w:cs="Times New Roman"/>
          <w:sz w:val="24"/>
          <w:szCs w:val="24"/>
        </w:rPr>
        <w:t>. Vol 24, No 6. pp526–44</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Potoski, M. &amp; Callery, P.J., 2018. Peer communication improves environmental employee engagement programs: Evidence from a quasi-experimental field study.</w:t>
      </w:r>
      <w:r>
        <w:rPr>
          <w:rFonts w:hint="default" w:ascii="Times New Roman" w:hAnsi="Times New Roman" w:cs="Times New Roman"/>
          <w:i/>
          <w:iCs/>
          <w:sz w:val="24"/>
          <w:szCs w:val="24"/>
        </w:rPr>
        <w:t xml:space="preserve"> Journal of Cleaner Production</w:t>
      </w:r>
      <w:r>
        <w:rPr>
          <w:rFonts w:hint="default" w:ascii="Times New Roman" w:hAnsi="Times New Roman" w:cs="Times New Roman"/>
          <w:sz w:val="24"/>
          <w:szCs w:val="24"/>
        </w:rPr>
        <w:t>, 172, pp.148–150.</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Prensky, M. (2012). </w:t>
      </w:r>
      <w:r>
        <w:rPr>
          <w:rFonts w:hint="default" w:ascii="Times New Roman" w:hAnsi="Times New Roman" w:cs="Times New Roman"/>
          <w:i/>
          <w:iCs/>
          <w:sz w:val="24"/>
          <w:szCs w:val="24"/>
        </w:rPr>
        <w:t>From digital natives to digital wisdom: hopeful essays for 21st century learning</w:t>
      </w:r>
      <w:r>
        <w:rPr>
          <w:rFonts w:hint="default" w:ascii="Times New Roman" w:hAnsi="Times New Roman" w:cs="Times New Roman"/>
          <w:sz w:val="24"/>
          <w:szCs w:val="24"/>
        </w:rPr>
        <w:t>. Thousand Oaks, CA: Corwin.</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Rock, D. (2010). "Your Brain at Work: Strategies for Overcoming Distraction, Regaining Focus, and Working Smarter All Day Long." </w:t>
      </w:r>
      <w:r>
        <w:rPr>
          <w:rFonts w:hint="default" w:ascii="Times New Roman" w:hAnsi="Times New Roman" w:cs="Times New Roman"/>
          <w:i/>
          <w:iCs/>
          <w:sz w:val="24"/>
          <w:szCs w:val="24"/>
        </w:rPr>
        <w:t>Journal of behavioural Optometry</w:t>
      </w:r>
      <w:r>
        <w:rPr>
          <w:rFonts w:hint="default" w:ascii="Times New Roman" w:hAnsi="Times New Roman" w:cs="Times New Roman"/>
          <w:sz w:val="24"/>
          <w:szCs w:val="24"/>
        </w:rPr>
        <w:t xml:space="preserve"> 21.5: 130.</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Schwartz, J., Bersin, J. and Pelster, B. (2014). </w:t>
      </w:r>
      <w:r>
        <w:rPr>
          <w:rFonts w:hint="default" w:ascii="Times New Roman" w:hAnsi="Times New Roman" w:cs="Times New Roman"/>
          <w:i/>
          <w:iCs/>
          <w:sz w:val="24"/>
          <w:szCs w:val="24"/>
        </w:rPr>
        <w:t>Human Capital Trends 2014 survey</w:t>
      </w:r>
      <w:r>
        <w:rPr>
          <w:rFonts w:hint="default" w:ascii="Times New Roman" w:hAnsi="Times New Roman" w:cs="Times New Roman"/>
          <w:sz w:val="24"/>
          <w:szCs w:val="24"/>
        </w:rPr>
        <w:t>. [online] Deloitte Insights. Available at: https://www2.deloitte.com/us/en/insights/focus/human-capital-trends/2014/human-capital-trends-2014-survey-top-10-findings.html [Accessed 24 Dec. 2019].</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Torrington, D. et al. (2017). </w:t>
      </w:r>
      <w:r>
        <w:rPr>
          <w:rFonts w:hint="default" w:ascii="Times New Roman" w:hAnsi="Times New Roman" w:cs="Times New Roman"/>
          <w:i/>
          <w:iCs/>
          <w:sz w:val="24"/>
          <w:szCs w:val="24"/>
        </w:rPr>
        <w:t>Human resource management</w:t>
      </w:r>
      <w:r>
        <w:rPr>
          <w:rFonts w:hint="default" w:ascii="Times New Roman" w:hAnsi="Times New Roman" w:cs="Times New Roman"/>
          <w:sz w:val="24"/>
          <w:szCs w:val="24"/>
        </w:rPr>
        <w:t xml:space="preserve"> Tenth.,</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Wally, H. (2014). Fearless Feedback Boosts Trust While Replacing Traditional Performance Appraisal at Independent Living, Inc. </w:t>
      </w:r>
      <w:r>
        <w:rPr>
          <w:rFonts w:hint="default" w:ascii="Times New Roman" w:hAnsi="Times New Roman" w:cs="Times New Roman"/>
          <w:i/>
          <w:iCs/>
          <w:sz w:val="24"/>
          <w:szCs w:val="24"/>
        </w:rPr>
        <w:t>Global Business and organisational Excellence</w:t>
      </w:r>
      <w:r>
        <w:rPr>
          <w:rFonts w:hint="default" w:ascii="Times New Roman" w:hAnsi="Times New Roman" w:cs="Times New Roman"/>
          <w:sz w:val="24"/>
          <w:szCs w:val="24"/>
        </w:rPr>
        <w:t>, 33(4), pp.50–62.</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Webb, T.L. and Sheeran, P. (2008). Mechanisms of implementation intention effects: the role of goal intentions, self ‐ efficacy, and accessibility of plan components. </w:t>
      </w:r>
      <w:r>
        <w:rPr>
          <w:rFonts w:hint="default" w:ascii="Times New Roman" w:hAnsi="Times New Roman" w:cs="Times New Roman"/>
          <w:i/>
          <w:iCs/>
          <w:sz w:val="24"/>
          <w:szCs w:val="24"/>
        </w:rPr>
        <w:t>British Journal of Social Psychology</w:t>
      </w:r>
      <w:r>
        <w:rPr>
          <w:rFonts w:hint="default" w:ascii="Times New Roman" w:hAnsi="Times New Roman" w:cs="Times New Roman"/>
          <w:sz w:val="24"/>
          <w:szCs w:val="24"/>
        </w:rPr>
        <w:t>. Vol 47, No 3. pp373–95.</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Warren, T. (2013). Microsoft axes its controversial employee-ranking system. </w:t>
      </w:r>
      <w:r>
        <w:rPr>
          <w:rFonts w:hint="default" w:ascii="Times New Roman" w:hAnsi="Times New Roman" w:cs="Times New Roman"/>
          <w:i/>
          <w:iCs/>
          <w:sz w:val="24"/>
          <w:szCs w:val="24"/>
        </w:rPr>
        <w:t>The Verge</w:t>
      </w:r>
      <w:r>
        <w:rPr>
          <w:rFonts w:hint="default" w:ascii="Times New Roman" w:hAnsi="Times New Roman" w:cs="Times New Roman"/>
          <w:sz w:val="24"/>
          <w:szCs w:val="24"/>
        </w:rPr>
        <w:t>. 13 November. Available at: http://www.theverge. com/2013/11/12/5094864/ microsoft-kills-stack-ranking- internal-structure [Accessed 9 Dec. 2019].</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417" w:right="1417" w:bottom="1417" w:left="1417" w:header="851" w:footer="992" w:gutter="0"/>
          <w:pgNumType w:fmt="decimal"/>
          <w:cols w:space="0" w:num="1"/>
          <w:rtlGutter w:val="0"/>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31" w:name="_Toc1850079852_WPSOffice_Level1"/>
      <w:r>
        <w:rPr>
          <w:rFonts w:hint="default" w:ascii="Times New Roman" w:hAnsi="Times New Roman" w:cs="Times New Roman"/>
          <w:b/>
          <w:sz w:val="32"/>
          <w:szCs w:val="32"/>
        </w:rPr>
        <w:t>Appendix I Generation in the Workplac</w:t>
      </w:r>
      <w:bookmarkEnd w:id="31"/>
      <w:r>
        <w:rPr>
          <w:rFonts w:hint="default" w:ascii="Times New Roman" w:hAnsi="Times New Roman" w:cs="Times New Roman"/>
          <w:b/>
          <w:sz w:val="32"/>
          <w:szCs w:val="32"/>
        </w:rPr>
        <w:t>e</w:t>
      </w:r>
    </w:p>
    <w:tbl>
      <w:tblPr>
        <w:tblStyle w:val="11"/>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9"/>
        <w:gridCol w:w="678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39"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jc w:val="left"/>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Veterans</w:t>
            </w:r>
          </w:p>
        </w:tc>
        <w:tc>
          <w:tcPr>
            <w:tcW w:w="678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1939 and 1947 (Also known as traditionalists)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39"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Baby Boomers</w:t>
            </w:r>
          </w:p>
        </w:tc>
        <w:tc>
          <w:tcPr>
            <w:tcW w:w="6783" w:type="dxa"/>
            <w:tcBorders>
              <w:top w:val="dotted" w:color="auto" w:sz="4" w:space="0"/>
              <w:left w:val="dotted" w:color="auto" w:sz="4" w:space="0"/>
              <w:bottom w:val="dotted" w:color="auto" w:sz="4" w:space="0"/>
              <w:right w:val="dotted" w:color="auto" w:sz="4" w:space="0"/>
            </w:tcBorders>
            <w:shd w:val="clear" w:color="auto" w:fill="FFFFFF"/>
            <w:vAlign w:val="top"/>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1948 and 1963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39"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Generation X</w:t>
            </w:r>
          </w:p>
        </w:tc>
        <w:tc>
          <w:tcPr>
            <w:tcW w:w="678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1964 and 1978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39"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Generation Y</w:t>
            </w:r>
          </w:p>
        </w:tc>
        <w:tc>
          <w:tcPr>
            <w:tcW w:w="678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between 1979 and 1999 (Also known as Millennials)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39"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Generation Z</w:t>
            </w:r>
          </w:p>
        </w:tc>
        <w:tc>
          <w:tcPr>
            <w:tcW w:w="6783" w:type="dxa"/>
            <w:tcBorders>
              <w:top w:val="dotted" w:color="auto" w:sz="4" w:space="0"/>
              <w:left w:val="dotted" w:color="auto" w:sz="4" w:space="0"/>
              <w:bottom w:val="dotted" w:color="auto" w:sz="4" w:space="0"/>
              <w:right w:val="dotted" w:color="auto" w:sz="4" w:space="0"/>
            </w:tcBorders>
            <w:shd w:val="clear" w:color="auto" w:fill="FFFFFF"/>
          </w:tcPr>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color w:val="000000"/>
                <w:sz w:val="24"/>
                <w:szCs w:val="24"/>
                <w:vertAlign w:val="baseline"/>
              </w:rPr>
            </w:pPr>
            <w:r>
              <w:rPr>
                <w:rFonts w:hint="default" w:ascii="Times New Roman" w:hAnsi="Times New Roman" w:cs="Times New Roman"/>
                <w:color w:val="000000"/>
                <w:sz w:val="24"/>
                <w:szCs w:val="24"/>
                <w:vertAlign w:val="baseline"/>
              </w:rPr>
              <w:t>Born after 2000 (Often grouped with Generation Y)</w:t>
            </w:r>
          </w:p>
        </w:tc>
      </w:tr>
    </w:tbl>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sectPr>
          <w:pgSz w:w="11906" w:h="16838"/>
          <w:pgMar w:top="1134" w:right="1134" w:bottom="1134" w:left="1134" w:header="851" w:footer="992" w:gutter="0"/>
          <w:pgNumType w:fmt="decimal"/>
          <w:cols w:space="425" w:num="1"/>
          <w:docGrid w:type="lines" w:linePitch="312" w:charSpace="0"/>
        </w:sectPr>
      </w:pPr>
    </w:p>
    <w:p>
      <w:pPr>
        <w:pStyle w:val="2"/>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sz w:val="32"/>
          <w:szCs w:val="32"/>
        </w:rPr>
      </w:pPr>
      <w:bookmarkStart w:id="32" w:name="_Toc876347651_WPSOffice_Level1"/>
      <w:r>
        <w:rPr>
          <w:rFonts w:hint="default" w:ascii="Times New Roman" w:hAnsi="Times New Roman" w:cs="Times New Roman"/>
          <w:b/>
          <w:sz w:val="32"/>
          <w:szCs w:val="32"/>
        </w:rPr>
        <w:t>Appendix II The Kubler-Ross Change Curv</w:t>
      </w:r>
      <w:bookmarkEnd w:id="32"/>
      <w:r>
        <w:rPr>
          <w:rFonts w:hint="default" w:ascii="Times New Roman" w:hAnsi="Times New Roman" w:cs="Times New Roman"/>
          <w:b/>
          <w:sz w:val="32"/>
          <w:szCs w:val="32"/>
        </w:rPr>
        <w:t>e</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5271770" cy="3144520"/>
            <wp:effectExtent l="0" t="0" r="11430" b="5080"/>
            <wp:docPr id="1" name="图片 1" descr="kubler ross chang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kubler ross change curve"/>
                    <pic:cNvPicPr>
                      <a:picLocks noChangeAspect="1"/>
                    </pic:cNvPicPr>
                  </pic:nvPicPr>
                  <pic:blipFill>
                    <a:blip r:embed="rId8"/>
                    <a:srcRect t="13563"/>
                    <a:stretch>
                      <a:fillRect/>
                    </a:stretch>
                  </pic:blipFill>
                  <pic:spPr>
                    <a:xfrm>
                      <a:off x="0" y="0"/>
                      <a:ext cx="5271770" cy="3144520"/>
                    </a:xfrm>
                    <a:prstGeom prst="rect">
                      <a:avLst/>
                    </a:prstGeom>
                  </pic:spPr>
                </pic:pic>
              </a:graphicData>
            </a:graphic>
          </wp:inline>
        </w:drawing>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sz w:val="24"/>
          <w:szCs w:val="24"/>
        </w:rPr>
        <w:t>Source: storygrid.com, 2015</w:t>
      </w:r>
    </w:p>
    <w:p>
      <w:pPr>
        <w:pageBreakBefore w:val="0"/>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2"/>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Denial: </w:t>
      </w:r>
      <w:r>
        <w:rPr>
          <w:rFonts w:hint="default" w:ascii="Times New Roman" w:hAnsi="Times New Roman" w:cs="Times New Roman"/>
          <w:b w:val="0"/>
          <w:bCs w:val="0"/>
          <w:sz w:val="24"/>
          <w:szCs w:val="24"/>
        </w:rPr>
        <w:t>The Stage of shock and denial is usually the first stage in the Kubler-Ross change curve and it is temporary. At this stage, people usually adopt defence mechanisms to deal with disturbing emotions and some tend to be in a state of denial for a long time and avoid reality.</w:t>
      </w:r>
    </w:p>
    <w:p>
      <w:pPr>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rPr>
          <w:rFonts w:hint="default" w:ascii="Times New Roman" w:hAnsi="Times New Roman" w:cs="Times New Roman"/>
          <w:b/>
          <w:bCs/>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2) Anger</w:t>
      </w:r>
      <w:r>
        <w:rPr>
          <w:rFonts w:hint="default" w:ascii="Times New Roman" w:hAnsi="Times New Roman" w:cs="Times New Roman"/>
          <w:sz w:val="24"/>
          <w:szCs w:val="24"/>
        </w:rPr>
        <w:t>: When he or she finally realizes the goal and understands the seriousness of the situation, he or she may be angry and may find someone responsible. Anger can be expressed or expressed in many ways. While some will vent their anger at themselves, others may channel it to others around them. While some may be angry about overall life, others may blame the economy. At this stage, people are always prone to irritability, depression and irritability.</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3) Bargaining</w:t>
      </w:r>
      <w:r>
        <w:rPr>
          <w:rFonts w:hint="default" w:ascii="Times New Roman" w:hAnsi="Times New Roman" w:cs="Times New Roman"/>
          <w:sz w:val="24"/>
          <w:szCs w:val="24"/>
        </w:rPr>
        <w:t>: People may begin to think about how to delay the inevitable after the anger phase has passed and try to figure out what's best left of the situation. Those who do not face death but suffer another kind of trauma may try to negotiate and reach a compromise point on the situation. Bargaining may help to reach a sustainable solution and may comfort those close to totally hoping to avoid it. at this stage, it may continue to look for other outcomes or less traumatic outcomes.</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4) Depression</w:t>
      </w:r>
      <w:r>
        <w:rPr>
          <w:rFonts w:hint="default" w:ascii="Times New Roman" w:hAnsi="Times New Roman" w:cs="Times New Roman"/>
          <w:sz w:val="24"/>
          <w:szCs w:val="24"/>
        </w:rPr>
        <w:t>: Depression is a stage in which one is prone to sadness, fear, regret, internal and other negative emotions. He/she may have given up completely now, and may now be at the end of a dark road. One may show signs of indifference, tolerance, push others away, zero excitement about everything in life.</w:t>
      </w:r>
    </w:p>
    <w:p>
      <w:pPr>
        <w:pageBreakBefore w:val="0"/>
        <w:numPr>
          <w:ilvl w:val="0"/>
          <w:numId w:val="0"/>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p>
    <w:p>
      <w:pPr>
        <w:pageBreakBefore w:val="0"/>
        <w:numPr>
          <w:ilvl w:val="0"/>
          <w:numId w:val="3"/>
        </w:numPr>
        <w:kinsoku/>
        <w:wordWrap/>
        <w:overflowPunct/>
        <w:topLinePunct w:val="0"/>
        <w:autoSpaceDE/>
        <w:autoSpaceDN/>
        <w:bidi w:val="0"/>
        <w:adjustRightInd/>
        <w:snapToGrid/>
        <w:spacing w:line="360" w:lineRule="auto"/>
        <w:ind w:right="0" w:rightChars="0"/>
        <w:textAlignment w:val="auto"/>
        <w:rPr>
          <w:rFonts w:hint="default" w:ascii="Times New Roman" w:hAnsi="Times New Roman" w:cs="Times New Roman"/>
          <w:sz w:val="24"/>
          <w:szCs w:val="24"/>
        </w:rPr>
      </w:pPr>
      <w:r>
        <w:rPr>
          <w:rFonts w:hint="default" w:ascii="Times New Roman" w:hAnsi="Times New Roman" w:cs="Times New Roman"/>
          <w:b/>
          <w:bCs/>
          <w:sz w:val="24"/>
          <w:szCs w:val="24"/>
        </w:rPr>
        <w:t>Acceptance</w:t>
      </w:r>
      <w:r>
        <w:rPr>
          <w:rFonts w:hint="default" w:ascii="Times New Roman" w:hAnsi="Times New Roman" w:cs="Times New Roman"/>
          <w:sz w:val="24"/>
          <w:szCs w:val="24"/>
        </w:rPr>
        <w:t>: People succumb to the status quo and accept it fully when they realize that fighting the changes that are about to take place will not diminish their grief. The attitude of resignation may not be a happy space, but space where one may stop resisting change and move on.</w:t>
      </w:r>
    </w:p>
    <w:sectPr>
      <w:pgSz w:w="11906" w:h="16838"/>
      <w:pgMar w:top="1134" w:right="1134" w:bottom="1134" w:left="113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Open Sans">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GothamNarrow">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erriweather">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GT America">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05C95D"/>
    <w:multiLevelType w:val="singleLevel"/>
    <w:tmpl w:val="5E05C95D"/>
    <w:lvl w:ilvl="0" w:tentative="0">
      <w:start w:val="1"/>
      <w:numFmt w:val="bullet"/>
      <w:lvlText w:val=""/>
      <w:lvlJc w:val="left"/>
      <w:pPr>
        <w:ind w:left="420" w:leftChars="0" w:hanging="420" w:firstLineChars="0"/>
      </w:pPr>
      <w:rPr>
        <w:rFonts w:hint="default" w:ascii="Wingdings" w:hAnsi="Wingdings"/>
      </w:rPr>
    </w:lvl>
  </w:abstractNum>
  <w:abstractNum w:abstractNumId="1">
    <w:nsid w:val="5E175251"/>
    <w:multiLevelType w:val="singleLevel"/>
    <w:tmpl w:val="5E175251"/>
    <w:lvl w:ilvl="0" w:tentative="0">
      <w:start w:val="1"/>
      <w:numFmt w:val="decimal"/>
      <w:suff w:val="nothing"/>
      <w:lvlText w:val="%1)"/>
      <w:lvlJc w:val="left"/>
    </w:lvl>
  </w:abstractNum>
  <w:abstractNum w:abstractNumId="2">
    <w:nsid w:val="5E175427"/>
    <w:multiLevelType w:val="singleLevel"/>
    <w:tmpl w:val="5E175427"/>
    <w:lvl w:ilvl="0" w:tentative="0">
      <w:start w:val="5"/>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DFF9395"/>
    <w:rsid w:val="065D7E59"/>
    <w:rsid w:val="07DB9777"/>
    <w:rsid w:val="07F99EDE"/>
    <w:rsid w:val="0DA5A0F8"/>
    <w:rsid w:val="0F7D4879"/>
    <w:rsid w:val="0FFB8A4E"/>
    <w:rsid w:val="17569E3E"/>
    <w:rsid w:val="1BAF7C5E"/>
    <w:rsid w:val="1CF52158"/>
    <w:rsid w:val="1D77B6C0"/>
    <w:rsid w:val="1DFAA00E"/>
    <w:rsid w:val="1ED7E8DD"/>
    <w:rsid w:val="1EF4B879"/>
    <w:rsid w:val="1F5F2624"/>
    <w:rsid w:val="1F6C89DD"/>
    <w:rsid w:val="1F7EDFF4"/>
    <w:rsid w:val="1FB1F82C"/>
    <w:rsid w:val="1FB78790"/>
    <w:rsid w:val="1FCCD76C"/>
    <w:rsid w:val="1FF934D3"/>
    <w:rsid w:val="1FFBC988"/>
    <w:rsid w:val="23FF05CA"/>
    <w:rsid w:val="29FF9C8A"/>
    <w:rsid w:val="2AF78E6F"/>
    <w:rsid w:val="2AFFCD3C"/>
    <w:rsid w:val="2BEDBCC5"/>
    <w:rsid w:val="2C320CA8"/>
    <w:rsid w:val="2CFA5E5D"/>
    <w:rsid w:val="2D9F07E4"/>
    <w:rsid w:val="2E1F9C82"/>
    <w:rsid w:val="2ECD6667"/>
    <w:rsid w:val="2EE9C8CD"/>
    <w:rsid w:val="2F5D68A8"/>
    <w:rsid w:val="2FDF280F"/>
    <w:rsid w:val="2FF2F55B"/>
    <w:rsid w:val="2FFDFF93"/>
    <w:rsid w:val="33FF467E"/>
    <w:rsid w:val="35DF1350"/>
    <w:rsid w:val="36D7C248"/>
    <w:rsid w:val="372B2588"/>
    <w:rsid w:val="373F8821"/>
    <w:rsid w:val="377A8789"/>
    <w:rsid w:val="37E728D6"/>
    <w:rsid w:val="37ECCDC0"/>
    <w:rsid w:val="37ED8E05"/>
    <w:rsid w:val="37EF6EFB"/>
    <w:rsid w:val="37F787D7"/>
    <w:rsid w:val="37FACB22"/>
    <w:rsid w:val="37FD2381"/>
    <w:rsid w:val="38ED8DC0"/>
    <w:rsid w:val="3956D83F"/>
    <w:rsid w:val="39BF9F8E"/>
    <w:rsid w:val="3A5AB18B"/>
    <w:rsid w:val="3ACF4B18"/>
    <w:rsid w:val="3AD71EBD"/>
    <w:rsid w:val="3AFBD82B"/>
    <w:rsid w:val="3B73FB92"/>
    <w:rsid w:val="3BA4BB99"/>
    <w:rsid w:val="3BBF6D85"/>
    <w:rsid w:val="3BDC8521"/>
    <w:rsid w:val="3CF97EDA"/>
    <w:rsid w:val="3D7F051A"/>
    <w:rsid w:val="3DDD41F5"/>
    <w:rsid w:val="3DFD12FB"/>
    <w:rsid w:val="3DFD2028"/>
    <w:rsid w:val="3DFFFA18"/>
    <w:rsid w:val="3EA720FE"/>
    <w:rsid w:val="3F3ECDD8"/>
    <w:rsid w:val="3F65CD67"/>
    <w:rsid w:val="3F6B77BD"/>
    <w:rsid w:val="3F76E656"/>
    <w:rsid w:val="3F7E952E"/>
    <w:rsid w:val="3F7FAA9D"/>
    <w:rsid w:val="3F7FCA67"/>
    <w:rsid w:val="3FADB014"/>
    <w:rsid w:val="3FAFEBC2"/>
    <w:rsid w:val="3FAFFACF"/>
    <w:rsid w:val="3FBB69A6"/>
    <w:rsid w:val="3FBF30DA"/>
    <w:rsid w:val="3FBF3120"/>
    <w:rsid w:val="3FDE8840"/>
    <w:rsid w:val="3FE043E4"/>
    <w:rsid w:val="3FED7F08"/>
    <w:rsid w:val="3FEE1CB3"/>
    <w:rsid w:val="3FEFC199"/>
    <w:rsid w:val="3FEFE841"/>
    <w:rsid w:val="3FF6FEE3"/>
    <w:rsid w:val="3FFB4F96"/>
    <w:rsid w:val="3FFCB2ED"/>
    <w:rsid w:val="3FFCE0DE"/>
    <w:rsid w:val="3FFDB8BC"/>
    <w:rsid w:val="3FFDE245"/>
    <w:rsid w:val="3FFDEE2E"/>
    <w:rsid w:val="3FFECE93"/>
    <w:rsid w:val="3FFF043C"/>
    <w:rsid w:val="3FFF1165"/>
    <w:rsid w:val="3FFFDE11"/>
    <w:rsid w:val="45D8C257"/>
    <w:rsid w:val="466305D1"/>
    <w:rsid w:val="479E08DA"/>
    <w:rsid w:val="47FD9C9A"/>
    <w:rsid w:val="486BCEE9"/>
    <w:rsid w:val="4AFB047A"/>
    <w:rsid w:val="4CFBCBF5"/>
    <w:rsid w:val="4EAF7991"/>
    <w:rsid w:val="4F4FA3C9"/>
    <w:rsid w:val="4F66FE47"/>
    <w:rsid w:val="4F7BA573"/>
    <w:rsid w:val="4FFDC52A"/>
    <w:rsid w:val="50FF2441"/>
    <w:rsid w:val="51DFAFA4"/>
    <w:rsid w:val="51F3779E"/>
    <w:rsid w:val="54BA7613"/>
    <w:rsid w:val="566FA9A4"/>
    <w:rsid w:val="56FF1E54"/>
    <w:rsid w:val="578E29F7"/>
    <w:rsid w:val="57FFF146"/>
    <w:rsid w:val="58D790D7"/>
    <w:rsid w:val="599A267B"/>
    <w:rsid w:val="59F73D14"/>
    <w:rsid w:val="5AE48D8C"/>
    <w:rsid w:val="5BA70E85"/>
    <w:rsid w:val="5BDF5004"/>
    <w:rsid w:val="5BE93FFA"/>
    <w:rsid w:val="5BEF9174"/>
    <w:rsid w:val="5BFEAD15"/>
    <w:rsid w:val="5BFF0014"/>
    <w:rsid w:val="5BFF4FFF"/>
    <w:rsid w:val="5C1AA0E9"/>
    <w:rsid w:val="5C3B5440"/>
    <w:rsid w:val="5CBFDBFB"/>
    <w:rsid w:val="5D7BF640"/>
    <w:rsid w:val="5D7FFFCE"/>
    <w:rsid w:val="5D9E2C4F"/>
    <w:rsid w:val="5DFF0F2F"/>
    <w:rsid w:val="5DFFC706"/>
    <w:rsid w:val="5EAE0919"/>
    <w:rsid w:val="5ECDB82C"/>
    <w:rsid w:val="5EEF0FEE"/>
    <w:rsid w:val="5EFA7B04"/>
    <w:rsid w:val="5EFF61D1"/>
    <w:rsid w:val="5F2B8AC8"/>
    <w:rsid w:val="5F2BD6C0"/>
    <w:rsid w:val="5F3D1BE8"/>
    <w:rsid w:val="5F47AAE2"/>
    <w:rsid w:val="5F56829E"/>
    <w:rsid w:val="5F5F520D"/>
    <w:rsid w:val="5F7E24E4"/>
    <w:rsid w:val="5F7EC6BE"/>
    <w:rsid w:val="5FB637A1"/>
    <w:rsid w:val="5FBE103A"/>
    <w:rsid w:val="5FBF2925"/>
    <w:rsid w:val="5FCF7EE9"/>
    <w:rsid w:val="5FD32493"/>
    <w:rsid w:val="5FD60581"/>
    <w:rsid w:val="5FEB19EE"/>
    <w:rsid w:val="5FEF2192"/>
    <w:rsid w:val="5FF48C46"/>
    <w:rsid w:val="5FFA2EDF"/>
    <w:rsid w:val="5FFB4205"/>
    <w:rsid w:val="5FFD260C"/>
    <w:rsid w:val="5FFD773D"/>
    <w:rsid w:val="5FFEB712"/>
    <w:rsid w:val="61B7886F"/>
    <w:rsid w:val="6211A554"/>
    <w:rsid w:val="62E53DB1"/>
    <w:rsid w:val="64D9F086"/>
    <w:rsid w:val="65EF9F8B"/>
    <w:rsid w:val="665F6CE9"/>
    <w:rsid w:val="665FAD7B"/>
    <w:rsid w:val="66D79D03"/>
    <w:rsid w:val="677BA9A7"/>
    <w:rsid w:val="678880E8"/>
    <w:rsid w:val="67D6672E"/>
    <w:rsid w:val="67F72ACA"/>
    <w:rsid w:val="687D83A6"/>
    <w:rsid w:val="69FFBA39"/>
    <w:rsid w:val="6A8B9744"/>
    <w:rsid w:val="6A9E9AF0"/>
    <w:rsid w:val="6ADE26FC"/>
    <w:rsid w:val="6AFD53CB"/>
    <w:rsid w:val="6C5C28D3"/>
    <w:rsid w:val="6C5DE3DF"/>
    <w:rsid w:val="6D3CC0DA"/>
    <w:rsid w:val="6D749AE8"/>
    <w:rsid w:val="6DE12C77"/>
    <w:rsid w:val="6DEFF94A"/>
    <w:rsid w:val="6DFF9395"/>
    <w:rsid w:val="6E0F23FB"/>
    <w:rsid w:val="6E3F4363"/>
    <w:rsid w:val="6EEF2B71"/>
    <w:rsid w:val="6EEF755A"/>
    <w:rsid w:val="6EFFA503"/>
    <w:rsid w:val="6F5B9B81"/>
    <w:rsid w:val="6FA31F80"/>
    <w:rsid w:val="6FAAD9DC"/>
    <w:rsid w:val="6FBE8E34"/>
    <w:rsid w:val="6FBF8055"/>
    <w:rsid w:val="6FDE0937"/>
    <w:rsid w:val="6FDF6A9C"/>
    <w:rsid w:val="6FE7D0CD"/>
    <w:rsid w:val="6FEDCB7B"/>
    <w:rsid w:val="6FF7C4D4"/>
    <w:rsid w:val="6FFB3F93"/>
    <w:rsid w:val="6FFBA068"/>
    <w:rsid w:val="6FFED299"/>
    <w:rsid w:val="6FFF390B"/>
    <w:rsid w:val="6FFF52DE"/>
    <w:rsid w:val="6FFFE9F9"/>
    <w:rsid w:val="707F7813"/>
    <w:rsid w:val="70FF2547"/>
    <w:rsid w:val="71D22967"/>
    <w:rsid w:val="71F76C07"/>
    <w:rsid w:val="71FFE9DB"/>
    <w:rsid w:val="72FA06F6"/>
    <w:rsid w:val="736E36F5"/>
    <w:rsid w:val="7389B75C"/>
    <w:rsid w:val="73A63924"/>
    <w:rsid w:val="74AFD3A3"/>
    <w:rsid w:val="757B07B6"/>
    <w:rsid w:val="757BB910"/>
    <w:rsid w:val="75AF2C0D"/>
    <w:rsid w:val="75E56193"/>
    <w:rsid w:val="75E77BEE"/>
    <w:rsid w:val="75EB0B83"/>
    <w:rsid w:val="75EEA64C"/>
    <w:rsid w:val="75EF983B"/>
    <w:rsid w:val="75FF9BE7"/>
    <w:rsid w:val="76ED60E1"/>
    <w:rsid w:val="76EFEF10"/>
    <w:rsid w:val="76F1D2F9"/>
    <w:rsid w:val="76F7C999"/>
    <w:rsid w:val="76FF12B2"/>
    <w:rsid w:val="76FF40C0"/>
    <w:rsid w:val="771A1670"/>
    <w:rsid w:val="7736CDFE"/>
    <w:rsid w:val="775F7463"/>
    <w:rsid w:val="7765973C"/>
    <w:rsid w:val="77681A7E"/>
    <w:rsid w:val="776F87FB"/>
    <w:rsid w:val="777F2664"/>
    <w:rsid w:val="779DF31D"/>
    <w:rsid w:val="779F4E28"/>
    <w:rsid w:val="77A9D209"/>
    <w:rsid w:val="77B3315B"/>
    <w:rsid w:val="77BDA8BA"/>
    <w:rsid w:val="77BF6DD7"/>
    <w:rsid w:val="77BFF60B"/>
    <w:rsid w:val="77DB0656"/>
    <w:rsid w:val="77DE1F5E"/>
    <w:rsid w:val="77DFA12F"/>
    <w:rsid w:val="77E78231"/>
    <w:rsid w:val="77EF4451"/>
    <w:rsid w:val="77F11211"/>
    <w:rsid w:val="77F57FDF"/>
    <w:rsid w:val="77F63DE4"/>
    <w:rsid w:val="77FB9D3E"/>
    <w:rsid w:val="77FD32A2"/>
    <w:rsid w:val="77FD36C2"/>
    <w:rsid w:val="77FE9D73"/>
    <w:rsid w:val="77FFC98C"/>
    <w:rsid w:val="78E72FCD"/>
    <w:rsid w:val="78FF3ED1"/>
    <w:rsid w:val="793AC507"/>
    <w:rsid w:val="795F890A"/>
    <w:rsid w:val="796742AC"/>
    <w:rsid w:val="79774D81"/>
    <w:rsid w:val="797D7196"/>
    <w:rsid w:val="797E52A3"/>
    <w:rsid w:val="797F1292"/>
    <w:rsid w:val="798FA352"/>
    <w:rsid w:val="79A39CEF"/>
    <w:rsid w:val="79FF16C3"/>
    <w:rsid w:val="7ABC2ABF"/>
    <w:rsid w:val="7ADB8990"/>
    <w:rsid w:val="7AE67AE8"/>
    <w:rsid w:val="7AFB9ABB"/>
    <w:rsid w:val="7AFF16F9"/>
    <w:rsid w:val="7AFFF8B9"/>
    <w:rsid w:val="7B1E5BAA"/>
    <w:rsid w:val="7B3FD6D1"/>
    <w:rsid w:val="7B5E0432"/>
    <w:rsid w:val="7B6FD5C3"/>
    <w:rsid w:val="7B7F5E49"/>
    <w:rsid w:val="7B7FC792"/>
    <w:rsid w:val="7BAE8BC1"/>
    <w:rsid w:val="7BB9AC07"/>
    <w:rsid w:val="7BBFC8C3"/>
    <w:rsid w:val="7BBFCAE8"/>
    <w:rsid w:val="7BDEE290"/>
    <w:rsid w:val="7BDFB1B2"/>
    <w:rsid w:val="7BEE6D3A"/>
    <w:rsid w:val="7BEF675A"/>
    <w:rsid w:val="7BEFCFF5"/>
    <w:rsid w:val="7BF68149"/>
    <w:rsid w:val="7BFCE671"/>
    <w:rsid w:val="7CAFD08D"/>
    <w:rsid w:val="7CEE5708"/>
    <w:rsid w:val="7CEFD1D7"/>
    <w:rsid w:val="7CF78A08"/>
    <w:rsid w:val="7CFF5AC2"/>
    <w:rsid w:val="7CFF7034"/>
    <w:rsid w:val="7D6F876A"/>
    <w:rsid w:val="7D737115"/>
    <w:rsid w:val="7D773207"/>
    <w:rsid w:val="7D7EA766"/>
    <w:rsid w:val="7D7F1398"/>
    <w:rsid w:val="7D990ED7"/>
    <w:rsid w:val="7D9F029F"/>
    <w:rsid w:val="7DC53E1E"/>
    <w:rsid w:val="7DCF21AB"/>
    <w:rsid w:val="7DD52F25"/>
    <w:rsid w:val="7DEAC3C7"/>
    <w:rsid w:val="7DFDCEC7"/>
    <w:rsid w:val="7DFF5EE9"/>
    <w:rsid w:val="7E3BAC52"/>
    <w:rsid w:val="7E6D7CE7"/>
    <w:rsid w:val="7E7EC5F0"/>
    <w:rsid w:val="7EBF2154"/>
    <w:rsid w:val="7ED749D8"/>
    <w:rsid w:val="7EDE20D7"/>
    <w:rsid w:val="7EED774D"/>
    <w:rsid w:val="7EFFD227"/>
    <w:rsid w:val="7F3F76A1"/>
    <w:rsid w:val="7F72C660"/>
    <w:rsid w:val="7F7753E3"/>
    <w:rsid w:val="7F7790FF"/>
    <w:rsid w:val="7F78E2B5"/>
    <w:rsid w:val="7F7DD66E"/>
    <w:rsid w:val="7F7F4DBB"/>
    <w:rsid w:val="7F7FA539"/>
    <w:rsid w:val="7F9E3ADB"/>
    <w:rsid w:val="7F9F5708"/>
    <w:rsid w:val="7FA738C6"/>
    <w:rsid w:val="7FA87EF6"/>
    <w:rsid w:val="7FB72DC3"/>
    <w:rsid w:val="7FB9C80A"/>
    <w:rsid w:val="7FBF6DDF"/>
    <w:rsid w:val="7FC74B18"/>
    <w:rsid w:val="7FC9A4CE"/>
    <w:rsid w:val="7FCF1BAF"/>
    <w:rsid w:val="7FDAAE6B"/>
    <w:rsid w:val="7FDB06C7"/>
    <w:rsid w:val="7FDC9DD2"/>
    <w:rsid w:val="7FDD6DC8"/>
    <w:rsid w:val="7FDE4F2E"/>
    <w:rsid w:val="7FDF45BF"/>
    <w:rsid w:val="7FE502C7"/>
    <w:rsid w:val="7FE629A6"/>
    <w:rsid w:val="7FE775E5"/>
    <w:rsid w:val="7FE9D7FA"/>
    <w:rsid w:val="7FEBA1DC"/>
    <w:rsid w:val="7FEC3260"/>
    <w:rsid w:val="7FEE086E"/>
    <w:rsid w:val="7FF4F074"/>
    <w:rsid w:val="7FF98BCC"/>
    <w:rsid w:val="7FFAAB06"/>
    <w:rsid w:val="7FFD9011"/>
    <w:rsid w:val="7FFF03C4"/>
    <w:rsid w:val="7FFF27F5"/>
    <w:rsid w:val="7FFF4CC5"/>
    <w:rsid w:val="7FFFDAAB"/>
    <w:rsid w:val="7FFFF60D"/>
    <w:rsid w:val="80F5FCD3"/>
    <w:rsid w:val="860E37D5"/>
    <w:rsid w:val="8F7E6AA9"/>
    <w:rsid w:val="8F7F1226"/>
    <w:rsid w:val="8FED2456"/>
    <w:rsid w:val="8FF15F2D"/>
    <w:rsid w:val="90AB1B46"/>
    <w:rsid w:val="933EFE0F"/>
    <w:rsid w:val="93B7922C"/>
    <w:rsid w:val="96FD269F"/>
    <w:rsid w:val="97EF021C"/>
    <w:rsid w:val="99C0B56B"/>
    <w:rsid w:val="9BFA1C34"/>
    <w:rsid w:val="9D7B57CE"/>
    <w:rsid w:val="9D7FF3EE"/>
    <w:rsid w:val="9E5F1454"/>
    <w:rsid w:val="9EFD8AEC"/>
    <w:rsid w:val="9F7971CA"/>
    <w:rsid w:val="9FAE9848"/>
    <w:rsid w:val="9FB1A284"/>
    <w:rsid w:val="A27D9A8D"/>
    <w:rsid w:val="A5F647FE"/>
    <w:rsid w:val="A5FC1AC1"/>
    <w:rsid w:val="A7D171B7"/>
    <w:rsid w:val="A7FFA702"/>
    <w:rsid w:val="A7FFC546"/>
    <w:rsid w:val="AADE88E5"/>
    <w:rsid w:val="ACEF8C3B"/>
    <w:rsid w:val="AD7FD195"/>
    <w:rsid w:val="ADFE1D50"/>
    <w:rsid w:val="ADFF747C"/>
    <w:rsid w:val="AE755BA1"/>
    <w:rsid w:val="AE7F1536"/>
    <w:rsid w:val="AEB75174"/>
    <w:rsid w:val="AEDFF199"/>
    <w:rsid w:val="AFAD57DD"/>
    <w:rsid w:val="AFD7A3AC"/>
    <w:rsid w:val="B0AA3131"/>
    <w:rsid w:val="B3FD1CB1"/>
    <w:rsid w:val="B57760D2"/>
    <w:rsid w:val="B5B07801"/>
    <w:rsid w:val="B5B7BAEF"/>
    <w:rsid w:val="B6E59ED1"/>
    <w:rsid w:val="B737851B"/>
    <w:rsid w:val="B74D925F"/>
    <w:rsid w:val="B77DCFAD"/>
    <w:rsid w:val="B7B67F87"/>
    <w:rsid w:val="B7E253C4"/>
    <w:rsid w:val="B7EF0EF4"/>
    <w:rsid w:val="B7EF3D74"/>
    <w:rsid w:val="B7FD796C"/>
    <w:rsid w:val="B9B75B28"/>
    <w:rsid w:val="B9EBBDA5"/>
    <w:rsid w:val="BA2CE7D6"/>
    <w:rsid w:val="BA7F137E"/>
    <w:rsid w:val="BACE4A5F"/>
    <w:rsid w:val="BAFF7F22"/>
    <w:rsid w:val="BB755A17"/>
    <w:rsid w:val="BBEBFB51"/>
    <w:rsid w:val="BBFFB79D"/>
    <w:rsid w:val="BCDB3E5E"/>
    <w:rsid w:val="BCFF02D4"/>
    <w:rsid w:val="BDD4D0F5"/>
    <w:rsid w:val="BDE92206"/>
    <w:rsid w:val="BDEDD6DA"/>
    <w:rsid w:val="BDFB92B0"/>
    <w:rsid w:val="BDFFEDF2"/>
    <w:rsid w:val="BE7E64EF"/>
    <w:rsid w:val="BEBDB7A8"/>
    <w:rsid w:val="BEBF119E"/>
    <w:rsid w:val="BEBFB675"/>
    <w:rsid w:val="BEDF9592"/>
    <w:rsid w:val="BEF50E92"/>
    <w:rsid w:val="BEF67C74"/>
    <w:rsid w:val="BEF75AE5"/>
    <w:rsid w:val="BF05F532"/>
    <w:rsid w:val="BF3F50DC"/>
    <w:rsid w:val="BF7A9762"/>
    <w:rsid w:val="BF976027"/>
    <w:rsid w:val="BF9D238B"/>
    <w:rsid w:val="BFAF7EDC"/>
    <w:rsid w:val="BFBB9DF6"/>
    <w:rsid w:val="BFBE3A70"/>
    <w:rsid w:val="BFBF12F9"/>
    <w:rsid w:val="BFCC6DAA"/>
    <w:rsid w:val="BFDF6E0F"/>
    <w:rsid w:val="BFDFBC04"/>
    <w:rsid w:val="BFEC89A5"/>
    <w:rsid w:val="BFF632E2"/>
    <w:rsid w:val="BFFD9ECD"/>
    <w:rsid w:val="BFFF8290"/>
    <w:rsid w:val="C3768927"/>
    <w:rsid w:val="C3A2476B"/>
    <w:rsid w:val="C3BFE4FD"/>
    <w:rsid w:val="C7BE55DF"/>
    <w:rsid w:val="CB749CD1"/>
    <w:rsid w:val="CBB38F86"/>
    <w:rsid w:val="CBB71B27"/>
    <w:rsid w:val="CBFEE6A6"/>
    <w:rsid w:val="CD2F9D69"/>
    <w:rsid w:val="CD5F28EC"/>
    <w:rsid w:val="CD6C5CD4"/>
    <w:rsid w:val="CDFB2BBE"/>
    <w:rsid w:val="CEFF09DE"/>
    <w:rsid w:val="CF3EBBDD"/>
    <w:rsid w:val="CF4FB81E"/>
    <w:rsid w:val="CF8F7C13"/>
    <w:rsid w:val="CFAB2B0E"/>
    <w:rsid w:val="CFCD3518"/>
    <w:rsid w:val="CFF8A1C2"/>
    <w:rsid w:val="D1FFD293"/>
    <w:rsid w:val="D2EFF783"/>
    <w:rsid w:val="D3F7156C"/>
    <w:rsid w:val="D5DCCFBA"/>
    <w:rsid w:val="D67525F3"/>
    <w:rsid w:val="D79FF10A"/>
    <w:rsid w:val="D7EF27E6"/>
    <w:rsid w:val="D7EFDC05"/>
    <w:rsid w:val="D7F69E76"/>
    <w:rsid w:val="D7FB3C20"/>
    <w:rsid w:val="D8EF97BC"/>
    <w:rsid w:val="D9A63E15"/>
    <w:rsid w:val="DAB7C1B7"/>
    <w:rsid w:val="DADE027D"/>
    <w:rsid w:val="DAE7FC72"/>
    <w:rsid w:val="DB771DC9"/>
    <w:rsid w:val="DBBDCC2C"/>
    <w:rsid w:val="DBEE4352"/>
    <w:rsid w:val="DC8F9A8C"/>
    <w:rsid w:val="DCFF229E"/>
    <w:rsid w:val="DDA77AA4"/>
    <w:rsid w:val="DDBF1CA2"/>
    <w:rsid w:val="DDD7175F"/>
    <w:rsid w:val="DDDEFC4A"/>
    <w:rsid w:val="DDF5CE21"/>
    <w:rsid w:val="DDFDA26C"/>
    <w:rsid w:val="DDFF72A4"/>
    <w:rsid w:val="DE6518C7"/>
    <w:rsid w:val="DE772669"/>
    <w:rsid w:val="DEBCF2E2"/>
    <w:rsid w:val="DEEF38CE"/>
    <w:rsid w:val="DEEF9A71"/>
    <w:rsid w:val="DF4F294A"/>
    <w:rsid w:val="DF6FEEF0"/>
    <w:rsid w:val="DF733C68"/>
    <w:rsid w:val="DF7EA038"/>
    <w:rsid w:val="DFA3AFC9"/>
    <w:rsid w:val="DFBED2E9"/>
    <w:rsid w:val="DFD7C576"/>
    <w:rsid w:val="DFEB9980"/>
    <w:rsid w:val="DFEDE183"/>
    <w:rsid w:val="DFEFA43D"/>
    <w:rsid w:val="DFEFDAAA"/>
    <w:rsid w:val="DFF5CAE2"/>
    <w:rsid w:val="DFFBDA8E"/>
    <w:rsid w:val="DFFF67CD"/>
    <w:rsid w:val="E0BFCB4F"/>
    <w:rsid w:val="E0D1458F"/>
    <w:rsid w:val="E2FC3BCE"/>
    <w:rsid w:val="E3CFE01E"/>
    <w:rsid w:val="E3E61386"/>
    <w:rsid w:val="E3FFA5B7"/>
    <w:rsid w:val="E439D70A"/>
    <w:rsid w:val="E4F2FE91"/>
    <w:rsid w:val="E5AF2872"/>
    <w:rsid w:val="E69BB172"/>
    <w:rsid w:val="E6F19776"/>
    <w:rsid w:val="E71E1A90"/>
    <w:rsid w:val="E746F62C"/>
    <w:rsid w:val="E777EC0A"/>
    <w:rsid w:val="E7BB79C1"/>
    <w:rsid w:val="E7BD03C2"/>
    <w:rsid w:val="E7EC0E7F"/>
    <w:rsid w:val="E7FBEDE3"/>
    <w:rsid w:val="E9DBE3E3"/>
    <w:rsid w:val="E9FF72E8"/>
    <w:rsid w:val="EAF7DD26"/>
    <w:rsid w:val="EAFE5BD3"/>
    <w:rsid w:val="EB4BDCA9"/>
    <w:rsid w:val="EB6F9B30"/>
    <w:rsid w:val="EBE7D47B"/>
    <w:rsid w:val="EBF71C01"/>
    <w:rsid w:val="EBF74972"/>
    <w:rsid w:val="EBFF428A"/>
    <w:rsid w:val="EC7DD7A8"/>
    <w:rsid w:val="EDBD498C"/>
    <w:rsid w:val="EDCCBA47"/>
    <w:rsid w:val="EDCEAB1F"/>
    <w:rsid w:val="EDDF8C04"/>
    <w:rsid w:val="EDF637AB"/>
    <w:rsid w:val="EDFBFECE"/>
    <w:rsid w:val="EDFC4714"/>
    <w:rsid w:val="EDFFCC12"/>
    <w:rsid w:val="EEBFC77D"/>
    <w:rsid w:val="EEE79198"/>
    <w:rsid w:val="EEECD8DC"/>
    <w:rsid w:val="EEF7015D"/>
    <w:rsid w:val="EEFD27F2"/>
    <w:rsid w:val="EEFFB63B"/>
    <w:rsid w:val="EF5EF9FB"/>
    <w:rsid w:val="EF79AED2"/>
    <w:rsid w:val="EF7D2D69"/>
    <w:rsid w:val="EF7D4C10"/>
    <w:rsid w:val="EF8D8177"/>
    <w:rsid w:val="EFF3B1C7"/>
    <w:rsid w:val="F06EBEB6"/>
    <w:rsid w:val="F0DB42FD"/>
    <w:rsid w:val="F0DE14CE"/>
    <w:rsid w:val="F136C222"/>
    <w:rsid w:val="F1FF91C7"/>
    <w:rsid w:val="F21F09D6"/>
    <w:rsid w:val="F273D831"/>
    <w:rsid w:val="F37D28FF"/>
    <w:rsid w:val="F3FF88F1"/>
    <w:rsid w:val="F44ECD3A"/>
    <w:rsid w:val="F5BFB877"/>
    <w:rsid w:val="F5DD8460"/>
    <w:rsid w:val="F5E36CC3"/>
    <w:rsid w:val="F5EFC993"/>
    <w:rsid w:val="F5F93595"/>
    <w:rsid w:val="F6569E96"/>
    <w:rsid w:val="F68F63B3"/>
    <w:rsid w:val="F6FE2C7D"/>
    <w:rsid w:val="F6FFAD19"/>
    <w:rsid w:val="F767FB26"/>
    <w:rsid w:val="F76E27EE"/>
    <w:rsid w:val="F7A143C2"/>
    <w:rsid w:val="F7AF5490"/>
    <w:rsid w:val="F7CB4D3F"/>
    <w:rsid w:val="F7CDBA2B"/>
    <w:rsid w:val="F7EE29AC"/>
    <w:rsid w:val="F7EFADE5"/>
    <w:rsid w:val="F7F595B0"/>
    <w:rsid w:val="F7F78DBE"/>
    <w:rsid w:val="F7FB28AE"/>
    <w:rsid w:val="F7FE89D4"/>
    <w:rsid w:val="F7FF7F79"/>
    <w:rsid w:val="F85FD4AE"/>
    <w:rsid w:val="F8F7DED6"/>
    <w:rsid w:val="F9BBC6D1"/>
    <w:rsid w:val="F9F69D11"/>
    <w:rsid w:val="F9FDB548"/>
    <w:rsid w:val="FA3909B9"/>
    <w:rsid w:val="FA67E0B9"/>
    <w:rsid w:val="FA9ABFEB"/>
    <w:rsid w:val="FADF818E"/>
    <w:rsid w:val="FB3E1BC2"/>
    <w:rsid w:val="FB574EBD"/>
    <w:rsid w:val="FB5DB01F"/>
    <w:rsid w:val="FB5ED3BE"/>
    <w:rsid w:val="FB8F6F5A"/>
    <w:rsid w:val="FB9F9AF1"/>
    <w:rsid w:val="FBB92FDF"/>
    <w:rsid w:val="FBBE3376"/>
    <w:rsid w:val="FBEBD216"/>
    <w:rsid w:val="FBED028F"/>
    <w:rsid w:val="FBF266B4"/>
    <w:rsid w:val="FBFD62D9"/>
    <w:rsid w:val="FBFF06CE"/>
    <w:rsid w:val="FBFF695B"/>
    <w:rsid w:val="FBFF8BCB"/>
    <w:rsid w:val="FBFF98E8"/>
    <w:rsid w:val="FC3A953D"/>
    <w:rsid w:val="FCBB1FD9"/>
    <w:rsid w:val="FCDDCA36"/>
    <w:rsid w:val="FCF7713E"/>
    <w:rsid w:val="FCF7ADF5"/>
    <w:rsid w:val="FCFC68DA"/>
    <w:rsid w:val="FD77EECC"/>
    <w:rsid w:val="FD8E07BB"/>
    <w:rsid w:val="FD91EBFE"/>
    <w:rsid w:val="FDB336A2"/>
    <w:rsid w:val="FDB70669"/>
    <w:rsid w:val="FDBE018C"/>
    <w:rsid w:val="FDBF7F58"/>
    <w:rsid w:val="FDC1B7DC"/>
    <w:rsid w:val="FDDF05DF"/>
    <w:rsid w:val="FDEA1470"/>
    <w:rsid w:val="FDEBC7A8"/>
    <w:rsid w:val="FDF98BD3"/>
    <w:rsid w:val="FDFD8564"/>
    <w:rsid w:val="FDFE2E0E"/>
    <w:rsid w:val="FDFE5C72"/>
    <w:rsid w:val="FDFEA5CB"/>
    <w:rsid w:val="FDFF2BFC"/>
    <w:rsid w:val="FDFF374D"/>
    <w:rsid w:val="FDFFD55F"/>
    <w:rsid w:val="FE0F7ED5"/>
    <w:rsid w:val="FE3B2EAE"/>
    <w:rsid w:val="FE4F9717"/>
    <w:rsid w:val="FE767B06"/>
    <w:rsid w:val="FE7F12D5"/>
    <w:rsid w:val="FEBEF164"/>
    <w:rsid w:val="FEBF8B30"/>
    <w:rsid w:val="FED55D18"/>
    <w:rsid w:val="FEDE992F"/>
    <w:rsid w:val="FEF93620"/>
    <w:rsid w:val="FF2D2725"/>
    <w:rsid w:val="FF375146"/>
    <w:rsid w:val="FF3BD6EB"/>
    <w:rsid w:val="FF3E5E1A"/>
    <w:rsid w:val="FF579B68"/>
    <w:rsid w:val="FF5F99B7"/>
    <w:rsid w:val="FF677730"/>
    <w:rsid w:val="FF6D5511"/>
    <w:rsid w:val="FF6FA656"/>
    <w:rsid w:val="FF71AB95"/>
    <w:rsid w:val="FF76C69A"/>
    <w:rsid w:val="FF79D3FE"/>
    <w:rsid w:val="FF7C68DA"/>
    <w:rsid w:val="FF7D46E3"/>
    <w:rsid w:val="FF7DD198"/>
    <w:rsid w:val="FF7DEA6E"/>
    <w:rsid w:val="FF7F7C5D"/>
    <w:rsid w:val="FF8736CD"/>
    <w:rsid w:val="FFAE78C5"/>
    <w:rsid w:val="FFAF92C0"/>
    <w:rsid w:val="FFB0AF82"/>
    <w:rsid w:val="FFB64CF9"/>
    <w:rsid w:val="FFBE48ED"/>
    <w:rsid w:val="FFBF7932"/>
    <w:rsid w:val="FFC9E607"/>
    <w:rsid w:val="FFCFBF17"/>
    <w:rsid w:val="FFDE312D"/>
    <w:rsid w:val="FFDEC33D"/>
    <w:rsid w:val="FFDF327C"/>
    <w:rsid w:val="FFDF877C"/>
    <w:rsid w:val="FFDFEBFF"/>
    <w:rsid w:val="FFE5BAC0"/>
    <w:rsid w:val="FFEE5439"/>
    <w:rsid w:val="FFEE7373"/>
    <w:rsid w:val="FFEF0D4C"/>
    <w:rsid w:val="FFF49CE2"/>
    <w:rsid w:val="FFF4AD69"/>
    <w:rsid w:val="FFF7A5C7"/>
    <w:rsid w:val="FFFB877A"/>
    <w:rsid w:val="FFFBAACF"/>
    <w:rsid w:val="FFFC3CC9"/>
    <w:rsid w:val="FFFD72C9"/>
    <w:rsid w:val="FFFE87E9"/>
    <w:rsid w:val="FFFEA77B"/>
    <w:rsid w:val="FFFF99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character" w:styleId="8">
    <w:name w:val="FollowedHyperlink"/>
    <w:basedOn w:val="7"/>
    <w:qFormat/>
    <w:uiPriority w:val="0"/>
    <w:rPr>
      <w:color w:val="800080"/>
      <w:u w:val="single"/>
    </w:rPr>
  </w:style>
  <w:style w:type="character" w:styleId="9">
    <w:name w:val="Hyperlink"/>
    <w:basedOn w:val="7"/>
    <w:qFormat/>
    <w:uiPriority w:val="0"/>
    <w:rPr>
      <w:color w:val="0000FF"/>
      <w:u w:val="single"/>
    </w:rPr>
  </w:style>
  <w:style w:type="table" w:styleId="11">
    <w:name w:val="Table Grid"/>
    <w:basedOn w:val="10"/>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2">
    <w:name w:val="WPSOffice手动目录 1"/>
    <w:qFormat/>
    <w:uiPriority w:val="0"/>
    <w:pPr>
      <w:ind w:leftChars="0"/>
    </w:pPr>
    <w:rPr>
      <w:rFonts w:asciiTheme="minorHAnsi" w:hAnsiTheme="minorHAnsi" w:eastAsiaTheme="minorEastAsia" w:cstheme="minorBidi"/>
      <w:sz w:val="20"/>
      <w:szCs w:val="20"/>
    </w:rPr>
  </w:style>
  <w:style w:type="paragraph" w:customStyle="1" w:styleId="13">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2921a200-e6e1-477c-bb2e-40f02de7bf0b}"/>
        <w:style w:val=""/>
        <w:category>
          <w:name w:val="常规"/>
          <w:gallery w:val="placeholder"/>
        </w:category>
        <w:types>
          <w:type w:val="bbPlcHdr"/>
        </w:types>
        <w:behaviors>
          <w:behavior w:val="content"/>
        </w:behaviors>
        <w:description w:val=""/>
        <w:guid w:val="{2921a200-e6e1-477c-bb2e-40f02de7bf0b}"/>
      </w:docPartPr>
      <w:docPartBody>
        <w:p>
          <w:r>
            <w:rPr>
              <w:color w:val="808080"/>
            </w:rPr>
            <w:t>单击此处输入文字。</w:t>
          </w:r>
        </w:p>
      </w:docPartBody>
    </w:docPart>
    <w:docPart>
      <w:docPartPr>
        <w:name w:val="{487653e2-f00a-41ea-b008-61706dcdb8ee}"/>
        <w:style w:val=""/>
        <w:category>
          <w:name w:val="常规"/>
          <w:gallery w:val="placeholder"/>
        </w:category>
        <w:types>
          <w:type w:val="bbPlcHdr"/>
        </w:types>
        <w:behaviors>
          <w:behavior w:val="content"/>
        </w:behaviors>
        <w:description w:val=""/>
        <w:guid w:val="{487653e2-f00a-41ea-b008-61706dcdb8ee}"/>
      </w:docPartPr>
      <w:docPartBody>
        <w:p>
          <w:r>
            <w:rPr>
              <w:color w:val="808080"/>
            </w:rPr>
            <w:t>单击此处输入文字。</w:t>
          </w:r>
        </w:p>
      </w:docPartBody>
    </w:docPart>
    <w:docPart>
      <w:docPartPr>
        <w:name w:val="{7e935863-d94c-4193-9102-18ba7eccaedf}"/>
        <w:style w:val=""/>
        <w:category>
          <w:name w:val="常规"/>
          <w:gallery w:val="placeholder"/>
        </w:category>
        <w:types>
          <w:type w:val="bbPlcHdr"/>
        </w:types>
        <w:behaviors>
          <w:behavior w:val="content"/>
        </w:behaviors>
        <w:description w:val=""/>
        <w:guid w:val="{7e935863-d94c-4193-9102-18ba7eccaedf}"/>
      </w:docPartPr>
      <w:docPartBody>
        <w:p>
          <w:r>
            <w:rPr>
              <w:color w:val="808080"/>
            </w:rPr>
            <w:t>单击此处输入文字。</w:t>
          </w:r>
        </w:p>
      </w:docPartBody>
    </w:docPart>
    <w:docPart>
      <w:docPartPr>
        <w:name w:val="{59243ea0-ed48-4a6d-8e8b-1c7dce038888}"/>
        <w:style w:val=""/>
        <w:category>
          <w:name w:val="常规"/>
          <w:gallery w:val="placeholder"/>
        </w:category>
        <w:types>
          <w:type w:val="bbPlcHdr"/>
        </w:types>
        <w:behaviors>
          <w:behavior w:val="content"/>
        </w:behaviors>
        <w:description w:val=""/>
        <w:guid w:val="{59243ea0-ed48-4a6d-8e8b-1c7dce038888}"/>
      </w:docPartPr>
      <w:docPartBody>
        <w:p>
          <w:r>
            <w:rPr>
              <w:color w:val="808080"/>
            </w:rPr>
            <w:t>单击此处输入文字。</w:t>
          </w:r>
        </w:p>
      </w:docPartBody>
    </w:docPart>
    <w:docPart>
      <w:docPartPr>
        <w:name w:val="{821b8c1b-cb3e-435b-ba7a-fb877e7749d0}"/>
        <w:style w:val=""/>
        <w:category>
          <w:name w:val="常规"/>
          <w:gallery w:val="placeholder"/>
        </w:category>
        <w:types>
          <w:type w:val="bbPlcHdr"/>
        </w:types>
        <w:behaviors>
          <w:behavior w:val="content"/>
        </w:behaviors>
        <w:description w:val=""/>
        <w:guid w:val="{821b8c1b-cb3e-435b-ba7a-fb877e7749d0}"/>
      </w:docPartPr>
      <w:docPartBody>
        <w:p>
          <w:r>
            <w:rPr>
              <w:color w:val="808080"/>
            </w:rPr>
            <w:t>单击此处输入文字。</w:t>
          </w:r>
        </w:p>
      </w:docPartBody>
    </w:docPart>
    <w:docPart>
      <w:docPartPr>
        <w:name w:val="{8a8d37c9-6783-45f9-a4db-b1263f58fa40}"/>
        <w:style w:val=""/>
        <w:category>
          <w:name w:val="常规"/>
          <w:gallery w:val="placeholder"/>
        </w:category>
        <w:types>
          <w:type w:val="bbPlcHdr"/>
        </w:types>
        <w:behaviors>
          <w:behavior w:val="content"/>
        </w:behaviors>
        <w:description w:val=""/>
        <w:guid w:val="{8a8d37c9-6783-45f9-a4db-b1263f58fa40}"/>
      </w:docPartPr>
      <w:docPartBody>
        <w:p>
          <w:r>
            <w:rPr>
              <w:color w:val="808080"/>
            </w:rPr>
            <w:t>单击此处输入文字。</w:t>
          </w:r>
        </w:p>
      </w:docPartBody>
    </w:docPart>
    <w:docPart>
      <w:docPartPr>
        <w:name w:val="{c51604f4-2fc5-4f63-93c2-e75000bdd55c}"/>
        <w:style w:val=""/>
        <w:category>
          <w:name w:val="常规"/>
          <w:gallery w:val="placeholder"/>
        </w:category>
        <w:types>
          <w:type w:val="bbPlcHdr"/>
        </w:types>
        <w:behaviors>
          <w:behavior w:val="content"/>
        </w:behaviors>
        <w:description w:val=""/>
        <w:guid w:val="{c51604f4-2fc5-4f63-93c2-e75000bdd55c}"/>
      </w:docPartPr>
      <w:docPartBody>
        <w:p>
          <w:r>
            <w:rPr>
              <w:color w:val="808080"/>
            </w:rPr>
            <w:t>单击此处输入文字。</w:t>
          </w:r>
        </w:p>
      </w:docPartBody>
    </w:docPart>
    <w:docPart>
      <w:docPartPr>
        <w:name w:val="{b5a62459-db79-4c39-b960-cc1db3cd9fcd}"/>
        <w:style w:val=""/>
        <w:category>
          <w:name w:val="常规"/>
          <w:gallery w:val="placeholder"/>
        </w:category>
        <w:types>
          <w:type w:val="bbPlcHdr"/>
        </w:types>
        <w:behaviors>
          <w:behavior w:val="content"/>
        </w:behaviors>
        <w:description w:val=""/>
        <w:guid w:val="{b5a62459-db79-4c39-b960-cc1db3cd9fcd}"/>
      </w:docPartPr>
      <w:docPartBody>
        <w:p>
          <w:r>
            <w:rPr>
              <w:color w:val="808080"/>
            </w:rPr>
            <w:t>单击此处输入文字。</w:t>
          </w:r>
        </w:p>
      </w:docPartBody>
    </w:docPart>
    <w:docPart>
      <w:docPartPr>
        <w:name w:val="{2d9c3427-3cd6-4eda-8a5f-2ec19fa122f6}"/>
        <w:style w:val=""/>
        <w:category>
          <w:name w:val="常规"/>
          <w:gallery w:val="placeholder"/>
        </w:category>
        <w:types>
          <w:type w:val="bbPlcHdr"/>
        </w:types>
        <w:behaviors>
          <w:behavior w:val="content"/>
        </w:behaviors>
        <w:description w:val=""/>
        <w:guid w:val="{2d9c3427-3cd6-4eda-8a5f-2ec19fa122f6}"/>
      </w:docPartPr>
      <w:docPartBody>
        <w:p>
          <w:r>
            <w:rPr>
              <w:color w:val="808080"/>
            </w:rPr>
            <w:t>单击此处输入文字。</w:t>
          </w:r>
        </w:p>
      </w:docPartBody>
    </w:docPart>
    <w:docPart>
      <w:docPartPr>
        <w:name w:val="{2a8474de-3e84-4b8d-9cfe-a9ac92598269}"/>
        <w:style w:val=""/>
        <w:category>
          <w:name w:val="常规"/>
          <w:gallery w:val="placeholder"/>
        </w:category>
        <w:types>
          <w:type w:val="bbPlcHdr"/>
        </w:types>
        <w:behaviors>
          <w:behavior w:val="content"/>
        </w:behaviors>
        <w:description w:val=""/>
        <w:guid w:val="{2a8474de-3e84-4b8d-9cfe-a9ac92598269}"/>
      </w:docPartPr>
      <w:docPartBody>
        <w:p>
          <w:r>
            <w:rPr>
              <w:color w:val="808080"/>
            </w:rPr>
            <w:t>单击此处输入文字。</w:t>
          </w:r>
        </w:p>
      </w:docPartBody>
    </w:docPart>
    <w:docPart>
      <w:docPartPr>
        <w:name w:val="{cd52fd6a-bc22-4a5b-b929-f1ff8fe98ab3}"/>
        <w:style w:val=""/>
        <w:category>
          <w:name w:val="常规"/>
          <w:gallery w:val="placeholder"/>
        </w:category>
        <w:types>
          <w:type w:val="bbPlcHdr"/>
        </w:types>
        <w:behaviors>
          <w:behavior w:val="content"/>
        </w:behaviors>
        <w:description w:val=""/>
        <w:guid w:val="{cd52fd6a-bc22-4a5b-b929-f1ff8fe98ab3}"/>
      </w:docPartPr>
      <w:docPartBody>
        <w:p>
          <w:r>
            <w:rPr>
              <w:color w:val="808080"/>
            </w:rPr>
            <w:t>单击此处输入文字。</w:t>
          </w:r>
        </w:p>
      </w:docPartBody>
    </w:docPart>
    <w:docPart>
      <w:docPartPr>
        <w:name w:val="{f1d8a7e7-ee95-4569-a0a4-33b7457cb372}"/>
        <w:style w:val=""/>
        <w:category>
          <w:name w:val="常规"/>
          <w:gallery w:val="placeholder"/>
        </w:category>
        <w:types>
          <w:type w:val="bbPlcHdr"/>
        </w:types>
        <w:behaviors>
          <w:behavior w:val="content"/>
        </w:behaviors>
        <w:description w:val=""/>
        <w:guid w:val="{f1d8a7e7-ee95-4569-a0a4-33b7457cb372}"/>
      </w:docPartPr>
      <w:docPartBody>
        <w:p>
          <w:r>
            <w:rPr>
              <w:color w:val="808080"/>
            </w:rPr>
            <w:t>单击此处输入文字。</w:t>
          </w:r>
        </w:p>
      </w:docPartBody>
    </w:docPart>
    <w:docPart>
      <w:docPartPr>
        <w:name w:val="{22007b77-290f-4b8b-ba47-76576b5fb0f2}"/>
        <w:style w:val=""/>
        <w:category>
          <w:name w:val="常规"/>
          <w:gallery w:val="placeholder"/>
        </w:category>
        <w:types>
          <w:type w:val="bbPlcHdr"/>
        </w:types>
        <w:behaviors>
          <w:behavior w:val="content"/>
        </w:behaviors>
        <w:description w:val=""/>
        <w:guid w:val="{22007b77-290f-4b8b-ba47-76576b5fb0f2}"/>
      </w:docPartPr>
      <w:docPartBody>
        <w:p>
          <w:r>
            <w:rPr>
              <w:color w:val="808080"/>
            </w:rPr>
            <w:t>单击此处输入文字。</w:t>
          </w:r>
        </w:p>
      </w:docPartBody>
    </w:docPart>
    <w:docPart>
      <w:docPartPr>
        <w:name w:val="{fc79df49-be42-4e6d-a3f7-dd9b39a9d9e3}"/>
        <w:style w:val=""/>
        <w:category>
          <w:name w:val="常规"/>
          <w:gallery w:val="placeholder"/>
        </w:category>
        <w:types>
          <w:type w:val="bbPlcHdr"/>
        </w:types>
        <w:behaviors>
          <w:behavior w:val="content"/>
        </w:behaviors>
        <w:description w:val=""/>
        <w:guid w:val="{fc79df49-be42-4e6d-a3f7-dd9b39a9d9e3}"/>
      </w:docPartPr>
      <w:docPartBody>
        <w:p>
          <w:r>
            <w:rPr>
              <w:color w:val="808080"/>
            </w:rPr>
            <w:t>单击此处输入文字。</w:t>
          </w:r>
        </w:p>
      </w:docPartBody>
    </w:docPart>
    <w:docPart>
      <w:docPartPr>
        <w:name w:val="{437eeae3-c93e-4284-9ba9-6e96049c42e1}"/>
        <w:style w:val=""/>
        <w:category>
          <w:name w:val="常规"/>
          <w:gallery w:val="placeholder"/>
        </w:category>
        <w:types>
          <w:type w:val="bbPlcHdr"/>
        </w:types>
        <w:behaviors>
          <w:behavior w:val="content"/>
        </w:behaviors>
        <w:description w:val=""/>
        <w:guid w:val="{437eeae3-c93e-4284-9ba9-6e96049c42e1}"/>
      </w:docPartPr>
      <w:docPartBody>
        <w:p>
          <w:r>
            <w:rPr>
              <w:color w:val="808080"/>
            </w:rPr>
            <w:t>单击此处输入文字。</w:t>
          </w:r>
        </w:p>
      </w:docPartBody>
    </w:docPart>
    <w:docPart>
      <w:docPartPr>
        <w:name w:val="{58599c47-f3dd-47b8-b79b-ead43b631306}"/>
        <w:style w:val=""/>
        <w:category>
          <w:name w:val="常规"/>
          <w:gallery w:val="placeholder"/>
        </w:category>
        <w:types>
          <w:type w:val="bbPlcHdr"/>
        </w:types>
        <w:behaviors>
          <w:behavior w:val="content"/>
        </w:behaviors>
        <w:description w:val=""/>
        <w:guid w:val="{58599c47-f3dd-47b8-b79b-ead43b63130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Office_1.9.1.2994_F1E327BC-269C-435d-A152-05C5408002CA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2019-12-29T23:42:00Z</dcterms:created>
  <dc:creator>pin</dc:creator>
  <cp:lastModifiedBy>pin</cp:lastModifiedBy>
  <dcterms:modified xsi:type="dcterms:W3CDTF">2020-01-09T22:58:42Z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2052-1.9.1.2994</vt:lpwstr>
  </property>
</Properties>
</file>