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266549" w14:textId="77777777" w:rsidR="00944BC2" w:rsidRPr="00B403E2" w:rsidRDefault="00944BC2" w:rsidP="00944BC2">
      <w:pPr>
        <w:rPr>
          <w:rFonts w:ascii="Calibri" w:hAnsi="Calibri" w:cs="Calibri"/>
          <w:b/>
          <w:bCs/>
          <w:u w:val="single"/>
        </w:rPr>
      </w:pPr>
      <w:r w:rsidRPr="00B403E2">
        <w:rPr>
          <w:rFonts w:ascii="Calibri" w:hAnsi="Calibri" w:cs="Calibri"/>
          <w:b/>
          <w:bCs/>
          <w:u w:val="single"/>
        </w:rPr>
        <w:t>3.1 Introduction</w:t>
      </w:r>
    </w:p>
    <w:p w14:paraId="2E08883F" w14:textId="77777777" w:rsidR="00944BC2" w:rsidRPr="00B403E2" w:rsidRDefault="00944BC2" w:rsidP="00944BC2">
      <w:pPr>
        <w:rPr>
          <w:rFonts w:ascii="Calibri" w:hAnsi="Calibri" w:cs="Calibri"/>
        </w:rPr>
      </w:pPr>
      <w:r w:rsidRPr="00B403E2">
        <w:rPr>
          <w:rFonts w:ascii="Calibri" w:hAnsi="Calibri" w:cs="Calibri"/>
        </w:rPr>
        <w:t>This chapter will present an overview of the research methods that have been utilise</w:t>
      </w:r>
      <w:r>
        <w:rPr>
          <w:rFonts w:ascii="Calibri" w:hAnsi="Calibri" w:cs="Calibri"/>
        </w:rPr>
        <w:t>d</w:t>
      </w:r>
      <w:r w:rsidRPr="00B403E2">
        <w:rPr>
          <w:rFonts w:ascii="Calibri" w:hAnsi="Calibri" w:cs="Calibri"/>
        </w:rPr>
        <w:t xml:space="preserve"> for conducting the relevant research around neighbourhood policing. The beginning of the methodology will discuss the ethical commitment followed by a detailed explanation and justification for such research methods being use</w:t>
      </w:r>
      <w:r>
        <w:rPr>
          <w:rFonts w:ascii="Calibri" w:hAnsi="Calibri" w:cs="Calibri"/>
        </w:rPr>
        <w:t xml:space="preserve">d. </w:t>
      </w:r>
    </w:p>
    <w:p w14:paraId="185FB3ED" w14:textId="77777777" w:rsidR="00944BC2" w:rsidRDefault="00944BC2" w:rsidP="00944BC2">
      <w:pPr>
        <w:rPr>
          <w:rFonts w:ascii="Calibri" w:hAnsi="Calibri" w:cs="Calibri"/>
        </w:rPr>
      </w:pPr>
      <w:r w:rsidRPr="00B403E2">
        <w:rPr>
          <w:rFonts w:ascii="Calibri" w:hAnsi="Calibri" w:cs="Calibri"/>
        </w:rPr>
        <w:t xml:space="preserve">When undertaking research, it is important to understand what research is, the Oxford Leaners Dictionary (2024) has provided the description of research as a thorough examination of a given topic, particularly to uncover new facts and relevant information around a given topic. At current there is little insight into </w:t>
      </w:r>
      <w:r>
        <w:rPr>
          <w:rFonts w:ascii="Calibri" w:hAnsi="Calibri" w:cs="Calibri"/>
        </w:rPr>
        <w:t xml:space="preserve">what </w:t>
      </w:r>
      <w:r w:rsidRPr="00B403E2">
        <w:rPr>
          <w:rFonts w:ascii="Calibri" w:hAnsi="Calibri" w:cs="Calibri"/>
        </w:rPr>
        <w:t xml:space="preserve">the public actually think about the police within their respective neighbourhoods and how much engagement they have with the police. </w:t>
      </w:r>
    </w:p>
    <w:p w14:paraId="2A86592D" w14:textId="77777777" w:rsidR="00944BC2" w:rsidRPr="00B403E2" w:rsidRDefault="00944BC2" w:rsidP="00944BC2">
      <w:pPr>
        <w:rPr>
          <w:rFonts w:ascii="Calibri" w:hAnsi="Calibri" w:cs="Calibri"/>
        </w:rPr>
      </w:pPr>
    </w:p>
    <w:p w14:paraId="7F17D129" w14:textId="77777777" w:rsidR="00944BC2" w:rsidRPr="00B403E2" w:rsidRDefault="00944BC2" w:rsidP="00944BC2">
      <w:pPr>
        <w:rPr>
          <w:rFonts w:ascii="Calibri" w:hAnsi="Calibri" w:cs="Calibri"/>
        </w:rPr>
      </w:pPr>
      <w:r w:rsidRPr="00B403E2">
        <w:rPr>
          <w:rFonts w:ascii="Calibri" w:hAnsi="Calibri" w:cs="Calibri"/>
          <w:b/>
          <w:bCs/>
          <w:u w:val="single"/>
        </w:rPr>
        <w:t>3.2 Data collection method</w:t>
      </w:r>
      <w:r w:rsidRPr="00B403E2">
        <w:rPr>
          <w:rFonts w:ascii="Calibri" w:hAnsi="Calibri" w:cs="Calibri"/>
        </w:rPr>
        <w:t xml:space="preserve"> </w:t>
      </w:r>
    </w:p>
    <w:p w14:paraId="4FC00C7A" w14:textId="77777777" w:rsidR="00944BC2" w:rsidRDefault="00944BC2" w:rsidP="00944BC2">
      <w:pPr>
        <w:rPr>
          <w:rFonts w:ascii="Calibri" w:hAnsi="Calibri" w:cs="Calibri"/>
          <w:color w:val="333333"/>
          <w:shd w:val="clear" w:color="auto" w:fill="FFFFFF"/>
        </w:rPr>
      </w:pPr>
      <w:r w:rsidRPr="00B403E2">
        <w:rPr>
          <w:rFonts w:ascii="Calibri" w:hAnsi="Calibri" w:cs="Calibri"/>
        </w:rPr>
        <w:t xml:space="preserve">To conduct this research a mixed method approach will be </w:t>
      </w:r>
      <w:r>
        <w:rPr>
          <w:rFonts w:ascii="Calibri" w:hAnsi="Calibri" w:cs="Calibri"/>
        </w:rPr>
        <w:t>employed</w:t>
      </w:r>
      <w:r w:rsidRPr="00B403E2">
        <w:rPr>
          <w:rFonts w:ascii="Calibri" w:hAnsi="Calibri" w:cs="Calibri"/>
        </w:rPr>
        <w:t xml:space="preserve">. This is also known as a quantitative and qualitative research method, quantitative have been described by </w:t>
      </w:r>
      <w:r w:rsidRPr="00B403E2">
        <w:rPr>
          <w:rFonts w:ascii="Calibri" w:hAnsi="Calibri" w:cs="Calibri"/>
          <w:color w:val="333333"/>
          <w:shd w:val="clear" w:color="auto" w:fill="FFFFFF"/>
        </w:rPr>
        <w:t>Manmeet (2016) as deductive and qualitative as inductive. This research will be done by the participants completing a s</w:t>
      </w:r>
      <w:r>
        <w:rPr>
          <w:rFonts w:ascii="Calibri" w:hAnsi="Calibri" w:cs="Calibri"/>
          <w:color w:val="333333"/>
          <w:shd w:val="clear" w:color="auto" w:fill="FFFFFF"/>
        </w:rPr>
        <w:t xml:space="preserve">urvey </w:t>
      </w:r>
      <w:r w:rsidRPr="00B403E2">
        <w:rPr>
          <w:rFonts w:ascii="Calibri" w:hAnsi="Calibri" w:cs="Calibri"/>
          <w:color w:val="333333"/>
          <w:shd w:val="clear" w:color="auto" w:fill="FFFFFF"/>
        </w:rPr>
        <w:t>which will be sent out to them via social media, such as Facebook</w:t>
      </w:r>
      <w:r>
        <w:rPr>
          <w:rFonts w:ascii="Calibri" w:hAnsi="Calibri" w:cs="Calibri"/>
          <w:color w:val="333333"/>
          <w:shd w:val="clear" w:color="auto" w:fill="FFFFFF"/>
        </w:rPr>
        <w:t xml:space="preserve"> and X (</w:t>
      </w:r>
      <w:r w:rsidRPr="00B403E2">
        <w:rPr>
          <w:rFonts w:ascii="Calibri" w:hAnsi="Calibri" w:cs="Calibri"/>
          <w:color w:val="333333"/>
          <w:shd w:val="clear" w:color="auto" w:fill="FFFFFF"/>
        </w:rPr>
        <w:t>t</w:t>
      </w:r>
      <w:r>
        <w:rPr>
          <w:rFonts w:ascii="Calibri" w:hAnsi="Calibri" w:cs="Calibri"/>
          <w:color w:val="333333"/>
          <w:shd w:val="clear" w:color="auto" w:fill="FFFFFF"/>
        </w:rPr>
        <w:t>witter)</w:t>
      </w:r>
      <w:r w:rsidRPr="00B403E2">
        <w:rPr>
          <w:rFonts w:ascii="Calibri" w:hAnsi="Calibri" w:cs="Calibri"/>
          <w:color w:val="333333"/>
          <w:shd w:val="clear" w:color="auto" w:fill="FFFFFF"/>
        </w:rPr>
        <w:t xml:space="preserve">. This is due to this being more practical and efficient as </w:t>
      </w:r>
      <w:proofErr w:type="spellStart"/>
      <w:r w:rsidRPr="00B403E2">
        <w:rPr>
          <w:rFonts w:ascii="Calibri" w:hAnsi="Calibri" w:cs="Calibri"/>
          <w:color w:val="222222"/>
          <w:shd w:val="clear" w:color="auto" w:fill="FFFFFF"/>
        </w:rPr>
        <w:t>Gubrium</w:t>
      </w:r>
      <w:proofErr w:type="spellEnd"/>
      <w:r w:rsidRPr="00B403E2">
        <w:rPr>
          <w:rFonts w:ascii="Calibri" w:hAnsi="Calibri" w:cs="Calibri"/>
          <w:color w:val="222222"/>
          <w:shd w:val="clear" w:color="auto" w:fill="FFFFFF"/>
        </w:rPr>
        <w:t xml:space="preserve"> et al (2012) reports face to face interviews were the most dominate means of surveys, until the 1970s as more households acquired telephones allowing the interviewer to increase the amount of people they were interviewing due to no travel time. Now researchers can complete online surveys allowing them to be sent out to a vast array of people within seconds allowing shorter waiting times for people to answer and more people can be sent this at once allowing for more participants. Further justification for this research method is due to the time constraints that this paper has, </w:t>
      </w:r>
      <w:proofErr w:type="spellStart"/>
      <w:r w:rsidRPr="00B403E2">
        <w:rPr>
          <w:rFonts w:ascii="Calibri" w:eastAsia="Times New Roman" w:hAnsi="Calibri" w:cs="Calibri"/>
          <w:kern w:val="0"/>
          <w:lang w:eastAsia="en-GB"/>
          <w14:ligatures w14:val="none"/>
        </w:rPr>
        <w:t>Ongena</w:t>
      </w:r>
      <w:proofErr w:type="spellEnd"/>
      <w:r w:rsidRPr="00B403E2">
        <w:rPr>
          <w:rFonts w:ascii="Calibri" w:eastAsia="Times New Roman" w:hAnsi="Calibri" w:cs="Calibri"/>
          <w:kern w:val="0"/>
          <w:lang w:eastAsia="en-GB"/>
          <w14:ligatures w14:val="none"/>
        </w:rPr>
        <w:t xml:space="preserve"> and Dijkstra (2020) suggest that </w:t>
      </w:r>
      <w:r w:rsidRPr="00B403E2">
        <w:rPr>
          <w:rFonts w:ascii="Calibri" w:hAnsi="Calibri" w:cs="Calibri"/>
          <w:color w:val="333333"/>
          <w:shd w:val="clear" w:color="auto" w:fill="FFFFFF"/>
        </w:rPr>
        <w:t>studies that have been conducted face to face can improve response accuracy however, this is at the cost of additional interviewing time. This will gather the general public’s perception of the police allowing them to provide in detail their thoughts and feelings, they will also be able to provide ways in which they believe the police can change to have more of a thorough engagement with the community.</w:t>
      </w:r>
    </w:p>
    <w:p w14:paraId="15AB8475" w14:textId="77777777" w:rsidR="00944BC2" w:rsidRPr="00B86D23" w:rsidRDefault="00944BC2" w:rsidP="00944BC2">
      <w:pPr>
        <w:rPr>
          <w:rFonts w:ascii="Calibri" w:hAnsi="Calibri" w:cs="Calibri"/>
          <w:color w:val="333333"/>
          <w:shd w:val="clear" w:color="auto" w:fill="FFFFFF"/>
        </w:rPr>
      </w:pPr>
      <w:r w:rsidRPr="00B403E2">
        <w:rPr>
          <w:rFonts w:ascii="Calibri" w:hAnsi="Calibri" w:cs="Calibri"/>
          <w:color w:val="333333"/>
          <w:shd w:val="clear" w:color="auto" w:fill="FFFFFF"/>
        </w:rPr>
        <w:t>Qua</w:t>
      </w:r>
      <w:r>
        <w:rPr>
          <w:rFonts w:ascii="Calibri" w:hAnsi="Calibri" w:cs="Calibri"/>
          <w:color w:val="333333"/>
          <w:shd w:val="clear" w:color="auto" w:fill="FFFFFF"/>
        </w:rPr>
        <w:t xml:space="preserve">ntitative </w:t>
      </w:r>
      <w:r w:rsidRPr="00B403E2">
        <w:rPr>
          <w:rFonts w:ascii="Calibri" w:hAnsi="Calibri" w:cs="Calibri"/>
          <w:color w:val="333333"/>
          <w:shd w:val="clear" w:color="auto" w:fill="FFFFFF"/>
        </w:rPr>
        <w:t xml:space="preserve">research will allow for actual figures based on the amount of people asked to show accurate statistics around the questions asked. This takes out the personal thoughts and shows accurate areas for improvement based on facts. Due to the topic being around the public’s perception on the police force and how community cohesion can be improved it will be more beneficial to allow them to provide their own thoughts rather than scales of how they believe the police work, as this will be more accurate. </w:t>
      </w:r>
    </w:p>
    <w:p w14:paraId="700531B3" w14:textId="77777777" w:rsidR="00944BC2" w:rsidRPr="00B403E2" w:rsidRDefault="00944BC2" w:rsidP="00944BC2">
      <w:pPr>
        <w:rPr>
          <w:rFonts w:ascii="Calibri" w:hAnsi="Calibri" w:cs="Calibri"/>
          <w:b/>
          <w:bCs/>
          <w:color w:val="333333"/>
          <w:u w:val="single"/>
          <w:shd w:val="clear" w:color="auto" w:fill="FFFFFF"/>
        </w:rPr>
      </w:pPr>
    </w:p>
    <w:p w14:paraId="12509EE2" w14:textId="77777777" w:rsidR="00944BC2" w:rsidRPr="00B403E2" w:rsidRDefault="00944BC2" w:rsidP="00944BC2">
      <w:pPr>
        <w:rPr>
          <w:rFonts w:ascii="Calibri" w:hAnsi="Calibri" w:cs="Calibri"/>
          <w:b/>
          <w:bCs/>
          <w:u w:val="single"/>
        </w:rPr>
      </w:pPr>
      <w:r w:rsidRPr="00B403E2">
        <w:rPr>
          <w:rFonts w:ascii="Calibri" w:hAnsi="Calibri" w:cs="Calibri"/>
          <w:b/>
          <w:bCs/>
          <w:color w:val="333333"/>
          <w:u w:val="single"/>
          <w:shd w:val="clear" w:color="auto" w:fill="FFFFFF"/>
        </w:rPr>
        <w:t xml:space="preserve">3.3 Ethical practice  </w:t>
      </w:r>
    </w:p>
    <w:p w14:paraId="39EC0B82" w14:textId="77777777" w:rsidR="00944BC2" w:rsidRDefault="00944BC2" w:rsidP="00944BC2">
      <w:pPr>
        <w:rPr>
          <w:rFonts w:ascii="Calibri" w:hAnsi="Calibri" w:cs="Calibri"/>
        </w:rPr>
      </w:pPr>
      <w:r w:rsidRPr="00B403E2">
        <w:rPr>
          <w:rFonts w:ascii="Calibri" w:hAnsi="Calibri" w:cs="Calibri"/>
        </w:rPr>
        <w:t xml:space="preserve">This research </w:t>
      </w:r>
      <w:r>
        <w:rPr>
          <w:rFonts w:ascii="Calibri" w:hAnsi="Calibri" w:cs="Calibri"/>
        </w:rPr>
        <w:t xml:space="preserve">proposal </w:t>
      </w:r>
      <w:r w:rsidRPr="00B403E2">
        <w:rPr>
          <w:rFonts w:ascii="Calibri" w:hAnsi="Calibri" w:cs="Calibri"/>
        </w:rPr>
        <w:t>has been through an ethics board at the University of Wales Trinity St David (UWTSD) discussing how the research will be conducted, who will be asked to participate</w:t>
      </w:r>
      <w:r>
        <w:rPr>
          <w:rFonts w:ascii="Calibri" w:hAnsi="Calibri" w:cs="Calibri"/>
        </w:rPr>
        <w:t>,</w:t>
      </w:r>
      <w:r w:rsidRPr="00B403E2">
        <w:rPr>
          <w:rFonts w:ascii="Calibri" w:hAnsi="Calibri" w:cs="Calibri"/>
        </w:rPr>
        <w:t xml:space="preserve"> the general data that will be stored as part of this and has received approval for the continuation for the research as the criteria outlined have been met.</w:t>
      </w:r>
      <w:r>
        <w:rPr>
          <w:rFonts w:ascii="Calibri" w:hAnsi="Calibri" w:cs="Calibri"/>
        </w:rPr>
        <w:t xml:space="preserve"> This is to ensure the research methods used have had ethical approval from an ethics board after analysing the aims of the research, the methods of data collection and the information regarding how the volunteers involved have a minimal risk of harm under data protection laws. </w:t>
      </w:r>
    </w:p>
    <w:p w14:paraId="2F82580A" w14:textId="77777777" w:rsidR="00944BC2" w:rsidRDefault="00944BC2" w:rsidP="00944BC2">
      <w:pPr>
        <w:rPr>
          <w:rFonts w:ascii="Calibri" w:hAnsi="Calibri" w:cs="Calibri"/>
          <w:color w:val="333333"/>
        </w:rPr>
      </w:pPr>
      <w:r w:rsidRPr="00B403E2">
        <w:rPr>
          <w:rFonts w:ascii="Calibri" w:hAnsi="Calibri" w:cs="Calibri"/>
        </w:rPr>
        <w:lastRenderedPageBreak/>
        <w:t xml:space="preserve">When conducting any research, it is compulsory and vital to ensure it is conducted ethically, as reported by </w:t>
      </w:r>
      <w:proofErr w:type="spellStart"/>
      <w:r w:rsidRPr="00B403E2">
        <w:rPr>
          <w:rFonts w:ascii="Calibri" w:hAnsi="Calibri" w:cs="Calibri"/>
        </w:rPr>
        <w:t>Vanclay</w:t>
      </w:r>
      <w:proofErr w:type="spellEnd"/>
      <w:r w:rsidRPr="00B403E2">
        <w:rPr>
          <w:rFonts w:ascii="Calibri" w:hAnsi="Calibri" w:cs="Calibri"/>
        </w:rPr>
        <w:t xml:space="preserve"> et al (2013), there are multiple ethical principles to abide by when doing research involving humans, these have been covered in various national statements by the professional associations, international agencies, and ethical guidelines in social research method textbooks. </w:t>
      </w:r>
      <w:r>
        <w:rPr>
          <w:rFonts w:ascii="Calibri" w:hAnsi="Calibri" w:cs="Calibri"/>
        </w:rPr>
        <w:t xml:space="preserve">The ethical guidelines involve maintaining respect for the people involved in the research by demonstrating informed consent, also meaning that no individual is coerced into responding and always giving them the right to withdraw as it is under voluntary participation. There can be no deception involved within the questions which also means showing full disclosure of the sources used. Data protection must be followed at all times meaning there is a responsibility to maintain anonymity and confidentially of the answers given.  </w:t>
      </w:r>
      <w:r w:rsidRPr="00B403E2">
        <w:rPr>
          <w:rFonts w:ascii="Calibri" w:hAnsi="Calibri" w:cs="Calibri"/>
          <w:color w:val="333333"/>
        </w:rPr>
        <w:t xml:space="preserve"> </w:t>
      </w:r>
    </w:p>
    <w:p w14:paraId="685B9A28" w14:textId="77777777" w:rsidR="00EA21A9" w:rsidRPr="00B403E2" w:rsidRDefault="00EA21A9" w:rsidP="00944BC2">
      <w:pPr>
        <w:rPr>
          <w:rFonts w:ascii="Calibri" w:hAnsi="Calibri" w:cs="Calibri"/>
        </w:rPr>
      </w:pPr>
    </w:p>
    <w:p w14:paraId="36783AFF" w14:textId="77777777" w:rsidR="00944BC2" w:rsidRPr="00B403E2" w:rsidRDefault="00944BC2" w:rsidP="00944BC2">
      <w:pPr>
        <w:rPr>
          <w:rFonts w:ascii="Calibri" w:hAnsi="Calibri" w:cs="Calibri"/>
          <w:b/>
          <w:bCs/>
          <w:u w:val="single"/>
        </w:rPr>
      </w:pPr>
      <w:r w:rsidRPr="00B403E2">
        <w:rPr>
          <w:rFonts w:ascii="Calibri" w:hAnsi="Calibri" w:cs="Calibri"/>
          <w:b/>
          <w:bCs/>
          <w:u w:val="single"/>
        </w:rPr>
        <w:t xml:space="preserve">3.4 Informed consent </w:t>
      </w:r>
    </w:p>
    <w:p w14:paraId="3D7C076D" w14:textId="77777777" w:rsidR="00944BC2" w:rsidRPr="00B403E2" w:rsidRDefault="00944BC2" w:rsidP="00944BC2">
      <w:pPr>
        <w:rPr>
          <w:rFonts w:ascii="Calibri" w:hAnsi="Calibri" w:cs="Calibri"/>
        </w:rPr>
      </w:pPr>
      <w:r w:rsidRPr="00B403E2">
        <w:rPr>
          <w:rFonts w:ascii="Calibri" w:hAnsi="Calibri" w:cs="Calibri"/>
        </w:rPr>
        <w:t>When conducting research informed consent is important a</w:t>
      </w:r>
      <w:r>
        <w:rPr>
          <w:rFonts w:ascii="Calibri" w:hAnsi="Calibri" w:cs="Calibri"/>
        </w:rPr>
        <w:t xml:space="preserve">s the human </w:t>
      </w:r>
      <w:r w:rsidRPr="00B403E2">
        <w:rPr>
          <w:rFonts w:ascii="Calibri" w:hAnsi="Calibri" w:cs="Calibri"/>
        </w:rPr>
        <w:t xml:space="preserve">participants </w:t>
      </w:r>
      <w:r>
        <w:rPr>
          <w:rFonts w:ascii="Calibri" w:hAnsi="Calibri" w:cs="Calibri"/>
        </w:rPr>
        <w:t xml:space="preserve">are </w:t>
      </w:r>
      <w:r w:rsidRPr="00B403E2">
        <w:rPr>
          <w:rFonts w:ascii="Calibri" w:hAnsi="Calibri" w:cs="Calibri"/>
        </w:rPr>
        <w:t>enter</w:t>
      </w:r>
      <w:r>
        <w:rPr>
          <w:rFonts w:ascii="Calibri" w:hAnsi="Calibri" w:cs="Calibri"/>
        </w:rPr>
        <w:t>ing</w:t>
      </w:r>
      <w:r w:rsidRPr="00B403E2">
        <w:rPr>
          <w:rFonts w:ascii="Calibri" w:hAnsi="Calibri" w:cs="Calibri"/>
        </w:rPr>
        <w:t xml:space="preserve"> into the research voluntarily knowing this research must be conducted fairly as Josephson and Smale (2021) reports all persons who sign up to be a participant are to be informed of all their rights that follow from being a subject along with any risk that may be present. The participants are also to be made aware that their consent is </w:t>
      </w:r>
      <w:r>
        <w:rPr>
          <w:rFonts w:ascii="Calibri" w:hAnsi="Calibri" w:cs="Calibri"/>
        </w:rPr>
        <w:t xml:space="preserve">voluntary </w:t>
      </w:r>
      <w:r w:rsidRPr="00B403E2">
        <w:rPr>
          <w:rFonts w:ascii="Calibri" w:hAnsi="Calibri" w:cs="Calibri"/>
        </w:rPr>
        <w:t xml:space="preserve">they are not forced to take part in the research, and they are able to withdraw at any time should they feel as if they need to. </w:t>
      </w:r>
    </w:p>
    <w:p w14:paraId="5A35C2AD" w14:textId="77777777" w:rsidR="00944BC2" w:rsidRDefault="00944BC2" w:rsidP="00944BC2">
      <w:pPr>
        <w:rPr>
          <w:rFonts w:ascii="Calibri" w:hAnsi="Calibri" w:cs="Calibri"/>
        </w:rPr>
      </w:pPr>
      <w:r w:rsidRPr="00B403E2">
        <w:rPr>
          <w:rFonts w:ascii="Calibri" w:hAnsi="Calibri" w:cs="Calibri"/>
        </w:rPr>
        <w:t>Josephson and Smale (2021) also suggested that should any confidential information be taken from the participants such as name, age, address or anything else that is personal, the research may need to complete a consent document. This will not be required for this research as the only questions that will be asked is if the participant is over 18 years of age to help keep this ethically practicable.</w:t>
      </w:r>
      <w:r>
        <w:rPr>
          <w:rFonts w:ascii="Calibri" w:hAnsi="Calibri" w:cs="Calibri"/>
        </w:rPr>
        <w:t xml:space="preserve"> These authors also describe something known as ‘The Common Rule’ which is the standards enforced on any procedure needing consent. This requires the individual conducting the research to inform the participants of any potential risks of harm involved before proceeding. </w:t>
      </w:r>
    </w:p>
    <w:p w14:paraId="34D7E238" w14:textId="77777777" w:rsidR="00EA21A9" w:rsidRPr="000A5EB0" w:rsidRDefault="00EA21A9" w:rsidP="00944BC2">
      <w:pPr>
        <w:rPr>
          <w:rFonts w:ascii="Calibri" w:hAnsi="Calibri" w:cs="Calibri"/>
        </w:rPr>
      </w:pPr>
    </w:p>
    <w:p w14:paraId="5B7A5E22" w14:textId="77777777" w:rsidR="00944BC2" w:rsidRPr="00B403E2" w:rsidRDefault="00944BC2" w:rsidP="00944BC2">
      <w:pPr>
        <w:rPr>
          <w:rFonts w:ascii="Calibri" w:hAnsi="Calibri" w:cs="Calibri"/>
          <w:b/>
          <w:bCs/>
          <w:color w:val="333333"/>
          <w:u w:val="single"/>
          <w:shd w:val="clear" w:color="auto" w:fill="FFFFFF"/>
        </w:rPr>
      </w:pPr>
      <w:r w:rsidRPr="00B403E2">
        <w:rPr>
          <w:rFonts w:ascii="Calibri" w:hAnsi="Calibri" w:cs="Calibri"/>
          <w:b/>
          <w:bCs/>
          <w:color w:val="333333"/>
          <w:u w:val="single"/>
          <w:shd w:val="clear" w:color="auto" w:fill="FFFFFF"/>
        </w:rPr>
        <w:t xml:space="preserve">3.5 Sampling technique </w:t>
      </w:r>
    </w:p>
    <w:p w14:paraId="007A1ECA" w14:textId="77777777" w:rsidR="00944BC2" w:rsidRPr="00A726C1" w:rsidRDefault="00944BC2" w:rsidP="00944BC2">
      <w:pPr>
        <w:rPr>
          <w:rFonts w:ascii="Calibri" w:hAnsi="Calibri" w:cs="Calibri"/>
          <w:color w:val="333333"/>
          <w:shd w:val="clear" w:color="auto" w:fill="FFFFFF"/>
        </w:rPr>
      </w:pPr>
      <w:r w:rsidRPr="00B403E2">
        <w:rPr>
          <w:rFonts w:ascii="Calibri" w:hAnsi="Calibri" w:cs="Calibri"/>
          <w:color w:val="333333"/>
          <w:shd w:val="clear" w:color="auto" w:fill="FFFFFF"/>
        </w:rPr>
        <w:t xml:space="preserve">For this research the participants will be members of the public who reside within the Newport area of Wales and are over the age of 18. These participants have been chosen as they are directly linked to the research due to this focusing on how the community policing teams within this area have an impact on them. To enlist said participants the survey will be sent out via social media, such as Facebook due to its inherent capability for hosting surveys. Kosinski </w:t>
      </w:r>
      <w:r w:rsidRPr="00B403E2">
        <w:rPr>
          <w:rFonts w:ascii="Calibri" w:hAnsi="Calibri" w:cs="Calibri"/>
          <w:i/>
          <w:iCs/>
          <w:color w:val="333333"/>
          <w:shd w:val="clear" w:color="auto" w:fill="FFFFFF"/>
        </w:rPr>
        <w:t xml:space="preserve">et al </w:t>
      </w:r>
      <w:r w:rsidRPr="00B403E2">
        <w:rPr>
          <w:rFonts w:ascii="Calibri" w:hAnsi="Calibri" w:cs="Calibri"/>
          <w:color w:val="333333"/>
          <w:shd w:val="clear" w:color="auto" w:fill="FFFFFF"/>
        </w:rPr>
        <w:t xml:space="preserve">(2015) reports that Facebook is now being recognised for the benefits it has when conducting surveys. This is due to the large and diverse number of participants there are out there for research. Facebook also allows for online and offline studies along with the fact it already holds a lot of information about the user therefore, it will be able to link persons with this research whom have a common interest, thus helping this research meet the target audience. </w:t>
      </w:r>
    </w:p>
    <w:p w14:paraId="43511EBA" w14:textId="77777777" w:rsidR="00944BC2" w:rsidRPr="00B403E2" w:rsidRDefault="00944BC2" w:rsidP="00944BC2">
      <w:pPr>
        <w:rPr>
          <w:rFonts w:ascii="Calibri" w:hAnsi="Calibri" w:cs="Calibri"/>
          <w:b/>
          <w:bCs/>
          <w:u w:val="single"/>
        </w:rPr>
      </w:pPr>
    </w:p>
    <w:p w14:paraId="1A1499DE" w14:textId="77777777" w:rsidR="00944BC2" w:rsidRPr="00B4312E" w:rsidRDefault="00944BC2" w:rsidP="00944BC2">
      <w:pPr>
        <w:rPr>
          <w:rFonts w:ascii="Calibri" w:hAnsi="Calibri" w:cs="Calibri"/>
          <w:b/>
          <w:bCs/>
          <w:u w:val="single"/>
        </w:rPr>
      </w:pPr>
      <w:r w:rsidRPr="00B403E2">
        <w:rPr>
          <w:rFonts w:ascii="Calibri" w:hAnsi="Calibri" w:cs="Calibri"/>
          <w:b/>
          <w:bCs/>
          <w:u w:val="single"/>
        </w:rPr>
        <w:t xml:space="preserve">Bibliography </w:t>
      </w:r>
    </w:p>
    <w:p w14:paraId="235F9A63" w14:textId="77777777" w:rsidR="00944BC2" w:rsidRPr="00B403E2" w:rsidRDefault="00944BC2" w:rsidP="00944BC2">
      <w:pPr>
        <w:rPr>
          <w:rFonts w:ascii="Calibri" w:hAnsi="Calibri" w:cs="Calibri"/>
          <w:color w:val="222222"/>
          <w:shd w:val="clear" w:color="auto" w:fill="FFFFFF"/>
        </w:rPr>
      </w:pPr>
      <w:proofErr w:type="spellStart"/>
      <w:r w:rsidRPr="00B403E2">
        <w:rPr>
          <w:rFonts w:ascii="Calibri" w:hAnsi="Calibri" w:cs="Calibri"/>
          <w:color w:val="222222"/>
          <w:shd w:val="clear" w:color="auto" w:fill="FFFFFF"/>
        </w:rPr>
        <w:t>Gubrium</w:t>
      </w:r>
      <w:proofErr w:type="spellEnd"/>
      <w:r w:rsidRPr="00B403E2">
        <w:rPr>
          <w:rFonts w:ascii="Calibri" w:hAnsi="Calibri" w:cs="Calibri"/>
          <w:color w:val="222222"/>
          <w:shd w:val="clear" w:color="auto" w:fill="FFFFFF"/>
        </w:rPr>
        <w:t>, J., et al. (2012) “Survey interviewing”. </w:t>
      </w:r>
      <w:r w:rsidRPr="00B403E2">
        <w:rPr>
          <w:rFonts w:ascii="Calibri" w:hAnsi="Calibri" w:cs="Calibri"/>
          <w:i/>
          <w:iCs/>
          <w:color w:val="222222"/>
          <w:shd w:val="clear" w:color="auto" w:fill="FFFFFF"/>
        </w:rPr>
        <w:t>The SAGE handbook of interview research: The complexity of the craft</w:t>
      </w:r>
      <w:r w:rsidRPr="00B403E2">
        <w:rPr>
          <w:rFonts w:ascii="Calibri" w:hAnsi="Calibri" w:cs="Calibri"/>
          <w:color w:val="222222"/>
          <w:shd w:val="clear" w:color="auto" w:fill="FFFFFF"/>
        </w:rPr>
        <w:t>, pp.77-98. https://books.google.co.uk/books?hl=en&amp;lr=&amp;id=_hp1AwAAQBAJ&amp;oi=fnd&amp;pg=PA77&amp;dq=why+is+a+</w:t>
      </w:r>
      <w:r w:rsidRPr="00B403E2">
        <w:rPr>
          <w:rFonts w:ascii="Calibri" w:hAnsi="Calibri" w:cs="Calibri"/>
          <w:color w:val="222222"/>
          <w:shd w:val="clear" w:color="auto" w:fill="FFFFFF"/>
        </w:rPr>
        <w:lastRenderedPageBreak/>
        <w:t>survey+better+than+an+interview+for+research&amp;ots=tYOhgKJp0e&amp;sig=T-9IGW-y7cAQu-HvH2Oy7-J1ZbQ#v=onepage&amp;q&amp;f=false (accessed on the 10</w:t>
      </w:r>
      <w:r w:rsidRPr="00B403E2">
        <w:rPr>
          <w:rFonts w:ascii="Calibri" w:hAnsi="Calibri" w:cs="Calibri"/>
          <w:color w:val="222222"/>
          <w:shd w:val="clear" w:color="auto" w:fill="FFFFFF"/>
          <w:vertAlign w:val="superscript"/>
        </w:rPr>
        <w:t>th</w:t>
      </w:r>
      <w:r w:rsidRPr="00B403E2">
        <w:rPr>
          <w:rFonts w:ascii="Calibri" w:hAnsi="Calibri" w:cs="Calibri"/>
          <w:color w:val="222222"/>
          <w:shd w:val="clear" w:color="auto" w:fill="FFFFFF"/>
        </w:rPr>
        <w:t xml:space="preserve"> of June 2024)</w:t>
      </w:r>
    </w:p>
    <w:p w14:paraId="25B29F68" w14:textId="77777777" w:rsidR="00944BC2" w:rsidRPr="00B403E2" w:rsidRDefault="00944BC2" w:rsidP="00944BC2">
      <w:pPr>
        <w:rPr>
          <w:rFonts w:ascii="Calibri" w:hAnsi="Calibri" w:cs="Calibri"/>
          <w:color w:val="333333"/>
          <w:shd w:val="clear" w:color="auto" w:fill="FFFFFF"/>
        </w:rPr>
      </w:pPr>
      <w:r w:rsidRPr="00B403E2">
        <w:rPr>
          <w:rFonts w:ascii="Calibri" w:hAnsi="Calibri" w:cs="Calibri"/>
          <w:color w:val="333333"/>
          <w:shd w:val="clear" w:color="auto" w:fill="FFFFFF"/>
        </w:rPr>
        <w:t xml:space="preserve">Josephson, A., Smale, M. (2021) “Applied Economic Perspectives and Policy” </w:t>
      </w:r>
      <w:r w:rsidRPr="00B403E2">
        <w:rPr>
          <w:rFonts w:ascii="Calibri" w:hAnsi="Calibri" w:cs="Calibri"/>
          <w:i/>
          <w:iCs/>
          <w:color w:val="333333"/>
          <w:shd w:val="clear" w:color="auto" w:fill="FFFFFF"/>
        </w:rPr>
        <w:t xml:space="preserve">What Do you Mean by “Informed Consent”? Ethics in Economic Development Research, </w:t>
      </w:r>
      <w:r w:rsidRPr="00B403E2">
        <w:rPr>
          <w:rFonts w:ascii="Calibri" w:hAnsi="Calibri" w:cs="Calibri"/>
          <w:color w:val="333333"/>
          <w:shd w:val="clear" w:color="auto" w:fill="FFFFFF"/>
        </w:rPr>
        <w:t>43(4) pp. 1305-1329. doi:10.1002/aepp.13112 (accessed on the 2</w:t>
      </w:r>
      <w:r w:rsidRPr="00B403E2">
        <w:rPr>
          <w:rFonts w:ascii="Calibri" w:hAnsi="Calibri" w:cs="Calibri"/>
          <w:color w:val="333333"/>
          <w:shd w:val="clear" w:color="auto" w:fill="FFFFFF"/>
          <w:vertAlign w:val="superscript"/>
        </w:rPr>
        <w:t>nd</w:t>
      </w:r>
      <w:r w:rsidRPr="00B403E2">
        <w:rPr>
          <w:rFonts w:ascii="Calibri" w:hAnsi="Calibri" w:cs="Calibri"/>
          <w:color w:val="333333"/>
          <w:shd w:val="clear" w:color="auto" w:fill="FFFFFF"/>
        </w:rPr>
        <w:t xml:space="preserve"> of June 2024)</w:t>
      </w:r>
    </w:p>
    <w:p w14:paraId="509A31A5" w14:textId="77777777" w:rsidR="00944BC2" w:rsidRDefault="00944BC2" w:rsidP="00944BC2">
      <w:pPr>
        <w:spacing w:after="0" w:line="240" w:lineRule="auto"/>
        <w:rPr>
          <w:rFonts w:ascii="Calibri" w:eastAsia="Times New Roman" w:hAnsi="Calibri" w:cs="Calibri"/>
          <w:kern w:val="0"/>
          <w:lang w:eastAsia="en-GB"/>
          <w14:ligatures w14:val="none"/>
        </w:rPr>
      </w:pPr>
      <w:r w:rsidRPr="00B403E2">
        <w:rPr>
          <w:rFonts w:ascii="Calibri" w:hAnsi="Calibri" w:cs="Calibri"/>
          <w:color w:val="333333"/>
          <w:shd w:val="clear" w:color="auto" w:fill="FFFFFF"/>
        </w:rPr>
        <w:t xml:space="preserve">Kosinski, M., </w:t>
      </w:r>
      <w:r w:rsidRPr="00B403E2">
        <w:rPr>
          <w:rFonts w:ascii="Calibri" w:hAnsi="Calibri" w:cs="Calibri"/>
          <w:i/>
          <w:iCs/>
          <w:color w:val="333333"/>
          <w:shd w:val="clear" w:color="auto" w:fill="FFFFFF"/>
        </w:rPr>
        <w:t xml:space="preserve">et al </w:t>
      </w:r>
      <w:r w:rsidRPr="00B403E2">
        <w:rPr>
          <w:rFonts w:ascii="Calibri" w:hAnsi="Calibri" w:cs="Calibri"/>
          <w:color w:val="333333"/>
          <w:shd w:val="clear" w:color="auto" w:fill="FFFFFF"/>
        </w:rPr>
        <w:t>(2015) “Facebook as a Research Tool for the Social Sciences: Opportunities, Challenges, Ethical Considerations, and Practical Guidelines.” </w:t>
      </w:r>
      <w:r w:rsidRPr="00B403E2">
        <w:rPr>
          <w:rStyle w:val="Emphasis"/>
          <w:rFonts w:ascii="Calibri" w:hAnsi="Calibri" w:cs="Calibri"/>
          <w:color w:val="333333"/>
          <w:shd w:val="clear" w:color="auto" w:fill="FFFFFF"/>
        </w:rPr>
        <w:t>American Psychologist, 70</w:t>
      </w:r>
      <w:r w:rsidRPr="00B403E2">
        <w:rPr>
          <w:rFonts w:ascii="Calibri" w:hAnsi="Calibri" w:cs="Calibri"/>
          <w:color w:val="333333"/>
          <w:shd w:val="clear" w:color="auto" w:fill="FFFFFF"/>
        </w:rPr>
        <w:t xml:space="preserve">(6) pp. 543–556. </w:t>
      </w:r>
      <w:proofErr w:type="spellStart"/>
      <w:r w:rsidRPr="00B403E2">
        <w:rPr>
          <w:rFonts w:ascii="Calibri" w:hAnsi="Calibri" w:cs="Calibri"/>
          <w:color w:val="333333"/>
          <w:shd w:val="clear" w:color="auto" w:fill="FFFFFF"/>
        </w:rPr>
        <w:t>doi</w:t>
      </w:r>
      <w:proofErr w:type="spellEnd"/>
      <w:r w:rsidRPr="00B403E2">
        <w:rPr>
          <w:rFonts w:ascii="Calibri" w:hAnsi="Calibri" w:cs="Calibri"/>
          <w:color w:val="333333"/>
          <w:shd w:val="clear" w:color="auto" w:fill="FFFFFF"/>
        </w:rPr>
        <w:t xml:space="preserve"> 10.1037/a0039210 </w:t>
      </w:r>
      <w:r w:rsidRPr="00B403E2">
        <w:rPr>
          <w:rFonts w:ascii="Calibri" w:hAnsi="Calibri" w:cs="Calibri"/>
        </w:rPr>
        <w:t>(accessed on the 16</w:t>
      </w:r>
      <w:r w:rsidRPr="00B403E2">
        <w:rPr>
          <w:rFonts w:ascii="Calibri" w:hAnsi="Calibri" w:cs="Calibri"/>
          <w:vertAlign w:val="superscript"/>
        </w:rPr>
        <w:t>th</w:t>
      </w:r>
      <w:r w:rsidRPr="00B403E2">
        <w:rPr>
          <w:rFonts w:ascii="Calibri" w:hAnsi="Calibri" w:cs="Calibri"/>
        </w:rPr>
        <w:t xml:space="preserve"> of June 2024)</w:t>
      </w:r>
      <w:r w:rsidRPr="00B403E2">
        <w:rPr>
          <w:rFonts w:ascii="Calibri" w:eastAsia="Times New Roman" w:hAnsi="Calibri" w:cs="Calibri"/>
          <w:kern w:val="0"/>
          <w:lang w:eastAsia="en-GB"/>
          <w14:ligatures w14:val="none"/>
        </w:rPr>
        <w:t xml:space="preserve"> </w:t>
      </w:r>
    </w:p>
    <w:p w14:paraId="466F711D" w14:textId="77777777" w:rsidR="00944BC2" w:rsidRPr="00B403E2" w:rsidRDefault="00944BC2" w:rsidP="00944BC2">
      <w:pPr>
        <w:spacing w:after="0" w:line="240" w:lineRule="auto"/>
        <w:rPr>
          <w:rFonts w:ascii="Calibri" w:eastAsia="Times New Roman" w:hAnsi="Calibri" w:cs="Calibri"/>
          <w:kern w:val="0"/>
          <w:lang w:eastAsia="en-GB"/>
          <w14:ligatures w14:val="none"/>
        </w:rPr>
      </w:pPr>
    </w:p>
    <w:p w14:paraId="3C534E23" w14:textId="77777777" w:rsidR="00944BC2" w:rsidRPr="00B403E2" w:rsidRDefault="00944BC2" w:rsidP="00944BC2">
      <w:pPr>
        <w:rPr>
          <w:rFonts w:ascii="Calibri" w:hAnsi="Calibri" w:cs="Calibri"/>
          <w:color w:val="3B3030"/>
          <w:shd w:val="clear" w:color="auto" w:fill="FFFFFF"/>
        </w:rPr>
      </w:pPr>
      <w:r w:rsidRPr="00B403E2">
        <w:rPr>
          <w:rFonts w:ascii="Calibri" w:hAnsi="Calibri" w:cs="Calibri"/>
          <w:color w:val="333333"/>
          <w:shd w:val="clear" w:color="auto" w:fill="FFFFFF"/>
        </w:rPr>
        <w:t xml:space="preserve">Manmeet, K. (2016) “Application of Mixed Method Approach in Public Health Research” </w:t>
      </w:r>
      <w:r w:rsidRPr="00B403E2">
        <w:rPr>
          <w:rFonts w:ascii="Calibri" w:hAnsi="Calibri" w:cs="Calibri"/>
          <w:i/>
          <w:iCs/>
          <w:color w:val="3B3030"/>
          <w:shd w:val="clear" w:color="auto" w:fill="FFFFFF"/>
        </w:rPr>
        <w:t>Indian Journal of Community Medicine</w:t>
      </w:r>
      <w:r w:rsidRPr="00B403E2">
        <w:rPr>
          <w:rFonts w:ascii="Calibri" w:hAnsi="Calibri" w:cs="Calibri"/>
          <w:color w:val="3B3030"/>
          <w:shd w:val="clear" w:color="auto" w:fill="FFFFFF"/>
        </w:rPr>
        <w:t xml:space="preserve"> Vol 41(2) pp.93-97</w:t>
      </w:r>
      <w:r w:rsidRPr="00B403E2">
        <w:rPr>
          <w:rFonts w:ascii="Calibri" w:hAnsi="Calibri" w:cs="Calibri"/>
          <w:color w:val="333333"/>
          <w:shd w:val="clear" w:color="auto" w:fill="FFFFFF"/>
        </w:rPr>
        <w:t xml:space="preserve"> </w:t>
      </w:r>
      <w:r w:rsidRPr="00B403E2">
        <w:rPr>
          <w:rFonts w:ascii="Calibri" w:hAnsi="Calibri" w:cs="Calibri"/>
          <w:color w:val="3B3030"/>
          <w:shd w:val="clear" w:color="auto" w:fill="FFFFFF"/>
        </w:rPr>
        <w:t>doi:10.4103/0970-0218.173495 (accessed on the 2</w:t>
      </w:r>
      <w:r w:rsidRPr="00B403E2">
        <w:rPr>
          <w:rFonts w:ascii="Calibri" w:hAnsi="Calibri" w:cs="Calibri"/>
          <w:color w:val="3B3030"/>
          <w:shd w:val="clear" w:color="auto" w:fill="FFFFFF"/>
          <w:vertAlign w:val="superscript"/>
        </w:rPr>
        <w:t>nd</w:t>
      </w:r>
      <w:r w:rsidRPr="00B403E2">
        <w:rPr>
          <w:rFonts w:ascii="Calibri" w:hAnsi="Calibri" w:cs="Calibri"/>
          <w:color w:val="3B3030"/>
          <w:shd w:val="clear" w:color="auto" w:fill="FFFFFF"/>
        </w:rPr>
        <w:t xml:space="preserve"> of June 2024) </w:t>
      </w:r>
    </w:p>
    <w:p w14:paraId="62E95E11" w14:textId="77777777" w:rsidR="00944BC2" w:rsidRDefault="00944BC2" w:rsidP="00944BC2">
      <w:pPr>
        <w:spacing w:after="0" w:line="240" w:lineRule="auto"/>
        <w:rPr>
          <w:rFonts w:ascii="Calibri" w:eastAsia="Times New Roman" w:hAnsi="Calibri" w:cs="Calibri"/>
          <w:kern w:val="0"/>
          <w:lang w:eastAsia="en-GB"/>
          <w14:ligatures w14:val="none"/>
        </w:rPr>
      </w:pPr>
      <w:proofErr w:type="spellStart"/>
      <w:r w:rsidRPr="00B403E2">
        <w:rPr>
          <w:rFonts w:ascii="Calibri" w:eastAsia="Times New Roman" w:hAnsi="Calibri" w:cs="Calibri"/>
          <w:kern w:val="0"/>
          <w:lang w:eastAsia="en-GB"/>
          <w14:ligatures w14:val="none"/>
        </w:rPr>
        <w:t>Ongena</w:t>
      </w:r>
      <w:proofErr w:type="spellEnd"/>
      <w:r w:rsidRPr="00B403E2">
        <w:rPr>
          <w:rFonts w:ascii="Calibri" w:eastAsia="Times New Roman" w:hAnsi="Calibri" w:cs="Calibri"/>
          <w:kern w:val="0"/>
          <w:lang w:eastAsia="en-GB"/>
          <w14:ligatures w14:val="none"/>
        </w:rPr>
        <w:t>, Y. P. and Dijkstra, W. (2020) “Advances in research on survey interview interaction”, </w:t>
      </w:r>
      <w:r w:rsidRPr="00B403E2">
        <w:rPr>
          <w:rFonts w:ascii="Calibri" w:eastAsia="Times New Roman" w:hAnsi="Calibri" w:cs="Calibri"/>
          <w:i/>
          <w:iCs/>
          <w:kern w:val="0"/>
          <w:lang w:eastAsia="en-GB"/>
          <w14:ligatures w14:val="none"/>
        </w:rPr>
        <w:t>International Journal of Social Research Methodology</w:t>
      </w:r>
      <w:r w:rsidRPr="00B403E2">
        <w:rPr>
          <w:rFonts w:ascii="Calibri" w:eastAsia="Times New Roman" w:hAnsi="Calibri" w:cs="Calibri"/>
          <w:kern w:val="0"/>
          <w:lang w:eastAsia="en-GB"/>
          <w14:ligatures w14:val="none"/>
        </w:rPr>
        <w:t xml:space="preserve">, 24(2), pp. 177–179. </w:t>
      </w:r>
      <w:proofErr w:type="spellStart"/>
      <w:r w:rsidRPr="00B403E2">
        <w:rPr>
          <w:rFonts w:ascii="Calibri" w:eastAsia="Times New Roman" w:hAnsi="Calibri" w:cs="Calibri"/>
          <w:kern w:val="0"/>
          <w:lang w:eastAsia="en-GB"/>
          <w14:ligatures w14:val="none"/>
        </w:rPr>
        <w:t>doi</w:t>
      </w:r>
      <w:proofErr w:type="spellEnd"/>
      <w:r w:rsidRPr="00B403E2">
        <w:rPr>
          <w:rFonts w:ascii="Calibri" w:eastAsia="Times New Roman" w:hAnsi="Calibri" w:cs="Calibri"/>
          <w:kern w:val="0"/>
          <w:lang w:eastAsia="en-GB"/>
          <w14:ligatures w14:val="none"/>
        </w:rPr>
        <w:t>: 10.1080/13645579.2020.1824625. (accessed on the 10</w:t>
      </w:r>
      <w:r w:rsidRPr="00B403E2">
        <w:rPr>
          <w:rFonts w:ascii="Calibri" w:eastAsia="Times New Roman" w:hAnsi="Calibri" w:cs="Calibri"/>
          <w:kern w:val="0"/>
          <w:vertAlign w:val="superscript"/>
          <w:lang w:eastAsia="en-GB"/>
          <w14:ligatures w14:val="none"/>
        </w:rPr>
        <w:t>th</w:t>
      </w:r>
      <w:r w:rsidRPr="00B403E2">
        <w:rPr>
          <w:rFonts w:ascii="Calibri" w:eastAsia="Times New Roman" w:hAnsi="Calibri" w:cs="Calibri"/>
          <w:kern w:val="0"/>
          <w:lang w:eastAsia="en-GB"/>
          <w14:ligatures w14:val="none"/>
        </w:rPr>
        <w:t xml:space="preserve"> of June 2024)</w:t>
      </w:r>
    </w:p>
    <w:p w14:paraId="2DCAABB6" w14:textId="77777777" w:rsidR="00944BC2" w:rsidRPr="00B403E2" w:rsidRDefault="00944BC2" w:rsidP="00944BC2">
      <w:pPr>
        <w:spacing w:after="0" w:line="240" w:lineRule="auto"/>
        <w:rPr>
          <w:rFonts w:ascii="Calibri" w:eastAsia="Times New Roman" w:hAnsi="Calibri" w:cs="Calibri"/>
          <w:kern w:val="0"/>
          <w:lang w:eastAsia="en-GB"/>
          <w14:ligatures w14:val="none"/>
        </w:rPr>
      </w:pPr>
    </w:p>
    <w:p w14:paraId="532A306B" w14:textId="77777777" w:rsidR="00944BC2" w:rsidRPr="00B403E2" w:rsidRDefault="00944BC2" w:rsidP="00944BC2">
      <w:pPr>
        <w:rPr>
          <w:rFonts w:ascii="Calibri" w:hAnsi="Calibri" w:cs="Calibri"/>
        </w:rPr>
      </w:pPr>
      <w:r w:rsidRPr="00B403E2">
        <w:rPr>
          <w:rFonts w:ascii="Calibri" w:hAnsi="Calibri" w:cs="Calibri"/>
        </w:rPr>
        <w:t xml:space="preserve">Oxford Learning Dictionary (2024) “definition of Research noun from the Oxford Advanced Leaner’s Dictionary” (online) available at </w:t>
      </w:r>
      <w:r w:rsidRPr="00FF6978">
        <w:rPr>
          <w:rFonts w:ascii="Calibri" w:hAnsi="Calibri" w:cs="Calibri"/>
        </w:rPr>
        <w:t xml:space="preserve">https://www.oxfordlearnersdictionaries.com/definition/english/research_1 </w:t>
      </w:r>
      <w:r w:rsidRPr="00B403E2">
        <w:rPr>
          <w:rFonts w:ascii="Calibri" w:hAnsi="Calibri" w:cs="Calibri"/>
        </w:rPr>
        <w:t>(accessed on the 2</w:t>
      </w:r>
      <w:r w:rsidRPr="00B403E2">
        <w:rPr>
          <w:rFonts w:ascii="Calibri" w:hAnsi="Calibri" w:cs="Calibri"/>
          <w:vertAlign w:val="superscript"/>
        </w:rPr>
        <w:t>nd</w:t>
      </w:r>
      <w:r w:rsidRPr="00B403E2">
        <w:rPr>
          <w:rFonts w:ascii="Calibri" w:hAnsi="Calibri" w:cs="Calibri"/>
        </w:rPr>
        <w:t xml:space="preserve"> of June 2024) </w:t>
      </w:r>
    </w:p>
    <w:p w14:paraId="1FA64EC8" w14:textId="149067C5" w:rsidR="00F216EE" w:rsidRDefault="00944BC2" w:rsidP="00944BC2">
      <w:proofErr w:type="spellStart"/>
      <w:r w:rsidRPr="00B403E2">
        <w:rPr>
          <w:rFonts w:ascii="Calibri" w:hAnsi="Calibri" w:cs="Calibri"/>
          <w:color w:val="333333"/>
          <w:shd w:val="clear" w:color="auto" w:fill="FFFFFF"/>
        </w:rPr>
        <w:t>Vanclay</w:t>
      </w:r>
      <w:proofErr w:type="spellEnd"/>
      <w:r w:rsidRPr="00B403E2">
        <w:rPr>
          <w:rFonts w:ascii="Calibri" w:hAnsi="Calibri" w:cs="Calibri"/>
          <w:color w:val="333333"/>
          <w:shd w:val="clear" w:color="auto" w:fill="FFFFFF"/>
        </w:rPr>
        <w:t xml:space="preserve">, F., et al (2013) “Principles for Ethical Research Involving Humans: Ethical Professional Practice in Impact Assessment Part 1” </w:t>
      </w:r>
      <w:r w:rsidRPr="00B403E2">
        <w:rPr>
          <w:rFonts w:ascii="Calibri" w:hAnsi="Calibri" w:cs="Calibri"/>
          <w:i/>
          <w:iCs/>
          <w:color w:val="333333"/>
          <w:shd w:val="clear" w:color="auto" w:fill="FFFFFF"/>
        </w:rPr>
        <w:t xml:space="preserve">Impact Assessment and Project Appraisal, </w:t>
      </w:r>
      <w:r w:rsidRPr="00B403E2">
        <w:rPr>
          <w:rFonts w:ascii="Calibri" w:hAnsi="Calibri" w:cs="Calibri"/>
          <w:color w:val="333333"/>
          <w:shd w:val="clear" w:color="auto" w:fill="FFFFFF"/>
        </w:rPr>
        <w:t>31(4), pp. 243-253. doi:10.1080/14615517.2013.850307 (accessed on the 2</w:t>
      </w:r>
      <w:r w:rsidRPr="00B403E2">
        <w:rPr>
          <w:rFonts w:ascii="Calibri" w:hAnsi="Calibri" w:cs="Calibri"/>
          <w:color w:val="333333"/>
          <w:shd w:val="clear" w:color="auto" w:fill="FFFFFF"/>
          <w:vertAlign w:val="superscript"/>
        </w:rPr>
        <w:t>nd</w:t>
      </w:r>
      <w:r w:rsidRPr="00B403E2">
        <w:rPr>
          <w:rFonts w:ascii="Calibri" w:hAnsi="Calibri" w:cs="Calibri"/>
          <w:color w:val="333333"/>
          <w:shd w:val="clear" w:color="auto" w:fill="FFFFFF"/>
        </w:rPr>
        <w:t xml:space="preserve"> of June 2024)</w:t>
      </w:r>
    </w:p>
    <w:sectPr w:rsidR="00F216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BC2"/>
    <w:rsid w:val="00011832"/>
    <w:rsid w:val="001675CE"/>
    <w:rsid w:val="00536BDB"/>
    <w:rsid w:val="00944BC2"/>
    <w:rsid w:val="00EA21A9"/>
    <w:rsid w:val="00F216EE"/>
    <w:rsid w:val="00F46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F0B5C"/>
  <w15:chartTrackingRefBased/>
  <w15:docId w15:val="{9DC33908-B8BE-4A19-9824-49018ED1C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BC2"/>
  </w:style>
  <w:style w:type="paragraph" w:styleId="Heading1">
    <w:name w:val="heading 1"/>
    <w:basedOn w:val="Normal"/>
    <w:next w:val="Normal"/>
    <w:link w:val="Heading1Char"/>
    <w:uiPriority w:val="9"/>
    <w:qFormat/>
    <w:rsid w:val="00944B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44B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44BC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44BC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44BC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44BC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44BC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44BC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44BC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4B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44B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44B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44B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44B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44B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44B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44B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44BC2"/>
    <w:rPr>
      <w:rFonts w:eastAsiaTheme="majorEastAsia" w:cstheme="majorBidi"/>
      <w:color w:val="272727" w:themeColor="text1" w:themeTint="D8"/>
    </w:rPr>
  </w:style>
  <w:style w:type="paragraph" w:styleId="Title">
    <w:name w:val="Title"/>
    <w:basedOn w:val="Normal"/>
    <w:next w:val="Normal"/>
    <w:link w:val="TitleChar"/>
    <w:uiPriority w:val="10"/>
    <w:qFormat/>
    <w:rsid w:val="00944B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44B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44BC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44B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44BC2"/>
    <w:pPr>
      <w:spacing w:before="160"/>
      <w:jc w:val="center"/>
    </w:pPr>
    <w:rPr>
      <w:i/>
      <w:iCs/>
      <w:color w:val="404040" w:themeColor="text1" w:themeTint="BF"/>
    </w:rPr>
  </w:style>
  <w:style w:type="character" w:customStyle="1" w:styleId="QuoteChar">
    <w:name w:val="Quote Char"/>
    <w:basedOn w:val="DefaultParagraphFont"/>
    <w:link w:val="Quote"/>
    <w:uiPriority w:val="29"/>
    <w:rsid w:val="00944BC2"/>
    <w:rPr>
      <w:i/>
      <w:iCs/>
      <w:color w:val="404040" w:themeColor="text1" w:themeTint="BF"/>
    </w:rPr>
  </w:style>
  <w:style w:type="paragraph" w:styleId="ListParagraph">
    <w:name w:val="List Paragraph"/>
    <w:basedOn w:val="Normal"/>
    <w:uiPriority w:val="34"/>
    <w:qFormat/>
    <w:rsid w:val="00944BC2"/>
    <w:pPr>
      <w:ind w:left="720"/>
      <w:contextualSpacing/>
    </w:pPr>
  </w:style>
  <w:style w:type="character" w:styleId="IntenseEmphasis">
    <w:name w:val="Intense Emphasis"/>
    <w:basedOn w:val="DefaultParagraphFont"/>
    <w:uiPriority w:val="21"/>
    <w:qFormat/>
    <w:rsid w:val="00944BC2"/>
    <w:rPr>
      <w:i/>
      <w:iCs/>
      <w:color w:val="0F4761" w:themeColor="accent1" w:themeShade="BF"/>
    </w:rPr>
  </w:style>
  <w:style w:type="paragraph" w:styleId="IntenseQuote">
    <w:name w:val="Intense Quote"/>
    <w:basedOn w:val="Normal"/>
    <w:next w:val="Normal"/>
    <w:link w:val="IntenseQuoteChar"/>
    <w:uiPriority w:val="30"/>
    <w:qFormat/>
    <w:rsid w:val="00944B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44BC2"/>
    <w:rPr>
      <w:i/>
      <w:iCs/>
      <w:color w:val="0F4761" w:themeColor="accent1" w:themeShade="BF"/>
    </w:rPr>
  </w:style>
  <w:style w:type="character" w:styleId="IntenseReference">
    <w:name w:val="Intense Reference"/>
    <w:basedOn w:val="DefaultParagraphFont"/>
    <w:uiPriority w:val="32"/>
    <w:qFormat/>
    <w:rsid w:val="00944BC2"/>
    <w:rPr>
      <w:b/>
      <w:bCs/>
      <w:smallCaps/>
      <w:color w:val="0F4761" w:themeColor="accent1" w:themeShade="BF"/>
      <w:spacing w:val="5"/>
    </w:rPr>
  </w:style>
  <w:style w:type="character" w:styleId="Emphasis">
    <w:name w:val="Emphasis"/>
    <w:basedOn w:val="DefaultParagraphFont"/>
    <w:uiPriority w:val="20"/>
    <w:qFormat/>
    <w:rsid w:val="00944BC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1259</Words>
  <Characters>7180</Characters>
  <Application>Microsoft Office Word</Application>
  <DocSecurity>0</DocSecurity>
  <Lines>59</Lines>
  <Paragraphs>16</Paragraphs>
  <ScaleCrop>false</ScaleCrop>
  <Company>Gwent Police</Company>
  <LinksUpToDate>false</LinksUpToDate>
  <CharactersWithSpaces>8423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Tatchell, Scott</dc:creator>
  <cp:keywords/>
  <dc:description/>
  <cp:lastModifiedBy>Tatchell, Scott</cp:lastModifiedBy>
  <cp:revision>3</cp:revision>
  <dcterms:created xsi:type="dcterms:W3CDTF">2024-06-17T17:58:00Z</dcterms:created>
  <dcterms:modified xsi:type="dcterms:W3CDTF">2024-06-17T17:58:00Z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2024-06-17T17:56:10Z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bca1b0dd-447e-412d-9465-13026a96b877</vt:lpwstr>
  </property>
  <property fmtid="{D5CDD505-2E9C-101B-9397-08002B2CF9AE}" pid="8" name="MSIP_Label_f2acd28b-79a3-4a0f-b0ff-4b75658b1549_ContentBits">
    <vt:lpwstr>0</vt:lpwstr>
  </property>
</Properties>
</file>