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F1D49" w14:textId="77777777" w:rsidR="00AF405A" w:rsidRDefault="00AF405A">
      <w:pPr>
        <w:pStyle w:val="p1"/>
      </w:pPr>
    </w:p>
    <w:p w14:paraId="20B31F96" w14:textId="77777777" w:rsidR="00AF405A" w:rsidRDefault="00AF405A">
      <w:pPr>
        <w:pStyle w:val="p1"/>
      </w:pPr>
    </w:p>
    <w:p w14:paraId="12CF7B76" w14:textId="77777777" w:rsidR="00AF405A" w:rsidRDefault="00AF405A">
      <w:pPr>
        <w:pStyle w:val="p1"/>
      </w:pPr>
    </w:p>
    <w:p w14:paraId="3CC019A9" w14:textId="77777777" w:rsidR="00AF405A" w:rsidRDefault="00AF405A">
      <w:pPr>
        <w:pStyle w:val="p2"/>
      </w:pPr>
      <w:r>
        <w:rPr>
          <w:rStyle w:val="s1"/>
        </w:rPr>
        <w:t>Mr Peter Matthews</w:t>
      </w:r>
    </w:p>
    <w:p w14:paraId="30A54049" w14:textId="77777777" w:rsidR="00AF405A" w:rsidRDefault="00AF405A">
      <w:pPr>
        <w:pStyle w:val="p2"/>
      </w:pPr>
      <w:r>
        <w:rPr>
          <w:rStyle w:val="s1"/>
        </w:rPr>
        <w:t>97 High street</w:t>
      </w:r>
    </w:p>
    <w:p w14:paraId="4EA00CD5" w14:textId="77777777" w:rsidR="00AF405A" w:rsidRDefault="00AF405A">
      <w:pPr>
        <w:pStyle w:val="p2"/>
      </w:pPr>
      <w:r>
        <w:rPr>
          <w:rStyle w:val="s1"/>
        </w:rPr>
        <w:t>Swansea</w:t>
      </w:r>
      <w:r>
        <w:rPr>
          <w:rStyle w:val="apple-converted-space"/>
          <w:rFonts w:ascii=".SFUI-Regular" w:hAnsi=".SFUI-Regular"/>
        </w:rPr>
        <w:t> </w:t>
      </w:r>
    </w:p>
    <w:p w14:paraId="6D1918D3" w14:textId="77777777" w:rsidR="00AF405A" w:rsidRDefault="00AF405A">
      <w:pPr>
        <w:pStyle w:val="p1"/>
      </w:pPr>
    </w:p>
    <w:p w14:paraId="76DA417F" w14:textId="77777777" w:rsidR="00AF405A" w:rsidRDefault="00AF405A">
      <w:pPr>
        <w:pStyle w:val="p2"/>
      </w:pPr>
      <w:r>
        <w:rPr>
          <w:rStyle w:val="s1"/>
        </w:rPr>
        <w:t>Dear Mr Peter Matthews,</w:t>
      </w:r>
    </w:p>
    <w:p w14:paraId="2E0FA617" w14:textId="77777777" w:rsidR="00AF405A" w:rsidRDefault="00AF405A">
      <w:pPr>
        <w:pStyle w:val="p1"/>
      </w:pPr>
    </w:p>
    <w:p w14:paraId="29638B10" w14:textId="77777777" w:rsidR="00AF405A" w:rsidRDefault="00AF405A">
      <w:pPr>
        <w:pStyle w:val="p2"/>
      </w:pPr>
      <w:r>
        <w:rPr>
          <w:rStyle w:val="s1"/>
        </w:rPr>
        <w:t>First of all, I would like to tell you that I am grateful to act as your lawyer.</w:t>
      </w:r>
    </w:p>
    <w:p w14:paraId="6ADA9BF5" w14:textId="77777777" w:rsidR="00AF405A" w:rsidRDefault="00AF405A">
      <w:pPr>
        <w:pStyle w:val="p1"/>
      </w:pPr>
    </w:p>
    <w:p w14:paraId="5F9DFA37" w14:textId="77777777" w:rsidR="00AF405A" w:rsidRDefault="00AF405A">
      <w:pPr>
        <w:pStyle w:val="p2"/>
      </w:pPr>
      <w:r>
        <w:rPr>
          <w:rStyle w:val="s1"/>
        </w:rPr>
        <w:t>Secondly, you have not caused actual bodily harm at the nightclub. In your statement, you mention that it was caused at the jail, therefore I need to know what ground base, the police officers have arrested without any harmful activity and you were in good spirits and on good terms even though drunk.</w:t>
      </w:r>
    </w:p>
    <w:p w14:paraId="4A9505B1" w14:textId="77777777" w:rsidR="00AF405A" w:rsidRDefault="00AF405A">
      <w:pPr>
        <w:pStyle w:val="p1"/>
      </w:pPr>
    </w:p>
    <w:p w14:paraId="52083EDA" w14:textId="77777777" w:rsidR="00AF405A" w:rsidRDefault="00AF405A">
      <w:pPr>
        <w:pStyle w:val="p2"/>
      </w:pPr>
      <w:r>
        <w:rPr>
          <w:rStyle w:val="s1"/>
        </w:rPr>
        <w:t>The first step, the police need to provide whether the crime occurred at the nightclub with a piece of evidence. This has to be in a format as an assessment of the offender's culpability of harm caused or intended. The police should also produce guidelines that have specific a category range for the offense category. The police should look over whatever crime lands on the list of aggravating and assuaging factors associated with the offenses.</w:t>
      </w:r>
      <w:r>
        <w:rPr>
          <w:rStyle w:val="apple-converted-space"/>
          <w:rFonts w:ascii=".SFUI-Regular" w:hAnsi=".SFUI-Regular"/>
        </w:rPr>
        <w:t> </w:t>
      </w:r>
    </w:p>
    <w:p w14:paraId="21600C16" w14:textId="77777777" w:rsidR="00AF405A" w:rsidRDefault="00AF405A">
      <w:pPr>
        <w:pStyle w:val="p1"/>
      </w:pPr>
    </w:p>
    <w:p w14:paraId="7CBC6821" w14:textId="77777777" w:rsidR="00AF405A" w:rsidRDefault="00AF405A">
      <w:pPr>
        <w:pStyle w:val="p2"/>
      </w:pPr>
      <w:r>
        <w:rPr>
          <w:rStyle w:val="s1"/>
        </w:rPr>
        <w:t>As you have stated in the statement the male police officer was caught and assaulted occasioning actual bodily harm, which led to a cut on the forehead, and also requires medical treatment, but it was not intended to cause the actual bodily harm.</w:t>
      </w:r>
      <w:r>
        <w:rPr>
          <w:rStyle w:val="apple-converted-space"/>
          <w:rFonts w:ascii=".SFUI-Regular" w:hAnsi=".SFUI-Regular"/>
        </w:rPr>
        <w:t> </w:t>
      </w:r>
    </w:p>
    <w:p w14:paraId="62F3A668" w14:textId="77777777" w:rsidR="00AF405A" w:rsidRDefault="00AF405A">
      <w:pPr>
        <w:pStyle w:val="p1"/>
      </w:pPr>
    </w:p>
    <w:p w14:paraId="3843DDB1" w14:textId="77777777" w:rsidR="00AF405A" w:rsidRDefault="00AF405A">
      <w:pPr>
        <w:pStyle w:val="p2"/>
      </w:pPr>
      <w:r>
        <w:rPr>
          <w:rStyle w:val="s1"/>
        </w:rPr>
        <w:t xml:space="preserve">The male police officer will need to ask whether it is reasonable force to carry out an arrest. The police officer did intend to arrest you. Mr peter you have recognised under the Public Order Act 1986 which recognised your language and </w:t>
      </w:r>
      <w:r>
        <w:rPr>
          <w:rStyle w:val="s1"/>
        </w:rPr>
        <w:lastRenderedPageBreak/>
        <w:t>behavior. Public Order Act 1986 is a common law offense which is the unlawful convention and encounter offense that disturbs the public in any harmful whether or not by threatening words or behavior. The law has changed power to prevent protest tactics. This refers has power and is strengthened by part 3 of the police, crime sentencing, and Act 2002.Public order Act 1986 , London, England: Journal of criminal law (Hertford), 2006, Vol.70 (3), p.191-193 ,Public order Act 1986 - Newman, Chris London, England: SAGE Publications; Journal of criminal law (Hertford), 2005, Vol.69 (6), p.457-460 , Public order Act -Newman, Chris London, England: SAGE Publications; Journal of criminal law (Hertford), 2005, Vol.69 (6), p.460-463 ,Public order act 1986 - Newman, Christopher J Sage Publications Ltd. (UK); Journal of criminal law (Hertford), 2012, Vol.76 (2), p.105,Public order act 1986 -Williams, D. G. T. Cambridge University Press; Cambridge Law Journal, 1988, Vol.47 (3), p.485-486,Public order act - Newman, Chris Sage Publications Ltd. (UK); Journal of criminal law (Hertford), 2005, Vol.69 (1), p.8.</w:t>
      </w:r>
    </w:p>
    <w:p w14:paraId="1E9C9716" w14:textId="77777777" w:rsidR="00AF405A" w:rsidRDefault="00AF405A">
      <w:pPr>
        <w:pStyle w:val="p1"/>
      </w:pPr>
    </w:p>
    <w:p w14:paraId="785CDAEA" w14:textId="77777777" w:rsidR="00AF405A" w:rsidRDefault="00AF405A">
      <w:pPr>
        <w:pStyle w:val="p2"/>
      </w:pPr>
      <w:r>
        <w:rPr>
          <w:rStyle w:val="s1"/>
        </w:rPr>
        <w:t>Therefore, you can claim and appeal the incident that happened at the police station. The crown court will need to investigate this in more and this will appoint another police officer to take further investigate. This would land under abuse and harassment and it was actual bodily harm to a member of the police officer.</w:t>
      </w:r>
      <w:r>
        <w:rPr>
          <w:rStyle w:val="apple-converted-space"/>
          <w:rFonts w:ascii=".SFUI-Regular" w:hAnsi=".SFUI-Regular"/>
        </w:rPr>
        <w:t> </w:t>
      </w:r>
    </w:p>
    <w:p w14:paraId="1D473E7E" w14:textId="77777777" w:rsidR="00AF405A" w:rsidRDefault="00AF405A">
      <w:pPr>
        <w:pStyle w:val="p1"/>
      </w:pPr>
    </w:p>
    <w:p w14:paraId="51352870" w14:textId="77777777" w:rsidR="00AF405A" w:rsidRDefault="00AF405A">
      <w:pPr>
        <w:pStyle w:val="p2"/>
      </w:pPr>
      <w:r>
        <w:rPr>
          <w:rStyle w:val="s1"/>
        </w:rPr>
        <w:t>This has landed under section 18 known as actual bodily harm. This offense was not intent and was self-defense from the incident, We need to prove that the defendant caused the victim to fear that prompt physical violence would be used against them.</w:t>
      </w:r>
      <w:r>
        <w:rPr>
          <w:rStyle w:val="apple-converted-space"/>
          <w:rFonts w:ascii=".SFUI-Regular" w:hAnsi=".SFUI-Regular"/>
        </w:rPr>
        <w:t> </w:t>
      </w:r>
    </w:p>
    <w:p w14:paraId="7F5D2128" w14:textId="77777777" w:rsidR="00AF405A" w:rsidRDefault="00AF405A">
      <w:pPr>
        <w:pStyle w:val="p1"/>
      </w:pPr>
    </w:p>
    <w:p w14:paraId="32CDFEE2" w14:textId="77777777" w:rsidR="00AF405A" w:rsidRDefault="00AF405A">
      <w:pPr>
        <w:pStyle w:val="p2"/>
      </w:pPr>
      <w:r>
        <w:rPr>
          <w:rStyle w:val="s1"/>
        </w:rPr>
        <w:t>Next, would to tell you this will land under section 7 of the Conspiracy and Property Act section 1 of the Prevention of Crime Act 1953, and Control Act 1985 to revoke superannuated or unnecessary endorsement and for connected purposes.</w:t>
      </w:r>
    </w:p>
    <w:p w14:paraId="23B7E79D" w14:textId="77777777" w:rsidR="00AF405A" w:rsidRDefault="00AF405A">
      <w:pPr>
        <w:pStyle w:val="p1"/>
      </w:pPr>
    </w:p>
    <w:p w14:paraId="613D3EC3" w14:textId="77777777" w:rsidR="00AF405A" w:rsidRDefault="00AF405A">
      <w:pPr>
        <w:pStyle w:val="p2"/>
      </w:pPr>
      <w:r>
        <w:rPr>
          <w:rStyle w:val="s1"/>
        </w:rPr>
        <w:t xml:space="preserve">This also lands on non-intentional harassment, alarm, or distress. This refers to whether you have been guilty of an offense with the intent to cause another person harassment, alarm, or distress. This offense under this section may be committed in a public place except that no offense at the time of committed where the words or behavior are used at the time in the club. But this all will apply to the police station incident that took place and caused actual bodily harm. </w:t>
      </w:r>
      <w:r>
        <w:rPr>
          <w:rStyle w:val="s1"/>
        </w:rPr>
        <w:lastRenderedPageBreak/>
        <w:t>At the same time, you have caused actual bodily harm to a male officer, which causes a cut on his forehead. Even though it was self-defense to protect yourself.</w:t>
      </w:r>
      <w:r>
        <w:rPr>
          <w:rStyle w:val="apple-converted-space"/>
          <w:rFonts w:ascii=".SFUI-Regular" w:hAnsi=".SFUI-Regular"/>
        </w:rPr>
        <w:t> </w:t>
      </w:r>
    </w:p>
    <w:p w14:paraId="059D98AF" w14:textId="77777777" w:rsidR="00AF405A" w:rsidRDefault="00AF405A">
      <w:pPr>
        <w:pStyle w:val="p1"/>
      </w:pPr>
    </w:p>
    <w:p w14:paraId="09F71CE3" w14:textId="77777777" w:rsidR="00AF405A" w:rsidRDefault="00AF405A">
      <w:pPr>
        <w:pStyle w:val="p2"/>
      </w:pPr>
      <w:r>
        <w:rPr>
          <w:rStyle w:val="s1"/>
        </w:rPr>
        <w:t>Therefore the offence is carried out when a person has intentionally. So this has proved that assault and cause bodily harm in the witness statement. This isto allows you to save own life and if you have to defend yourself whatever act to not be guilty refers to the offender's mental state at the time, whereas actus reus to the physical act of committing which committed a crime with mistaken. This prosecution will and must prove the defendant made a conscious and intentional movement, which has strict liability and must be present for an offense to occur. This goes under section 47 QAPA 1861, which has proven actual bodily harm which of intenitonally to hurting another person.</w:t>
      </w:r>
    </w:p>
    <w:p w14:paraId="681BE37D" w14:textId="77777777" w:rsidR="00AF405A" w:rsidRDefault="00AF405A">
      <w:pPr>
        <w:pStyle w:val="p1"/>
      </w:pPr>
    </w:p>
    <w:p w14:paraId="10F32700" w14:textId="77777777" w:rsidR="00AF405A" w:rsidRDefault="00AF405A">
      <w:pPr>
        <w:pStyle w:val="p2"/>
      </w:pPr>
      <w:r>
        <w:rPr>
          <w:rStyle w:val="s1"/>
        </w:rPr>
        <w:t>If you have been found guilty at the time of the incident at the police station and this gone under this section are liable on summary conviction to imprisonment for a term not exceeding 6 months or a fine. At the police station interview, you will ask questions to a person regarding your involvement, in a criminal evidence order 1989 PACE (NI) codes of practice define an interview as you may be aware of the provisions relating to interviews contained in code C of the PACE or PACE (NI) codes of practice in particular section 11 to 13.</w:t>
      </w:r>
    </w:p>
    <w:p w14:paraId="5B2BF6C0" w14:textId="77777777" w:rsidR="00AF405A" w:rsidRDefault="00AF405A">
      <w:pPr>
        <w:pStyle w:val="p1"/>
      </w:pPr>
    </w:p>
    <w:p w14:paraId="40A61617" w14:textId="77777777" w:rsidR="00AF405A" w:rsidRDefault="00AF405A">
      <w:pPr>
        <w:pStyle w:val="p2"/>
      </w:pPr>
      <w:r>
        <w:rPr>
          <w:rStyle w:val="s1"/>
        </w:rPr>
        <w:t>In this circumstance, this assault took place in the police station. There has been a head cutting on the forehead and you have self-defence which causes you to be a victim and be vulnerable. This goes under sections 16(2) and 17(2) Youth Justice and Criminal Evidence Act 1999. You may ask to attend a person who has been granted bail under this part subject to a duty to attend at a police station, a custody officer may book an appointment at a different time or an additional time, at which you will attend at the police station to ask questions and you will need to provide evidence within 7 days. If not will get short turn-around bail, which will be an effective means for suspects to find out after being released under investigation.Youth and criminal evidence act 1999 Jason-Lloyd, Leonard Butterworths &amp; Company (Publishers) Ltd. (UK); New law journal, 1999, Vol.149 (6908), p.1533,Jason-Lloyd, Leonard Butterworths &amp; Company (Publishers) Ltd. (UK); New law journal, 1999, Vol.149 (6910), p.1622,Jason-Lloyd, Leonard Butterworths &amp; Company (Publishers) Ltd. (UK); New law journal, 1999, Vol.149 (6912), p.1704,Fairclough, Samantha Oxford University Press; Oxford journal of legal studies, 2021, Vol.41 (4), p.1066-1095.</w:t>
      </w:r>
    </w:p>
    <w:p w14:paraId="3EAA513D" w14:textId="77777777" w:rsidR="00AF405A" w:rsidRDefault="00AF405A">
      <w:pPr>
        <w:pStyle w:val="p1"/>
      </w:pPr>
    </w:p>
    <w:p w14:paraId="26FB65AE" w14:textId="77777777" w:rsidR="00AF405A" w:rsidRDefault="00AF405A">
      <w:pPr>
        <w:pStyle w:val="p2"/>
      </w:pPr>
      <w:r>
        <w:rPr>
          <w:rStyle w:val="s1"/>
        </w:rPr>
        <w:lastRenderedPageBreak/>
        <w:t>After they have kept you for 24 hours, the police must apply in section 41 Police and Criminal Evidence Act 1984. As it is stated on the bail condition, you have been charged on 5 March 2021 with assaulting PC Jred Thomas which may lead to a maximum of five years or a fine depending on the seriousness of the offense or injury. but if not found guilty then u will face the penalty for this crime. However, you have been given bail due to taking into account the severity of the offense which can be risked by the dependant who is examined and needs to prove release on the bail.</w:t>
      </w:r>
      <w:r>
        <w:rPr>
          <w:rStyle w:val="apple-converted-space"/>
          <w:rFonts w:ascii=".SFUI-Regular" w:hAnsi=".SFUI-Regular"/>
        </w:rPr>
        <w:t> </w:t>
      </w:r>
    </w:p>
    <w:p w14:paraId="157899DB" w14:textId="77777777" w:rsidR="00AF405A" w:rsidRDefault="00AF405A">
      <w:pPr>
        <w:pStyle w:val="p1"/>
      </w:pPr>
    </w:p>
    <w:p w14:paraId="4EB331A3" w14:textId="77777777" w:rsidR="00AF405A" w:rsidRDefault="00AF405A">
      <w:pPr>
        <w:pStyle w:val="p2"/>
      </w:pPr>
      <w:r>
        <w:rPr>
          <w:rStyle w:val="s1"/>
        </w:rPr>
        <w:t xml:space="preserve">Finally, would like to tell you if you suffer from mental health or any sort of health issues, we can be considered to appeal to the court. As I am acting as your lawyer, you could and have to give any sort of evidence that may be useful for this case. if you have a problem with your mind you can get help by calling 03001233393 or following the link below </w:t>
      </w:r>
      <w:hyperlink r:id="rId4" w:history="1">
        <w:r>
          <w:rPr>
            <w:rStyle w:val="s2"/>
          </w:rPr>
          <w:t>www.mind.org.uk</w:t>
        </w:r>
      </w:hyperlink>
      <w:r>
        <w:rPr>
          <w:rStyle w:val="s1"/>
        </w:rPr>
        <w:t>.</w:t>
      </w:r>
      <w:r>
        <w:rPr>
          <w:rStyle w:val="apple-converted-space"/>
          <w:rFonts w:ascii=".SFUI-Regular" w:hAnsi=".SFUI-Regular"/>
        </w:rPr>
        <w:t> </w:t>
      </w:r>
    </w:p>
    <w:p w14:paraId="4B841434" w14:textId="77777777" w:rsidR="00AF405A" w:rsidRDefault="00AF405A">
      <w:pPr>
        <w:pStyle w:val="p1"/>
      </w:pPr>
    </w:p>
    <w:p w14:paraId="2507EE80" w14:textId="77777777" w:rsidR="00AF405A" w:rsidRDefault="00AF405A">
      <w:pPr>
        <w:pStyle w:val="p2"/>
      </w:pPr>
      <w:r>
        <w:rPr>
          <w:rStyle w:val="s1"/>
        </w:rPr>
        <w:t>Your sincerely</w:t>
      </w:r>
      <w:r>
        <w:rPr>
          <w:rStyle w:val="apple-converted-space"/>
          <w:rFonts w:ascii=".SFUI-Regular" w:hAnsi=".SFUI-Regular"/>
        </w:rPr>
        <w:t> </w:t>
      </w:r>
    </w:p>
    <w:p w14:paraId="3C5575A6" w14:textId="77777777" w:rsidR="00AF405A" w:rsidRDefault="00AF405A">
      <w:pPr>
        <w:pStyle w:val="p2"/>
      </w:pPr>
      <w:r>
        <w:rPr>
          <w:rStyle w:val="s1"/>
        </w:rPr>
        <w:t>Kunarsah Kananathan</w:t>
      </w:r>
    </w:p>
    <w:p w14:paraId="358F3048" w14:textId="77777777" w:rsidR="00AF405A" w:rsidRDefault="00AF405A">
      <w:pPr>
        <w:pStyle w:val="p1"/>
      </w:pPr>
    </w:p>
    <w:p w14:paraId="513BFEDD" w14:textId="77777777" w:rsidR="00AF405A" w:rsidRDefault="00AF405A">
      <w:pPr>
        <w:pStyle w:val="p1"/>
      </w:pPr>
    </w:p>
    <w:p w14:paraId="05AD53C8" w14:textId="77777777" w:rsidR="00AF405A" w:rsidRDefault="00AF405A">
      <w:pPr>
        <w:pStyle w:val="p2"/>
      </w:pPr>
      <w:r>
        <w:rPr>
          <w:rStyle w:val="s3"/>
        </w:rPr>
        <w:t>Reference</w:t>
      </w:r>
      <w:r>
        <w:rPr>
          <w:rStyle w:val="apple-converted-space"/>
          <w:rFonts w:ascii=".SFUI-Regular" w:hAnsi=".SFUI-Regular"/>
          <w:u w:val="single"/>
        </w:rPr>
        <w:t> </w:t>
      </w:r>
    </w:p>
    <w:p w14:paraId="6573DDEB" w14:textId="77777777" w:rsidR="00AF405A" w:rsidRDefault="00AF405A">
      <w:pPr>
        <w:pStyle w:val="p2"/>
      </w:pPr>
      <w:r>
        <w:rPr>
          <w:rStyle w:val="s1"/>
        </w:rPr>
        <w:t>Public order Act 1986 , London, England: Journal of criminal law (Hertford), 2006, Vol.70 (3), p.191-193</w:t>
      </w:r>
    </w:p>
    <w:p w14:paraId="29157E67" w14:textId="77777777" w:rsidR="00AF405A" w:rsidRDefault="00AF405A">
      <w:pPr>
        <w:pStyle w:val="p1"/>
      </w:pPr>
    </w:p>
    <w:p w14:paraId="389EFCD3" w14:textId="77777777" w:rsidR="00AF405A" w:rsidRDefault="00AF405A">
      <w:pPr>
        <w:pStyle w:val="p2"/>
      </w:pPr>
      <w:r>
        <w:rPr>
          <w:rStyle w:val="s1"/>
        </w:rPr>
        <w:t>Public order Act 1986 - Newman, Chris</w:t>
      </w:r>
    </w:p>
    <w:p w14:paraId="46560876" w14:textId="77777777" w:rsidR="00AF405A" w:rsidRDefault="00AF405A">
      <w:pPr>
        <w:pStyle w:val="p2"/>
      </w:pPr>
      <w:r>
        <w:rPr>
          <w:rStyle w:val="s1"/>
        </w:rPr>
        <w:t>London, England: SAGE Publications; Journal of criminal law (Hertford), 2005, Vol.69 (6), p.457-460</w:t>
      </w:r>
    </w:p>
    <w:p w14:paraId="6D8F8097" w14:textId="77777777" w:rsidR="00AF405A" w:rsidRDefault="00AF405A">
      <w:pPr>
        <w:pStyle w:val="p1"/>
      </w:pPr>
    </w:p>
    <w:p w14:paraId="35450602" w14:textId="77777777" w:rsidR="00AF405A" w:rsidRDefault="00AF405A">
      <w:pPr>
        <w:pStyle w:val="p2"/>
      </w:pPr>
      <w:r>
        <w:rPr>
          <w:rStyle w:val="s1"/>
        </w:rPr>
        <w:t>Public order Act -Newman, Chris</w:t>
      </w:r>
    </w:p>
    <w:p w14:paraId="34045CCF" w14:textId="77777777" w:rsidR="00AF405A" w:rsidRDefault="00AF405A">
      <w:pPr>
        <w:pStyle w:val="p2"/>
      </w:pPr>
      <w:r>
        <w:rPr>
          <w:rStyle w:val="s1"/>
        </w:rPr>
        <w:t>London, England: SAGE Publications; Journal of criminal law (Hertford), 2005, Vol.69 (6), p.460-463</w:t>
      </w:r>
    </w:p>
    <w:p w14:paraId="26694220" w14:textId="77777777" w:rsidR="00AF405A" w:rsidRDefault="00AF405A">
      <w:pPr>
        <w:pStyle w:val="p1"/>
      </w:pPr>
    </w:p>
    <w:p w14:paraId="2F1A7FB2" w14:textId="77777777" w:rsidR="00AF405A" w:rsidRDefault="00AF405A">
      <w:pPr>
        <w:pStyle w:val="p2"/>
      </w:pPr>
      <w:r>
        <w:rPr>
          <w:rStyle w:val="s1"/>
        </w:rPr>
        <w:lastRenderedPageBreak/>
        <w:t>Public order act 1986 - Newman, Christopher J</w:t>
      </w:r>
    </w:p>
    <w:p w14:paraId="26A1A0BD" w14:textId="77777777" w:rsidR="00AF405A" w:rsidRDefault="00AF405A">
      <w:pPr>
        <w:pStyle w:val="p2"/>
      </w:pPr>
      <w:r>
        <w:rPr>
          <w:rStyle w:val="s1"/>
        </w:rPr>
        <w:t>Sage Publications Ltd. (UK); Journal of criminal law (Hertford), 2012, Vol.76 (2), p.105</w:t>
      </w:r>
    </w:p>
    <w:p w14:paraId="21A03AAB" w14:textId="77777777" w:rsidR="00AF405A" w:rsidRDefault="00AF405A">
      <w:pPr>
        <w:pStyle w:val="p1"/>
      </w:pPr>
    </w:p>
    <w:p w14:paraId="1AF77AF4" w14:textId="77777777" w:rsidR="00AF405A" w:rsidRDefault="00AF405A">
      <w:pPr>
        <w:pStyle w:val="p2"/>
      </w:pPr>
      <w:r>
        <w:rPr>
          <w:rStyle w:val="s1"/>
        </w:rPr>
        <w:t>Public order act 1986 -Williams, D. G. T.</w:t>
      </w:r>
    </w:p>
    <w:p w14:paraId="2334AB66" w14:textId="77777777" w:rsidR="00AF405A" w:rsidRDefault="00AF405A">
      <w:pPr>
        <w:pStyle w:val="p2"/>
      </w:pPr>
      <w:r>
        <w:rPr>
          <w:rStyle w:val="s1"/>
        </w:rPr>
        <w:t>Cambridge University Press; Cambridge Law Journal, 1988, Vol.47 (3), p.485-486</w:t>
      </w:r>
    </w:p>
    <w:p w14:paraId="36A029D8" w14:textId="77777777" w:rsidR="00AF405A" w:rsidRDefault="00AF405A">
      <w:pPr>
        <w:pStyle w:val="p1"/>
      </w:pPr>
    </w:p>
    <w:p w14:paraId="39720961" w14:textId="77777777" w:rsidR="00AF405A" w:rsidRDefault="00AF405A">
      <w:pPr>
        <w:pStyle w:val="p2"/>
      </w:pPr>
      <w:r>
        <w:rPr>
          <w:rStyle w:val="s1"/>
        </w:rPr>
        <w:t>Public order act - Newman, Chris</w:t>
      </w:r>
    </w:p>
    <w:p w14:paraId="66DE93C5" w14:textId="77777777" w:rsidR="00AF405A" w:rsidRDefault="00AF405A">
      <w:pPr>
        <w:pStyle w:val="p2"/>
      </w:pPr>
      <w:r>
        <w:rPr>
          <w:rStyle w:val="s1"/>
        </w:rPr>
        <w:t>Sage Publications Ltd. (UK); Journal of criminal law (Hertford), 2005, Vol.69 (1), p.8</w:t>
      </w:r>
    </w:p>
    <w:p w14:paraId="03D7DBFD" w14:textId="77777777" w:rsidR="00AF405A" w:rsidRDefault="00AF405A">
      <w:pPr>
        <w:pStyle w:val="p2"/>
      </w:pPr>
      <w:r>
        <w:rPr>
          <w:rStyle w:val="s1"/>
        </w:rPr>
        <w:t>Youth and criminal evidence act 1999 Jason-Lloyd, Leonard</w:t>
      </w:r>
    </w:p>
    <w:p w14:paraId="0B1F3036" w14:textId="77777777" w:rsidR="00AF405A" w:rsidRDefault="00AF405A">
      <w:pPr>
        <w:pStyle w:val="p2"/>
      </w:pPr>
      <w:r>
        <w:rPr>
          <w:rStyle w:val="s1"/>
        </w:rPr>
        <w:t>Butterworths &amp; Company (Publishers) Ltd. (UK); New law journal, 1999, Vol.149 (6908), p.1533</w:t>
      </w:r>
    </w:p>
    <w:p w14:paraId="46893D0A" w14:textId="77777777" w:rsidR="00AF405A" w:rsidRDefault="00AF405A">
      <w:pPr>
        <w:pStyle w:val="p1"/>
      </w:pPr>
    </w:p>
    <w:p w14:paraId="19F79608" w14:textId="77777777" w:rsidR="00AF405A" w:rsidRDefault="00AF405A">
      <w:pPr>
        <w:pStyle w:val="p2"/>
      </w:pPr>
      <w:r>
        <w:rPr>
          <w:rStyle w:val="s1"/>
        </w:rPr>
        <w:t>Jason-Lloyd, Leonard Butterworths &amp; Company (Publishers) Ltd. (UK); New law journal, 1999, Vol.149 (6910), p.1622</w:t>
      </w:r>
    </w:p>
    <w:p w14:paraId="4A436BE0" w14:textId="77777777" w:rsidR="00AF405A" w:rsidRDefault="00AF405A">
      <w:pPr>
        <w:pStyle w:val="p1"/>
      </w:pPr>
    </w:p>
    <w:p w14:paraId="178E4858" w14:textId="77777777" w:rsidR="00AF405A" w:rsidRDefault="00AF405A">
      <w:pPr>
        <w:pStyle w:val="p2"/>
      </w:pPr>
      <w:r>
        <w:rPr>
          <w:rStyle w:val="s1"/>
        </w:rPr>
        <w:t>Jason-Lloyd, Leonard Butterworths &amp; Company (Publishers) Ltd. (UK); New law journal, 1999, Vol.149 (6912), p.1704</w:t>
      </w:r>
    </w:p>
    <w:p w14:paraId="487A14E3" w14:textId="77777777" w:rsidR="00AF405A" w:rsidRDefault="00AF405A">
      <w:pPr>
        <w:pStyle w:val="p1"/>
      </w:pPr>
    </w:p>
    <w:p w14:paraId="0E8015CB" w14:textId="77777777" w:rsidR="00AF405A" w:rsidRDefault="00AF405A">
      <w:pPr>
        <w:pStyle w:val="p2"/>
      </w:pPr>
      <w:r>
        <w:rPr>
          <w:rStyle w:val="s1"/>
        </w:rPr>
        <w:t>Fairclough, Samantha Oxford University Press; Oxford journal of legal studies, 2021, Vol.41 (4), p.1066-1095</w:t>
      </w:r>
    </w:p>
    <w:p w14:paraId="62D0D19A" w14:textId="77777777" w:rsidR="00AF405A" w:rsidRDefault="00AF405A">
      <w:pPr>
        <w:pStyle w:val="p1"/>
      </w:pPr>
    </w:p>
    <w:p w14:paraId="03CF0EE6" w14:textId="77777777" w:rsidR="00AF405A" w:rsidRDefault="00AF405A"/>
    <w:sectPr w:rsidR="00AF4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Latha">
    <w:panose1 w:val="020B0604020202020204"/>
    <w:charset w:val="00"/>
    <w:family w:val="swiss"/>
    <w:pitch w:val="variable"/>
    <w:sig w:usb0="00100003" w:usb1="00000000" w:usb2="00000000" w:usb3="00000000" w:csb0="00000001"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05A"/>
    <w:rsid w:val="00985BB2"/>
    <w:rsid w:val="00AF405A"/>
  </w:rsids>
  <m:mathPr>
    <m:mathFont m:val="Cambria Math"/>
    <m:brkBin m:val="before"/>
    <m:brkBinSub m:val="--"/>
    <m:smallFrac m:val="0"/>
    <m:dispDef/>
    <m:lMargin m:val="0"/>
    <m:rMargin m:val="0"/>
    <m:defJc m:val="centerGroup"/>
    <m:wrapIndent m:val="1440"/>
    <m:intLim m:val="subSup"/>
    <m:naryLim m:val="undOvr"/>
  </m:mathPr>
  <w:themeFontLang w:val="en-LK" w:bidi="ta-IN"/>
  <w:clrSchemeMapping w:bg1="light1" w:t1="dark1" w:bg2="light2" w:t2="dark2" w:accent1="accent1" w:accent2="accent2" w:accent3="accent3" w:accent4="accent4" w:accent5="accent5" w:accent6="accent6" w:hyperlink="hyperlink" w:followedHyperlink="followedHyperlink"/>
  <w:decimalSymbol w:val="."/>
  <w:listSeparator w:val=","/>
  <w14:docId w14:val="31623508"/>
  <w15:chartTrackingRefBased/>
  <w15:docId w15:val="{E705F7B2-D055-1A4F-8DE0-D81CAA4AF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LK" w:eastAsia="en-GB" w:bidi="ta-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Lath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F405A"/>
    <w:pPr>
      <w:spacing w:after="255"/>
    </w:pPr>
    <w:rPr>
      <w:rFonts w:ascii=".AppleSystemUIFont" w:hAnsi=".AppleSystemUIFont" w:cs="Times New Roman"/>
      <w:color w:val="000000"/>
      <w:kern w:val="0"/>
      <w:sz w:val="26"/>
      <w:szCs w:val="26"/>
      <w14:ligatures w14:val="none"/>
    </w:rPr>
  </w:style>
  <w:style w:type="paragraph" w:customStyle="1" w:styleId="p2">
    <w:name w:val="p2"/>
    <w:basedOn w:val="Normal"/>
    <w:rsid w:val="00AF405A"/>
    <w:pPr>
      <w:spacing w:after="255"/>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AF405A"/>
    <w:rPr>
      <w:rFonts w:ascii=".SFUI-Regular" w:hAnsi=".SFUI-Regular" w:hint="default"/>
      <w:b w:val="0"/>
      <w:bCs w:val="0"/>
      <w:i w:val="0"/>
      <w:iCs w:val="0"/>
      <w:sz w:val="26"/>
      <w:szCs w:val="26"/>
    </w:rPr>
  </w:style>
  <w:style w:type="character" w:customStyle="1" w:styleId="s2">
    <w:name w:val="s2"/>
    <w:basedOn w:val="DefaultParagraphFont"/>
    <w:rsid w:val="00AF405A"/>
    <w:rPr>
      <w:rFonts w:ascii=".SFUI-Regular" w:hAnsi=".SFUI-Regular" w:hint="default"/>
      <w:b w:val="0"/>
      <w:bCs w:val="0"/>
      <w:i w:val="0"/>
      <w:iCs w:val="0"/>
      <w:color w:val="0000EE"/>
      <w:sz w:val="26"/>
      <w:szCs w:val="26"/>
      <w:u w:val="single"/>
    </w:rPr>
  </w:style>
  <w:style w:type="character" w:customStyle="1" w:styleId="s3">
    <w:name w:val="s3"/>
    <w:basedOn w:val="DefaultParagraphFont"/>
    <w:rsid w:val="00AF405A"/>
    <w:rPr>
      <w:rFonts w:ascii=".SFUI-Regular" w:hAnsi=".SFUI-Regular" w:hint="default"/>
      <w:b w:val="0"/>
      <w:bCs w:val="0"/>
      <w:i w:val="0"/>
      <w:iCs w:val="0"/>
      <w:sz w:val="26"/>
      <w:szCs w:val="26"/>
      <w:u w:val="single"/>
    </w:rPr>
  </w:style>
  <w:style w:type="character" w:customStyle="1" w:styleId="apple-converted-space">
    <w:name w:val="apple-converted-space"/>
    <w:basedOn w:val="DefaultParagraphFont"/>
    <w:rsid w:val="00AF4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applewebdata://AA6F3BBA-CF08-41BA-8B2D-59C5901C2AFA/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1306</Words>
  <Characters>7448</Characters>
  <Application>Microsoft Office Word</Application>
  <DocSecurity>0</DocSecurity>
  <Lines>62</Lines>
  <Paragraphs>17</Paragraphs>
  <ScaleCrop>false</ScaleCrop>
  <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Kunarsah Kananathan (2240735)</dc:creator>
  <cp:keywords/>
  <dc:description/>
  <cp:lastModifiedBy>Kunarsah Kananathan (2240735)</cp:lastModifiedBy>
  <cp:revision>2</cp:revision>
  <dcterms:created xsi:type="dcterms:W3CDTF">2023-12-01T17:48:00Z</dcterms:created>
  <dcterms:modified xsi:type="dcterms:W3CDTF">2023-12-01T17:48:00Z</dcterms:modified>
</cp:coreProperties>
</file>