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D6599" w:rsidRDefault="00F874A8" w:rsidP="001F0B88">
      <w:pPr>
        <w:pStyle w:val="awTB00chTitle"/>
        <w:keepNext/>
        <w:spacing w:before="720" w:after="0"/>
      </w:pPr>
      <w:r>
        <w:rPr>
          <w:sz w:val="44"/>
        </w:rPr>
        <w:t>Chapter 1</w:t>
      </w:r>
      <w:r w:rsidR="00F14FF7">
        <w:rPr>
          <w:sz w:val="44"/>
        </w:rPr>
        <w:t>7</w:t>
      </w:r>
      <w:r>
        <w:rPr>
          <w:sz w:val="32"/>
        </w:rPr>
        <w:br/>
      </w:r>
      <w:r>
        <w:t xml:space="preserve">Multinational Capital Budgeting and </w:t>
      </w:r>
      <w:r>
        <w:br/>
        <w:t>Cross-Border Acquisitions</w:t>
      </w:r>
      <w:r w:rsidR="000A46A0">
        <w:br/>
      </w:r>
    </w:p>
    <w:p w:rsidR="000A46A0" w:rsidRPr="00CF536C" w:rsidRDefault="000A46A0" w:rsidP="00DD09D1">
      <w:pPr>
        <w:spacing w:after="120"/>
        <w:rPr>
          <w:rFonts w:ascii="Helvetica" w:eastAsiaTheme="minorHAnsi" w:hAnsi="Helvetica" w:cstheme="minorBidi"/>
          <w:b/>
          <w:sz w:val="28"/>
          <w:szCs w:val="28"/>
        </w:rPr>
      </w:pPr>
      <w:r w:rsidRPr="00CF536C">
        <w:rPr>
          <w:rFonts w:ascii="Helvetica" w:eastAsiaTheme="minorHAnsi" w:hAnsi="Helvetica" w:cstheme="minorBidi"/>
          <w:sz w:val="28"/>
          <w:szCs w:val="28"/>
        </w:rPr>
        <w:sym w:font="Wingdings" w:char="F06E"/>
      </w:r>
      <w:r w:rsidRPr="00CF536C">
        <w:rPr>
          <w:rFonts w:ascii="Helvetica" w:eastAsiaTheme="minorHAnsi" w:hAnsi="Helvetica" w:cstheme="minorBidi"/>
          <w:sz w:val="28"/>
          <w:szCs w:val="28"/>
        </w:rPr>
        <w:t xml:space="preserve"> </w:t>
      </w:r>
      <w:r w:rsidRPr="00CF536C">
        <w:rPr>
          <w:rFonts w:ascii="Helvetica" w:eastAsiaTheme="minorHAnsi" w:hAnsi="Helvetica" w:cstheme="minorBidi"/>
          <w:b/>
          <w:sz w:val="28"/>
          <w:szCs w:val="28"/>
        </w:rPr>
        <w:t>Learning Objectives</w:t>
      </w:r>
    </w:p>
    <w:p w:rsidR="000A46A0" w:rsidRPr="000A46A0" w:rsidRDefault="000A46A0" w:rsidP="000A46A0">
      <w:pPr>
        <w:numPr>
          <w:ilvl w:val="0"/>
          <w:numId w:val="18"/>
        </w:numPr>
        <w:spacing w:after="160" w:line="259" w:lineRule="auto"/>
        <w:contextualSpacing/>
        <w:rPr>
          <w:rFonts w:ascii="Times" w:eastAsiaTheme="minorHAnsi" w:hAnsi="Times" w:cs="Times"/>
          <w:sz w:val="24"/>
          <w:szCs w:val="24"/>
        </w:rPr>
      </w:pPr>
      <w:r w:rsidRPr="000A46A0">
        <w:rPr>
          <w:rFonts w:ascii="Times" w:eastAsiaTheme="minorHAnsi" w:hAnsi="Times" w:cs="Times"/>
          <w:sz w:val="24"/>
          <w:szCs w:val="24"/>
        </w:rPr>
        <w:t>Extend the domestic capital budgeting analysis to evaluate a greenfield foreign project</w:t>
      </w:r>
    </w:p>
    <w:p w:rsidR="000A46A0" w:rsidRPr="000A46A0" w:rsidRDefault="000A46A0" w:rsidP="00ED5DEF">
      <w:pPr>
        <w:numPr>
          <w:ilvl w:val="0"/>
          <w:numId w:val="18"/>
        </w:numPr>
        <w:spacing w:after="160" w:line="259" w:lineRule="auto"/>
        <w:contextualSpacing/>
        <w:rPr>
          <w:rFonts w:ascii="Times" w:eastAsiaTheme="minorHAnsi" w:hAnsi="Times" w:cs="Times"/>
          <w:sz w:val="24"/>
          <w:szCs w:val="24"/>
        </w:rPr>
      </w:pPr>
      <w:r w:rsidRPr="000A46A0">
        <w:rPr>
          <w:rFonts w:ascii="Times" w:eastAsiaTheme="minorHAnsi" w:hAnsi="Times" w:cs="Times"/>
          <w:sz w:val="24"/>
          <w:szCs w:val="24"/>
        </w:rPr>
        <w:t>Distinguish between the project viewpoint and the parent viewpoint when analyzing a</w:t>
      </w:r>
      <w:r>
        <w:rPr>
          <w:rFonts w:ascii="Times" w:eastAsiaTheme="minorHAnsi" w:hAnsi="Times" w:cs="Times"/>
          <w:sz w:val="24"/>
          <w:szCs w:val="24"/>
        </w:rPr>
        <w:t xml:space="preserve"> </w:t>
      </w:r>
      <w:r w:rsidRPr="000A46A0">
        <w:rPr>
          <w:rFonts w:ascii="Times" w:eastAsiaTheme="minorHAnsi" w:hAnsi="Times" w:cs="Times"/>
          <w:sz w:val="24"/>
          <w:szCs w:val="24"/>
        </w:rPr>
        <w:t>potential foreign investment</w:t>
      </w:r>
    </w:p>
    <w:p w:rsidR="000A46A0" w:rsidRDefault="000A46A0" w:rsidP="006E2E75">
      <w:pPr>
        <w:numPr>
          <w:ilvl w:val="0"/>
          <w:numId w:val="18"/>
        </w:numPr>
        <w:spacing w:after="160" w:line="259" w:lineRule="auto"/>
        <w:contextualSpacing/>
        <w:rPr>
          <w:rFonts w:ascii="Times" w:eastAsiaTheme="minorHAnsi" w:hAnsi="Times" w:cs="Times"/>
          <w:sz w:val="24"/>
          <w:szCs w:val="24"/>
        </w:rPr>
      </w:pPr>
      <w:r w:rsidRPr="000A46A0">
        <w:rPr>
          <w:rFonts w:ascii="Times" w:eastAsiaTheme="minorHAnsi" w:hAnsi="Times" w:cs="Times"/>
          <w:sz w:val="24"/>
          <w:szCs w:val="24"/>
        </w:rPr>
        <w:t>Adjust the capital budgeting analysis of a foreign project for risk</w:t>
      </w:r>
      <w:r>
        <w:rPr>
          <w:rFonts w:ascii="Times" w:eastAsiaTheme="minorHAnsi" w:hAnsi="Times" w:cs="Times"/>
          <w:sz w:val="24"/>
          <w:szCs w:val="24"/>
        </w:rPr>
        <w:t xml:space="preserve"> </w:t>
      </w:r>
    </w:p>
    <w:p w:rsidR="000A46A0" w:rsidRPr="000A46A0" w:rsidRDefault="000A46A0" w:rsidP="003F6850">
      <w:pPr>
        <w:numPr>
          <w:ilvl w:val="0"/>
          <w:numId w:val="18"/>
        </w:numPr>
        <w:spacing w:after="160" w:line="259" w:lineRule="auto"/>
        <w:contextualSpacing/>
        <w:rPr>
          <w:rFonts w:ascii="Times" w:eastAsiaTheme="minorHAnsi" w:hAnsi="Times" w:cs="Times"/>
          <w:sz w:val="24"/>
          <w:szCs w:val="24"/>
        </w:rPr>
      </w:pPr>
      <w:r w:rsidRPr="000A46A0">
        <w:rPr>
          <w:rFonts w:ascii="Times" w:eastAsiaTheme="minorHAnsi" w:hAnsi="Times" w:cs="Times"/>
          <w:sz w:val="24"/>
          <w:szCs w:val="24"/>
        </w:rPr>
        <w:t>Introduce the use of real option analysis as a complement to discounted cash flow</w:t>
      </w:r>
      <w:r>
        <w:rPr>
          <w:rFonts w:ascii="Times" w:eastAsiaTheme="minorHAnsi" w:hAnsi="Times" w:cs="Times"/>
          <w:sz w:val="24"/>
          <w:szCs w:val="24"/>
        </w:rPr>
        <w:t xml:space="preserve"> </w:t>
      </w:r>
      <w:r w:rsidRPr="000A46A0">
        <w:rPr>
          <w:rFonts w:ascii="Times" w:eastAsiaTheme="minorHAnsi" w:hAnsi="Times" w:cs="Times"/>
          <w:sz w:val="24"/>
          <w:szCs w:val="24"/>
        </w:rPr>
        <w:t>analysis</w:t>
      </w:r>
    </w:p>
    <w:p w:rsidR="000A46A0" w:rsidRPr="000A46A0" w:rsidRDefault="000A46A0" w:rsidP="000A46A0">
      <w:pPr>
        <w:numPr>
          <w:ilvl w:val="0"/>
          <w:numId w:val="18"/>
        </w:numPr>
        <w:spacing w:after="160" w:line="259" w:lineRule="auto"/>
        <w:contextualSpacing/>
        <w:rPr>
          <w:rFonts w:ascii="Times" w:eastAsiaTheme="minorHAnsi" w:hAnsi="Times" w:cs="Times"/>
          <w:sz w:val="24"/>
          <w:szCs w:val="24"/>
        </w:rPr>
      </w:pPr>
      <w:r w:rsidRPr="000A46A0">
        <w:rPr>
          <w:rFonts w:ascii="Times" w:eastAsiaTheme="minorHAnsi" w:hAnsi="Times" w:cs="Times"/>
          <w:sz w:val="24"/>
          <w:szCs w:val="24"/>
        </w:rPr>
        <w:t>Examine the use of project finance to fund and evalua</w:t>
      </w:r>
      <w:bookmarkStart w:id="0" w:name="_GoBack"/>
      <w:bookmarkEnd w:id="0"/>
      <w:r w:rsidRPr="000A46A0">
        <w:rPr>
          <w:rFonts w:ascii="Times" w:eastAsiaTheme="minorHAnsi" w:hAnsi="Times" w:cs="Times"/>
          <w:sz w:val="24"/>
          <w:szCs w:val="24"/>
        </w:rPr>
        <w:t>te large global projects</w:t>
      </w:r>
    </w:p>
    <w:p w:rsidR="000A46A0" w:rsidRPr="00015F6E" w:rsidRDefault="000A46A0" w:rsidP="000A46A0">
      <w:pPr>
        <w:numPr>
          <w:ilvl w:val="0"/>
          <w:numId w:val="18"/>
        </w:numPr>
        <w:spacing w:after="160" w:line="259" w:lineRule="auto"/>
        <w:contextualSpacing/>
        <w:rPr>
          <w:rFonts w:ascii="Times" w:eastAsiaTheme="minorHAnsi" w:hAnsi="Times" w:cs="Times"/>
          <w:sz w:val="24"/>
          <w:szCs w:val="24"/>
        </w:rPr>
      </w:pPr>
      <w:r w:rsidRPr="000A46A0">
        <w:rPr>
          <w:rFonts w:ascii="Times" w:eastAsiaTheme="minorHAnsi" w:hAnsi="Times" w:cs="Times"/>
          <w:sz w:val="24"/>
          <w:szCs w:val="24"/>
        </w:rPr>
        <w:t>Introduce the principles of cross-border mergers and acquisitions</w:t>
      </w:r>
    </w:p>
    <w:p w:rsidR="000A46A0" w:rsidRPr="00CF536C" w:rsidRDefault="000A46A0" w:rsidP="00D923E1">
      <w:pPr>
        <w:spacing w:before="480" w:after="160" w:line="259" w:lineRule="auto"/>
        <w:rPr>
          <w:rFonts w:asciiTheme="minorHAnsi" w:eastAsiaTheme="minorHAnsi" w:hAnsiTheme="minorHAnsi" w:cstheme="minorBidi"/>
          <w:sz w:val="22"/>
          <w:szCs w:val="22"/>
        </w:rPr>
      </w:pPr>
      <w:r w:rsidRPr="00CF536C">
        <w:rPr>
          <w:rFonts w:ascii="Helvetica" w:eastAsiaTheme="minorHAnsi" w:hAnsi="Helvetica" w:cstheme="minorBidi"/>
          <w:sz w:val="28"/>
          <w:szCs w:val="28"/>
        </w:rPr>
        <w:sym w:font="Wingdings" w:char="F06E"/>
      </w:r>
      <w:r w:rsidRPr="00CF536C">
        <w:rPr>
          <w:rFonts w:ascii="Helvetica" w:eastAsiaTheme="minorHAnsi" w:hAnsi="Helvetica" w:cstheme="minorBidi"/>
          <w:sz w:val="28"/>
          <w:szCs w:val="28"/>
        </w:rPr>
        <w:t xml:space="preserve">  </w:t>
      </w:r>
      <w:r w:rsidRPr="00CF536C">
        <w:rPr>
          <w:rFonts w:ascii="Helvetica" w:eastAsiaTheme="minorHAnsi" w:hAnsi="Helvetica" w:cstheme="minorBidi"/>
          <w:b/>
          <w:sz w:val="28"/>
          <w:szCs w:val="28"/>
        </w:rPr>
        <w:t>Chapter Outline</w:t>
      </w:r>
      <w:r w:rsidRPr="00CF536C">
        <w:rPr>
          <w:rFonts w:asciiTheme="minorHAnsi" w:eastAsiaTheme="minorHAnsi" w:hAnsiTheme="minorHAnsi" w:cstheme="minorBidi"/>
          <w:sz w:val="22"/>
          <w:szCs w:val="22"/>
        </w:rPr>
        <w:t xml:space="preserve"> </w:t>
      </w:r>
    </w:p>
    <w:p w:rsidR="000A46A0" w:rsidRDefault="000A46A0" w:rsidP="00D923E1">
      <w:pPr>
        <w:pStyle w:val="OutlineI"/>
      </w:pPr>
      <w:r>
        <w:t>Complexities of Budgeting for a Foreign Project</w:t>
      </w:r>
    </w:p>
    <w:p w:rsidR="000A46A0" w:rsidRDefault="000A46A0" w:rsidP="00D923E1">
      <w:pPr>
        <w:pStyle w:val="OutlineI"/>
      </w:pPr>
      <w:r w:rsidRPr="000A46A0">
        <w:t>Project versus Parent Valuation</w:t>
      </w:r>
    </w:p>
    <w:p w:rsidR="000A46A0" w:rsidRDefault="000A46A0" w:rsidP="00D923E1">
      <w:pPr>
        <w:pStyle w:val="OutlineI"/>
      </w:pPr>
      <w:r w:rsidRPr="000A46A0">
        <w:t xml:space="preserve">Illustrative Case: </w:t>
      </w:r>
      <w:proofErr w:type="spellStart"/>
      <w:r w:rsidRPr="000A46A0">
        <w:t>Cemex</w:t>
      </w:r>
      <w:proofErr w:type="spellEnd"/>
      <w:r w:rsidRPr="000A46A0">
        <w:t xml:space="preserve"> Enters Indonesia</w:t>
      </w:r>
    </w:p>
    <w:p w:rsidR="000A46A0" w:rsidRDefault="000A46A0" w:rsidP="00D923E1">
      <w:pPr>
        <w:pStyle w:val="OutlineA"/>
      </w:pPr>
      <w:r w:rsidRPr="000A46A0">
        <w:t>Overview</w:t>
      </w:r>
    </w:p>
    <w:p w:rsidR="000A46A0" w:rsidRDefault="000A46A0" w:rsidP="00D923E1">
      <w:pPr>
        <w:pStyle w:val="Outlline1"/>
      </w:pPr>
      <w:r w:rsidRPr="000A46A0">
        <w:t>Capital Investment</w:t>
      </w:r>
    </w:p>
    <w:p w:rsidR="000A46A0" w:rsidRDefault="000A46A0" w:rsidP="00D923E1">
      <w:pPr>
        <w:pStyle w:val="Outlline1"/>
      </w:pPr>
      <w:r w:rsidRPr="000A46A0">
        <w:t>Financing</w:t>
      </w:r>
    </w:p>
    <w:p w:rsidR="000A46A0" w:rsidRDefault="000A46A0" w:rsidP="00D923E1">
      <w:pPr>
        <w:pStyle w:val="Outlline1"/>
      </w:pPr>
      <w:r w:rsidRPr="000A46A0">
        <w:t>Revenues</w:t>
      </w:r>
    </w:p>
    <w:p w:rsidR="000A46A0" w:rsidRDefault="000A46A0" w:rsidP="00D923E1">
      <w:pPr>
        <w:pStyle w:val="Outlline1"/>
      </w:pPr>
      <w:r w:rsidRPr="000A46A0">
        <w:t>Costs</w:t>
      </w:r>
    </w:p>
    <w:p w:rsidR="000A46A0" w:rsidRDefault="000A46A0" w:rsidP="00D923E1">
      <w:pPr>
        <w:pStyle w:val="OutlineA"/>
      </w:pPr>
      <w:r w:rsidRPr="000A46A0">
        <w:t>Project Viewpoint Capital Budget</w:t>
      </w:r>
    </w:p>
    <w:p w:rsidR="000A46A0" w:rsidRDefault="000A46A0" w:rsidP="00D923E1">
      <w:pPr>
        <w:pStyle w:val="Outlline1"/>
        <w:numPr>
          <w:ilvl w:val="0"/>
          <w:numId w:val="23"/>
        </w:numPr>
      </w:pPr>
      <w:r w:rsidRPr="000A46A0">
        <w:t>Terminal Value</w:t>
      </w:r>
    </w:p>
    <w:p w:rsidR="000A46A0" w:rsidRDefault="000A46A0" w:rsidP="00D923E1">
      <w:pPr>
        <w:pStyle w:val="OutlineA"/>
      </w:pPr>
      <w:r w:rsidRPr="000A46A0">
        <w:t xml:space="preserve">Repatriating Cash Flows to </w:t>
      </w:r>
      <w:proofErr w:type="spellStart"/>
      <w:r w:rsidRPr="000A46A0">
        <w:t>Cemex</w:t>
      </w:r>
      <w:proofErr w:type="spellEnd"/>
    </w:p>
    <w:p w:rsidR="000A46A0" w:rsidRDefault="000A46A0" w:rsidP="00D923E1">
      <w:pPr>
        <w:pStyle w:val="OutlineA"/>
      </w:pPr>
      <w:r w:rsidRPr="000A46A0">
        <w:t>Parent Viewpoint Capital Budget</w:t>
      </w:r>
    </w:p>
    <w:p w:rsidR="000A46A0" w:rsidRDefault="000A46A0" w:rsidP="00D923E1">
      <w:pPr>
        <w:pStyle w:val="OutlineA"/>
      </w:pPr>
      <w:r w:rsidRPr="000A46A0">
        <w:t>Sensitivity Analysis: Project Viewpoint</w:t>
      </w:r>
    </w:p>
    <w:p w:rsidR="000A46A0" w:rsidRDefault="000A46A0" w:rsidP="00D923E1">
      <w:pPr>
        <w:pStyle w:val="Outlline1"/>
        <w:numPr>
          <w:ilvl w:val="0"/>
          <w:numId w:val="24"/>
        </w:numPr>
      </w:pPr>
      <w:r w:rsidRPr="000A46A0">
        <w:t>Political Risk</w:t>
      </w:r>
    </w:p>
    <w:p w:rsidR="000A46A0" w:rsidRDefault="000A46A0" w:rsidP="00D923E1">
      <w:pPr>
        <w:pStyle w:val="Outlline1"/>
      </w:pPr>
      <w:r w:rsidRPr="000A46A0">
        <w:t>Foreign Exchange Risk</w:t>
      </w:r>
    </w:p>
    <w:p w:rsidR="000A46A0" w:rsidRDefault="000A46A0" w:rsidP="00D923E1">
      <w:pPr>
        <w:pStyle w:val="Outlline1"/>
      </w:pPr>
      <w:r w:rsidRPr="000A46A0">
        <w:t>Other Sensitivity Variables</w:t>
      </w:r>
    </w:p>
    <w:p w:rsidR="000A46A0" w:rsidRDefault="000A46A0" w:rsidP="00D923E1">
      <w:pPr>
        <w:pStyle w:val="OutlineA"/>
      </w:pPr>
      <w:r w:rsidRPr="000A46A0">
        <w:t>Sensitivity Analysis: Parent Viewpoint Measurement</w:t>
      </w:r>
    </w:p>
    <w:p w:rsidR="000A46A0" w:rsidRDefault="000A46A0" w:rsidP="00D923E1">
      <w:pPr>
        <w:pStyle w:val="Outlline1"/>
        <w:numPr>
          <w:ilvl w:val="0"/>
          <w:numId w:val="25"/>
        </w:numPr>
      </w:pPr>
      <w:r w:rsidRPr="000A46A0">
        <w:t>Adjusting Discount Rates</w:t>
      </w:r>
    </w:p>
    <w:p w:rsidR="000A46A0" w:rsidRDefault="000A46A0" w:rsidP="00D923E1">
      <w:pPr>
        <w:pStyle w:val="Outlline1"/>
      </w:pPr>
      <w:r w:rsidRPr="000A46A0">
        <w:t>Adjusting Cash Flows</w:t>
      </w:r>
    </w:p>
    <w:p w:rsidR="000A46A0" w:rsidRDefault="000A46A0" w:rsidP="00D923E1">
      <w:pPr>
        <w:pStyle w:val="Outlline1"/>
      </w:pPr>
      <w:r w:rsidRPr="000A46A0">
        <w:t>Shortcomings of Each</w:t>
      </w:r>
    </w:p>
    <w:p w:rsidR="000A46A0" w:rsidRDefault="000A46A0" w:rsidP="00D923E1">
      <w:pPr>
        <w:pStyle w:val="Outlline1"/>
      </w:pPr>
      <w:r w:rsidRPr="000A46A0">
        <w:t>Repercussions to the Investor</w:t>
      </w:r>
    </w:p>
    <w:p w:rsidR="000A46A0" w:rsidRDefault="000A46A0" w:rsidP="00D923E1">
      <w:pPr>
        <w:pStyle w:val="Outlline1"/>
      </w:pPr>
      <w:r w:rsidRPr="000A46A0">
        <w:t>MNE Practices</w:t>
      </w:r>
    </w:p>
    <w:p w:rsidR="000A46A0" w:rsidRDefault="000A46A0" w:rsidP="00D923E1">
      <w:pPr>
        <w:pStyle w:val="OutlineA"/>
      </w:pPr>
      <w:r w:rsidRPr="000A46A0">
        <w:t>Portfolio Risk Measurement</w:t>
      </w:r>
    </w:p>
    <w:p w:rsidR="000A46A0" w:rsidRDefault="000A46A0" w:rsidP="00D923E1">
      <w:pPr>
        <w:pStyle w:val="OutlineA"/>
      </w:pPr>
      <w:r w:rsidRPr="000A46A0">
        <w:t>Real Option Analysis</w:t>
      </w:r>
    </w:p>
    <w:p w:rsidR="000A46A0" w:rsidRDefault="000A46A0" w:rsidP="00D923E1">
      <w:pPr>
        <w:pStyle w:val="OutlineI"/>
      </w:pPr>
      <w:r w:rsidRPr="000A46A0">
        <w:lastRenderedPageBreak/>
        <w:t>Project Financing</w:t>
      </w:r>
    </w:p>
    <w:p w:rsidR="000A46A0" w:rsidRDefault="000A46A0" w:rsidP="00D923E1">
      <w:pPr>
        <w:pStyle w:val="OutlineA"/>
        <w:numPr>
          <w:ilvl w:val="0"/>
          <w:numId w:val="27"/>
        </w:numPr>
      </w:pPr>
      <w:proofErr w:type="spellStart"/>
      <w:r w:rsidRPr="000A46A0">
        <w:t>Separability</w:t>
      </w:r>
      <w:proofErr w:type="spellEnd"/>
      <w:r w:rsidRPr="000A46A0">
        <w:t xml:space="preserve"> of the Project from Its Investors</w:t>
      </w:r>
    </w:p>
    <w:p w:rsidR="000A46A0" w:rsidRDefault="000A46A0" w:rsidP="00D923E1">
      <w:pPr>
        <w:pStyle w:val="OutlineA"/>
      </w:pPr>
      <w:r w:rsidRPr="000A46A0">
        <w:t>Long-Lived and Capital-Intensive Singular Projects</w:t>
      </w:r>
    </w:p>
    <w:p w:rsidR="000A46A0" w:rsidRDefault="000A46A0" w:rsidP="00D923E1">
      <w:pPr>
        <w:pStyle w:val="OutlineA"/>
      </w:pPr>
      <w:r w:rsidRPr="000A46A0">
        <w:t>Cash Flow Predictability from Third Party Commitments</w:t>
      </w:r>
    </w:p>
    <w:p w:rsidR="000A46A0" w:rsidRDefault="000A46A0" w:rsidP="00D923E1">
      <w:pPr>
        <w:pStyle w:val="OutlineA"/>
      </w:pPr>
      <w:r w:rsidRPr="000A46A0">
        <w:t>Finite Projects with Finite Lives</w:t>
      </w:r>
    </w:p>
    <w:p w:rsidR="000A46A0" w:rsidRDefault="000A46A0" w:rsidP="00D923E1">
      <w:pPr>
        <w:pStyle w:val="OutlineI"/>
      </w:pPr>
      <w:r w:rsidRPr="000A46A0">
        <w:t>Cross-Border Mergers and Acquisitions</w:t>
      </w:r>
    </w:p>
    <w:p w:rsidR="000A46A0" w:rsidRDefault="000A46A0" w:rsidP="00D923E1">
      <w:pPr>
        <w:pStyle w:val="OutlineA"/>
        <w:numPr>
          <w:ilvl w:val="0"/>
          <w:numId w:val="28"/>
        </w:numPr>
      </w:pPr>
      <w:r w:rsidRPr="000A46A0">
        <w:t>The Cross-Border Acquisition Process</w:t>
      </w:r>
    </w:p>
    <w:p w:rsidR="000A46A0" w:rsidRDefault="000A46A0" w:rsidP="00D923E1">
      <w:pPr>
        <w:pStyle w:val="Outlline1"/>
        <w:numPr>
          <w:ilvl w:val="0"/>
          <w:numId w:val="26"/>
        </w:numPr>
      </w:pPr>
      <w:r w:rsidRPr="000A46A0">
        <w:t>Stage 1: Identification and Valuation</w:t>
      </w:r>
    </w:p>
    <w:p w:rsidR="000A46A0" w:rsidRDefault="000A46A0" w:rsidP="00D923E1">
      <w:pPr>
        <w:pStyle w:val="Outlline1"/>
      </w:pPr>
      <w:r w:rsidRPr="000A46A0">
        <w:t>Stage 2: Execution of the Acquisition</w:t>
      </w:r>
    </w:p>
    <w:p w:rsidR="000A46A0" w:rsidRDefault="000A46A0" w:rsidP="00D923E1">
      <w:pPr>
        <w:pStyle w:val="Outlline1"/>
      </w:pPr>
      <w:r w:rsidRPr="000A46A0">
        <w:t>Stage 3: Post-Acquisition Management</w:t>
      </w:r>
    </w:p>
    <w:p w:rsidR="000A46A0" w:rsidRDefault="000A46A0" w:rsidP="00D923E1">
      <w:pPr>
        <w:pStyle w:val="OutlineA"/>
      </w:pPr>
      <w:r w:rsidRPr="000A46A0">
        <w:t>Currency Risks in Cross-Border Acquisitions</w:t>
      </w:r>
    </w:p>
    <w:p w:rsidR="004D6599" w:rsidRDefault="00F874A8" w:rsidP="00D923E1">
      <w:pPr>
        <w:pStyle w:val="awTB01questionHead"/>
        <w:spacing w:before="480"/>
      </w:pPr>
      <w:r>
        <w:rPr>
          <w:szCs w:val="28"/>
        </w:rPr>
        <w:sym w:font="Wingdings" w:char="F06E"/>
      </w:r>
      <w:r>
        <w:rPr>
          <w:rFonts w:cs="Helvetica"/>
        </w:rPr>
        <w:t> </w:t>
      </w:r>
      <w:r>
        <w:t>Questions</w:t>
      </w:r>
    </w:p>
    <w:p w:rsidR="004D6599" w:rsidRDefault="00F874A8">
      <w:pPr>
        <w:pStyle w:val="MCQList1"/>
        <w:spacing w:before="0"/>
        <w:ind w:left="446" w:hanging="446"/>
      </w:pPr>
      <w:r>
        <w:tab/>
        <w:t>1.</w:t>
      </w:r>
      <w:r>
        <w:tab/>
      </w:r>
      <w:r>
        <w:rPr>
          <w:b/>
        </w:rPr>
        <w:t xml:space="preserve">Capital Budgeting Theoretical Framework. </w:t>
      </w:r>
      <w:r>
        <w:t>Capital budgeting for a foreign project uses the same theoretical framework as domestic capital budgeting. What are the basic steps in domestic capital budgeting?</w:t>
      </w:r>
    </w:p>
    <w:p w:rsidR="004D6599" w:rsidRDefault="00F874A8" w:rsidP="00D923E1">
      <w:pPr>
        <w:pStyle w:val="MCQAnswer"/>
      </w:pPr>
      <w:r>
        <w:t>Capital budgeting for a foreign project uses the same theoretical framework as domestic capital budgeting—with a few very important differences. The basic steps are</w:t>
      </w:r>
      <w:r w:rsidR="006C50DC">
        <w:t xml:space="preserve"> the following</w:t>
      </w:r>
      <w:r>
        <w:t>:</w:t>
      </w:r>
    </w:p>
    <w:p w:rsidR="004D6599" w:rsidRDefault="00F874A8" w:rsidP="00D923E1">
      <w:pPr>
        <w:pStyle w:val="MCQAnswerBL"/>
      </w:pPr>
      <w:r>
        <w:t>a.</w:t>
      </w:r>
      <w:r>
        <w:tab/>
        <w:t>Identify the initial capital invested or put at risk.</w:t>
      </w:r>
    </w:p>
    <w:p w:rsidR="004D6599" w:rsidRDefault="00F874A8" w:rsidP="00D923E1">
      <w:pPr>
        <w:pStyle w:val="MCQAnswerBL"/>
      </w:pPr>
      <w:r>
        <w:t>b.</w:t>
      </w:r>
      <w:r>
        <w:tab/>
        <w:t xml:space="preserve">Estimate cash flows to </w:t>
      </w:r>
      <w:proofErr w:type="gramStart"/>
      <w:r>
        <w:t>be derived</w:t>
      </w:r>
      <w:proofErr w:type="gramEnd"/>
      <w:r>
        <w:t xml:space="preserve"> from the project over time, including an estimate of the terminal or salvage value of the investment.</w:t>
      </w:r>
    </w:p>
    <w:p w:rsidR="004D6599" w:rsidRDefault="00F874A8" w:rsidP="00D923E1">
      <w:pPr>
        <w:pStyle w:val="MCQAnswerBL"/>
      </w:pPr>
      <w:r>
        <w:t>c.</w:t>
      </w:r>
      <w:r>
        <w:tab/>
        <w:t>Identify the appropriate discount rate for determining the present value of the expected cash flows.</w:t>
      </w:r>
    </w:p>
    <w:p w:rsidR="004D6599" w:rsidRDefault="00F874A8" w:rsidP="00D923E1">
      <w:pPr>
        <w:pStyle w:val="MCQAnswerBL"/>
      </w:pPr>
      <w:r>
        <w:t>d.</w:t>
      </w:r>
      <w:r>
        <w:tab/>
        <w:t>Apply traditional capital budgeting decision criteria such as net present value (NPV) and internal rate of return (IRR) to determine the acceptability of or priority ranking of potential projects.</w:t>
      </w:r>
    </w:p>
    <w:p w:rsidR="004D6599" w:rsidRDefault="00F874A8">
      <w:pPr>
        <w:pStyle w:val="MCQList1"/>
      </w:pPr>
      <w:r>
        <w:tab/>
      </w:r>
      <w:proofErr w:type="gramStart"/>
      <w:r>
        <w:t>2.</w:t>
      </w:r>
      <w:r>
        <w:tab/>
      </w:r>
      <w:r>
        <w:rPr>
          <w:b/>
        </w:rPr>
        <w:t>Foreign Complexities.</w:t>
      </w:r>
      <w:proofErr w:type="gramEnd"/>
      <w:r>
        <w:rPr>
          <w:b/>
        </w:rPr>
        <w:t xml:space="preserve"> </w:t>
      </w:r>
      <w:r>
        <w:t>Capital budgeting for a foreign project is considerably more complex than the domestic case. What are the factors that add complexity?</w:t>
      </w:r>
    </w:p>
    <w:p w:rsidR="004D6599" w:rsidRDefault="00F874A8" w:rsidP="00D923E1">
      <w:pPr>
        <w:pStyle w:val="MCQAnswer"/>
      </w:pPr>
      <w:r>
        <w:t xml:space="preserve">Capital budgeting for a foreign project is considerably more complex than the domestic case. Several factors contribute to this greater complexity: </w:t>
      </w:r>
    </w:p>
    <w:p w:rsidR="004D6599" w:rsidRDefault="00F874A8" w:rsidP="00D923E1">
      <w:pPr>
        <w:pStyle w:val="MCQAnswerBL"/>
      </w:pPr>
      <w:r>
        <w:rPr>
          <w:rFonts w:ascii="Symbol" w:hAnsi="Symbol"/>
          <w:szCs w:val="22"/>
        </w:rPr>
        <w:sym w:font="Symbol" w:char="F0B7"/>
      </w:r>
      <w:r>
        <w:tab/>
        <w:t xml:space="preserve">Parent cash flows </w:t>
      </w:r>
      <w:proofErr w:type="gramStart"/>
      <w:r>
        <w:t>must be distinguished</w:t>
      </w:r>
      <w:proofErr w:type="gramEnd"/>
      <w:r>
        <w:t xml:space="preserve"> from project cash flows. Each of these two types of flows contributes to a different view of value.</w:t>
      </w:r>
    </w:p>
    <w:p w:rsidR="004D6599" w:rsidRDefault="00F874A8" w:rsidP="00D923E1">
      <w:pPr>
        <w:pStyle w:val="MCQAnswerBL"/>
      </w:pPr>
      <w:r>
        <w:rPr>
          <w:rFonts w:ascii="Symbol" w:hAnsi="Symbol"/>
          <w:szCs w:val="22"/>
        </w:rPr>
        <w:sym w:font="Symbol" w:char="F0B7"/>
      </w:r>
      <w:r>
        <w:tab/>
        <w:t>Parent cash flows often depend on the form of financing. Thus we cannot clearly separate cash flows from financing decisions, as we can in domestic capital budgeting.</w:t>
      </w:r>
    </w:p>
    <w:p w:rsidR="004D6599" w:rsidRDefault="00F874A8" w:rsidP="00D923E1">
      <w:pPr>
        <w:pStyle w:val="MCQAnswerBL"/>
      </w:pPr>
      <w:r>
        <w:rPr>
          <w:rFonts w:ascii="Symbol" w:hAnsi="Symbol"/>
          <w:szCs w:val="22"/>
        </w:rPr>
        <w:sym w:font="Symbol" w:char="F0B7"/>
      </w:r>
      <w:r>
        <w:tab/>
        <w:t xml:space="preserve">Additional cash flows generated by a new investment in one foreign subsidiary </w:t>
      </w:r>
      <w:proofErr w:type="gramStart"/>
      <w:r>
        <w:t>may be in part or in whole taken</w:t>
      </w:r>
      <w:proofErr w:type="gramEnd"/>
      <w:r>
        <w:t xml:space="preserve"> away from another subsidiary, with the net result that the project is favorable from a single subsidiary’s point of view but contributes nothing to worldwide cash flows.</w:t>
      </w:r>
    </w:p>
    <w:p w:rsidR="004D6599" w:rsidRDefault="00F874A8" w:rsidP="00D923E1">
      <w:pPr>
        <w:pStyle w:val="MCQAnswerBL"/>
      </w:pPr>
      <w:r>
        <w:rPr>
          <w:rFonts w:ascii="Symbol" w:hAnsi="Symbol"/>
          <w:szCs w:val="22"/>
        </w:rPr>
        <w:sym w:font="Symbol" w:char="F0B7"/>
      </w:r>
      <w:r>
        <w:tab/>
        <w:t>The parent must explicitly recognize remittance of funds because of differing tax systems, legal and political constraints on the movement of funds, local business norms, and differences in the way financial markets and institutions function.</w:t>
      </w:r>
    </w:p>
    <w:p w:rsidR="004D6599" w:rsidRDefault="00F874A8" w:rsidP="00D923E1">
      <w:pPr>
        <w:pStyle w:val="MCQAnswerBL"/>
      </w:pPr>
      <w:r>
        <w:rPr>
          <w:rFonts w:ascii="Symbol" w:hAnsi="Symbol"/>
          <w:szCs w:val="22"/>
        </w:rPr>
        <w:sym w:font="Symbol" w:char="F0B7"/>
      </w:r>
      <w:r>
        <w:tab/>
        <w:t>An array of nonfinancial payments can generate cash flows from subsidiaries to the parent, including payment of license fees and payments for imports from the parent.</w:t>
      </w:r>
    </w:p>
    <w:p w:rsidR="004D6599" w:rsidRDefault="00F874A8" w:rsidP="00D923E1">
      <w:pPr>
        <w:pStyle w:val="MCQAnswerBL"/>
      </w:pPr>
      <w:r>
        <w:rPr>
          <w:rFonts w:ascii="Symbol" w:hAnsi="Symbol"/>
          <w:szCs w:val="22"/>
        </w:rPr>
        <w:sym w:font="Symbol" w:char="F0B7"/>
      </w:r>
      <w:r>
        <w:tab/>
        <w:t>Managers must anticipate differing rates of national inflation because of their potential to cause changes in competitive position and</w:t>
      </w:r>
      <w:r w:rsidR="006C50DC">
        <w:t>,</w:t>
      </w:r>
      <w:r>
        <w:t xml:space="preserve"> thus</w:t>
      </w:r>
      <w:r w:rsidR="006C50DC">
        <w:t>,</w:t>
      </w:r>
      <w:r>
        <w:t xml:space="preserve"> changes in cash flows over a </w:t>
      </w:r>
      <w:proofErr w:type="gramStart"/>
      <w:r>
        <w:t>period of time</w:t>
      </w:r>
      <w:proofErr w:type="gramEnd"/>
      <w:r>
        <w:t>.</w:t>
      </w:r>
    </w:p>
    <w:p w:rsidR="004D6599" w:rsidRDefault="00F874A8" w:rsidP="00D923E1">
      <w:pPr>
        <w:pStyle w:val="MCQAnswerBL"/>
      </w:pPr>
      <w:r>
        <w:rPr>
          <w:rFonts w:ascii="Symbol" w:hAnsi="Symbol"/>
        </w:rPr>
        <w:lastRenderedPageBreak/>
        <w:sym w:font="Symbol" w:char="F0B7"/>
      </w:r>
      <w:r>
        <w:tab/>
        <w:t>Managers must keep the possibility of unanticipated foreign exchange rate changes in mind because of possible direct effects on the value of local cash flows, as well as indirect effects on the competitive position of the foreign subsidiary.</w:t>
      </w:r>
    </w:p>
    <w:p w:rsidR="004D6599" w:rsidRDefault="00F874A8" w:rsidP="00D923E1">
      <w:pPr>
        <w:pStyle w:val="MCQAnswerBL"/>
      </w:pPr>
      <w:r>
        <w:rPr>
          <w:rFonts w:ascii="Symbol" w:hAnsi="Symbol"/>
          <w:szCs w:val="22"/>
        </w:rPr>
        <w:sym w:font="Symbol" w:char="F0B7"/>
      </w:r>
      <w:r>
        <w:tab/>
        <w:t>Use of segmented national capital markets may create an opportunity for financial gains or may lead to additional financial costs.</w:t>
      </w:r>
    </w:p>
    <w:p w:rsidR="004D6599" w:rsidRDefault="00F874A8" w:rsidP="00D923E1">
      <w:pPr>
        <w:pStyle w:val="MCQAnswerBL"/>
      </w:pPr>
      <w:r>
        <w:rPr>
          <w:rFonts w:ascii="Symbol" w:hAnsi="Symbol"/>
          <w:szCs w:val="22"/>
        </w:rPr>
        <w:sym w:font="Symbol" w:char="F0B7"/>
      </w:r>
      <w:r>
        <w:tab/>
        <w:t>Use of host-government subsidized loans complicates both capital structure and the parent’s ability to determine an appropriate weighted average cost of capital for discounting purposes.</w:t>
      </w:r>
    </w:p>
    <w:p w:rsidR="004D6599" w:rsidRDefault="00F874A8" w:rsidP="00D923E1">
      <w:pPr>
        <w:pStyle w:val="MCQAnswerBL"/>
      </w:pPr>
      <w:r>
        <w:rPr>
          <w:rFonts w:ascii="Symbol" w:hAnsi="Symbol"/>
          <w:szCs w:val="22"/>
        </w:rPr>
        <w:sym w:font="Symbol" w:char="F0B7"/>
      </w:r>
      <w:r>
        <w:tab/>
        <w:t>Managers must evaluate political risk because political events can drastically reduce the value or availability of expected cash flows.</w:t>
      </w:r>
    </w:p>
    <w:p w:rsidR="004D6599" w:rsidRDefault="00F874A8" w:rsidP="00D923E1">
      <w:pPr>
        <w:pStyle w:val="MCQAnswerBL"/>
      </w:pPr>
      <w:r>
        <w:rPr>
          <w:rFonts w:ascii="Symbol" w:hAnsi="Symbol"/>
          <w:szCs w:val="22"/>
        </w:rPr>
        <w:sym w:font="Symbol" w:char="F0B7"/>
      </w:r>
      <w:r>
        <w:tab/>
        <w:t>Terminal value is more difficult to estimate because potential purchasers from the host, parent, or third countries, or from the private or public sectors, may have widely divergent perspectives on the value to them of acquiring the project.</w:t>
      </w:r>
    </w:p>
    <w:p w:rsidR="004D6599" w:rsidRDefault="00F874A8">
      <w:pPr>
        <w:pStyle w:val="MCQList1"/>
      </w:pPr>
      <w:r>
        <w:tab/>
      </w:r>
      <w:proofErr w:type="gramStart"/>
      <w:r>
        <w:t>3.</w:t>
      </w:r>
      <w:r>
        <w:tab/>
      </w:r>
      <w:r>
        <w:rPr>
          <w:b/>
        </w:rPr>
        <w:t>Project versus Parent Valuation.</w:t>
      </w:r>
      <w:proofErr w:type="gramEnd"/>
    </w:p>
    <w:p w:rsidR="004D6599" w:rsidRDefault="00F874A8">
      <w:pPr>
        <w:pStyle w:val="MCQList2"/>
        <w:rPr>
          <w:bCs/>
        </w:rPr>
      </w:pPr>
      <w:r>
        <w:t>a.</w:t>
      </w:r>
      <w:r>
        <w:tab/>
      </w:r>
      <w:r>
        <w:rPr>
          <w:bCs/>
          <w:iCs/>
        </w:rPr>
        <w:t>Why should a foreign project be evaluated both from a project and parent viewpoint</w:t>
      </w:r>
      <w:r>
        <w:rPr>
          <w:bCs/>
        </w:rPr>
        <w:t xml:space="preserve">? </w:t>
      </w:r>
    </w:p>
    <w:p w:rsidR="004D6599" w:rsidRDefault="00F874A8" w:rsidP="00D923E1">
      <w:pPr>
        <w:pStyle w:val="MCQAnswerBL"/>
      </w:pPr>
      <w:r>
        <w:rPr>
          <w:bCs/>
        </w:rPr>
        <w:tab/>
      </w:r>
      <w:r>
        <w:t xml:space="preserve">A strong theoretical argument exists in favor of analyzing any foreign project from the viewpoint of the parent. Cash </w:t>
      </w:r>
      <w:r w:rsidRPr="00D923E1">
        <w:t>flows</w:t>
      </w:r>
      <w:r>
        <w:t xml:space="preserve"> to the parent are ultimately the basis for dividends to stockholders, reinvestment elsewhere in the world, repayment of corporate-wide debt, and other purposes that </w:t>
      </w:r>
      <w:r>
        <w:rPr>
          <w:spacing w:val="-1"/>
          <w:szCs w:val="22"/>
        </w:rPr>
        <w:t xml:space="preserve">affect the firm’s many interest groups. However, </w:t>
      </w:r>
      <w:r w:rsidR="006C50DC">
        <w:rPr>
          <w:spacing w:val="-1"/>
          <w:szCs w:val="22"/>
        </w:rPr>
        <w:t xml:space="preserve">because </w:t>
      </w:r>
      <w:r>
        <w:rPr>
          <w:spacing w:val="-1"/>
          <w:szCs w:val="22"/>
        </w:rPr>
        <w:t>most of a project’s cash flows to its parent,</w:t>
      </w:r>
      <w:r>
        <w:t xml:space="preserve"> or to sister subsidiaries, are financial cash flows rather than operating cash flows, the parent viewpoint usually violates a cardinal concept of capital budgeting, namely, that financial cash flows should not be mixed with operating cash flows. Often the difference is not important because the two are almost identical, but in some </w:t>
      </w:r>
      <w:proofErr w:type="gramStart"/>
      <w:r>
        <w:t>instances</w:t>
      </w:r>
      <w:proofErr w:type="gramEnd"/>
      <w:r>
        <w:t xml:space="preserve"> a sharp divergence in these cash flows will exist. </w:t>
      </w:r>
    </w:p>
    <w:p w:rsidR="004D6599" w:rsidRDefault="00F874A8" w:rsidP="00D923E1">
      <w:pPr>
        <w:pStyle w:val="MCQAnswerBL"/>
      </w:pPr>
      <w:r>
        <w:tab/>
        <w:t xml:space="preserve">Evaluation of a project from the local viewpoint serves some useful purposes, but it </w:t>
      </w:r>
      <w:proofErr w:type="gramStart"/>
      <w:r>
        <w:t>should be subordinated</w:t>
      </w:r>
      <w:proofErr w:type="gramEnd"/>
      <w:r>
        <w:t xml:space="preserve"> to evaluation from the parent’s viewpoint. In evaluating a foreign project’s performance relative to the potential of a competing project in the same host country, we must pay attention to the project’s local return. Almost any project should at least be able to earn a cash return equal to the yield available on host government bonds with a maturity the same as the project’s economic life, if a free market exists for such bonds. Host government bonds ordinarily reflect the local risk-free rate of return, including a premium equal to the expected rate of inflation. If a project cannot earn more than such a bond yield, the parent firm should buy host government bonds rather than invest in a riskier project.</w:t>
      </w:r>
    </w:p>
    <w:p w:rsidR="004D6599" w:rsidRDefault="00F874A8">
      <w:pPr>
        <w:pStyle w:val="MCQList2"/>
        <w:spacing w:before="60"/>
        <w:ind w:left="820" w:hanging="374"/>
        <w:rPr>
          <w:bCs/>
        </w:rPr>
      </w:pPr>
      <w:r>
        <w:t>b.</w:t>
      </w:r>
      <w:r>
        <w:tab/>
      </w:r>
      <w:r>
        <w:rPr>
          <w:bCs/>
          <w:iCs/>
        </w:rPr>
        <w:t>Which viewpoint, project or parent, gives results closer to the traditional meaning of net present value in capital budgeting</w:t>
      </w:r>
      <w:r>
        <w:rPr>
          <w:bCs/>
        </w:rPr>
        <w:t>?</w:t>
      </w:r>
    </w:p>
    <w:p w:rsidR="004D6599" w:rsidRDefault="00F874A8" w:rsidP="00D923E1">
      <w:pPr>
        <w:pStyle w:val="MCQAnswerBL"/>
      </w:pPr>
      <w:r>
        <w:rPr>
          <w:bCs/>
        </w:rPr>
        <w:tab/>
      </w:r>
      <w:r>
        <w:t xml:space="preserve">Multinational firms should invest only if they can earn a risk-adjusted return greater than locally based competitors can earn on the same project. If they are unable to earn superior returns on foreign projects, their stockholders would be better off buying shares in local firms, where possible, and letting those companies carry out the local projects. Apart from these theoretical arguments, surveys </w:t>
      </w:r>
      <w:r w:rsidR="006C50DC">
        <w:t xml:space="preserve">during </w:t>
      </w:r>
      <w:r>
        <w:t>the past 35 years show that in practice multinational firms continue to evaluate foreign investments from both the parent and project viewpoint.</w:t>
      </w:r>
    </w:p>
    <w:p w:rsidR="004D6599" w:rsidRDefault="00F874A8">
      <w:pPr>
        <w:pStyle w:val="MCQList2"/>
        <w:keepLines w:val="0"/>
        <w:ind w:left="820" w:hanging="374"/>
      </w:pPr>
      <w:r>
        <w:t>c.</w:t>
      </w:r>
      <w:r>
        <w:tab/>
      </w:r>
      <w:r>
        <w:rPr>
          <w:bCs/>
          <w:iCs/>
        </w:rPr>
        <w:t>Which viewpoint gives results closer to the effect on consolidated earnings per share</w:t>
      </w:r>
      <w:r>
        <w:rPr>
          <w:bCs/>
        </w:rPr>
        <w:t>?</w:t>
      </w:r>
      <w:r>
        <w:rPr>
          <w:b/>
        </w:rPr>
        <w:t xml:space="preserve"> </w:t>
      </w:r>
    </w:p>
    <w:p w:rsidR="004D6599" w:rsidRDefault="00F874A8" w:rsidP="00D923E1">
      <w:pPr>
        <w:pStyle w:val="MCQAnswerBL"/>
      </w:pPr>
      <w:r>
        <w:tab/>
        <w:t xml:space="preserve">The attention paid to project returns in various surveys probably reflects emphasis on maximizing reported consolidated net earnings per share as a corporate financial goal. As long as foreign earnings are not blocked, they can be consolidated with the earnings of both the remaining subsidiaries and the parent. As mentioned previously, U.S. firms must consolidate foreign subsidiaries that are </w:t>
      </w:r>
      <w:r w:rsidR="006C50DC">
        <w:t xml:space="preserve">more than </w:t>
      </w:r>
      <w:r>
        <w:t xml:space="preserve">50% owned. If a firm </w:t>
      </w:r>
      <w:proofErr w:type="gramStart"/>
      <w:r>
        <w:t>is owned</w:t>
      </w:r>
      <w:proofErr w:type="gramEnd"/>
      <w:r>
        <w:t xml:space="preserve"> between 20% and 49% by a parent, it is called an </w:t>
      </w:r>
      <w:r>
        <w:rPr>
          <w:i/>
        </w:rPr>
        <w:t>affiliate</w:t>
      </w:r>
      <w:r>
        <w:t xml:space="preserve">. Affiliates are consolidated with the parent owner on a </w:t>
      </w:r>
      <w:r>
        <w:rPr>
          <w:i/>
        </w:rPr>
        <w:t>pro rata</w:t>
      </w:r>
      <w:r>
        <w:t xml:space="preserve"> basis. Subsidiaries less than 20% owned are normally carried as unconsolidated investments. Even in the case of temporarily blocked funds, some of the most mature MNEs do not necessarily eliminate a project from financial consideration. They take a very long-run view of world business opportunities.</w:t>
      </w:r>
    </w:p>
    <w:p w:rsidR="004D6599" w:rsidRDefault="00F874A8">
      <w:pPr>
        <w:pStyle w:val="MCQList1"/>
      </w:pPr>
      <w:r>
        <w:lastRenderedPageBreak/>
        <w:tab/>
      </w:r>
      <w:proofErr w:type="gramStart"/>
      <w:r>
        <w:t>4.</w:t>
      </w:r>
      <w:r>
        <w:tab/>
      </w:r>
      <w:r>
        <w:rPr>
          <w:b/>
        </w:rPr>
        <w:t>Which Cash Flows?</w:t>
      </w:r>
      <w:proofErr w:type="gramEnd"/>
      <w:r>
        <w:rPr>
          <w:b/>
        </w:rPr>
        <w:t xml:space="preserve"> </w:t>
      </w:r>
      <w:r>
        <w:t>Capital projects provide both operating cash flows and financial cash flows. Why are operating cash flows preferred for domestic capital budgeting but financial cash flows given major consideration in international projects?</w:t>
      </w:r>
    </w:p>
    <w:p w:rsidR="004D6599" w:rsidRDefault="00F874A8" w:rsidP="00D923E1">
      <w:pPr>
        <w:pStyle w:val="MCQAnswer"/>
      </w:pPr>
      <w:r>
        <w:t xml:space="preserve">Most of a project’s cash flows to its parent are financial cash flows rather than operating cash flows. However, the difference between operating cash flows and financial cash flows is not important because the two are almost identical, but in some instances a sharp divergence in these cash flows will exist. For example, funds that are permanently blocked from repatriation, or “forcibly reinvested,” are not available for dividends to the stockholders or for repayment of parent corporate debt. Therefore, shareholders will not perceive the blocked earnings as contributing to the value of the firm, and creditors will not count on them in calculating interest coverage ratios and other evidence of ability to service debt. If reinvestment opportunities in the country where funds are blocked are at least equal to the parent firm’s required rate of return (after adjusting for anticipated exchange rate changes), temporary blockage of transfer may have little practical effect on the capital budgeting outcome because future project cash flows will be increased by the returns on forced reinvestment. </w:t>
      </w:r>
    </w:p>
    <w:p w:rsidR="004D6599" w:rsidRDefault="00F874A8">
      <w:pPr>
        <w:pStyle w:val="MCQList1"/>
        <w:keepNext w:val="0"/>
        <w:keepLines w:val="0"/>
      </w:pPr>
      <w:r>
        <w:tab/>
      </w:r>
      <w:proofErr w:type="gramStart"/>
      <w:r>
        <w:t>5.</w:t>
      </w:r>
      <w:r>
        <w:tab/>
      </w:r>
      <w:r>
        <w:rPr>
          <w:b/>
        </w:rPr>
        <w:t>Risk-Adjusted Return.</w:t>
      </w:r>
      <w:proofErr w:type="gramEnd"/>
      <w:r>
        <w:rPr>
          <w:b/>
        </w:rPr>
        <w:t xml:space="preserve"> </w:t>
      </w:r>
      <w:proofErr w:type="gramStart"/>
      <w:r>
        <w:t>Should the anticipated internal rate of return (IRR) for a proposed foreign project be compared</w:t>
      </w:r>
      <w:proofErr w:type="gramEnd"/>
      <w:r>
        <w:t xml:space="preserve"> to a) alternative home country proposals</w:t>
      </w:r>
      <w:r w:rsidR="00DD09D1">
        <w:t>,</w:t>
      </w:r>
      <w:r>
        <w:t xml:space="preserve"> b) returns earned by local companies in the same industry and/or risk class</w:t>
      </w:r>
      <w:r w:rsidR="00DD09D1">
        <w:t>,</w:t>
      </w:r>
      <w:r>
        <w:t xml:space="preserve"> or c) both? Justify your answer.</w:t>
      </w:r>
    </w:p>
    <w:p w:rsidR="004D6599" w:rsidRDefault="00F874A8" w:rsidP="00D923E1">
      <w:pPr>
        <w:pStyle w:val="MCQAnswer"/>
      </w:pPr>
      <w:r>
        <w:rPr>
          <w:spacing w:val="-2"/>
          <w:szCs w:val="22"/>
        </w:rPr>
        <w:t>The key to distinction is “risk-adjusted.” Foreign projects will be, by most methodologies, of higher</w:t>
      </w:r>
      <w:r>
        <w:t xml:space="preserve"> risk than a domestic or home country project. The anticipated returns should therefore take this into consideration. At the same time, comparing expected returns with those earned by local companies in the target markets will not capture the cross-border risks (such as blocked funds) which a foreign investor may experience. In the end, the answer is (c), both of the above, and more.</w:t>
      </w:r>
    </w:p>
    <w:p w:rsidR="004D6599" w:rsidRDefault="00F874A8">
      <w:pPr>
        <w:pStyle w:val="MCQList1"/>
        <w:keepNext w:val="0"/>
        <w:keepLines w:val="0"/>
      </w:pPr>
      <w:r>
        <w:tab/>
      </w:r>
      <w:proofErr w:type="gramStart"/>
      <w:r>
        <w:t>6.</w:t>
      </w:r>
      <w:r>
        <w:tab/>
      </w:r>
      <w:r>
        <w:rPr>
          <w:b/>
        </w:rPr>
        <w:t>Blocked Cash Flows.</w:t>
      </w:r>
      <w:proofErr w:type="gramEnd"/>
      <w:r>
        <w:rPr>
          <w:b/>
        </w:rPr>
        <w:t xml:space="preserve"> </w:t>
      </w:r>
      <w:r>
        <w:t xml:space="preserve">In the context of evaluating foreign investment proposals, how should a multinational firm evaluate cash flows in the host foreign country that </w:t>
      </w:r>
      <w:proofErr w:type="gramStart"/>
      <w:r>
        <w:t>are blocked</w:t>
      </w:r>
      <w:proofErr w:type="gramEnd"/>
      <w:r>
        <w:t xml:space="preserve"> from being repatriated to the firm’s home country?</w:t>
      </w:r>
    </w:p>
    <w:p w:rsidR="004D6599" w:rsidRDefault="00F874A8" w:rsidP="00D923E1">
      <w:pPr>
        <w:pStyle w:val="MCQAnswer"/>
      </w:pPr>
      <w:r>
        <w:t xml:space="preserve">The impact of blocked funds on the rate of return from the investor’s perspective would depend on when the blockage occurs, what reinvestment opportunities exist for the blocked funds in the captive country, and when the blocked funds </w:t>
      </w:r>
      <w:proofErr w:type="gramStart"/>
      <w:r>
        <w:t>would eventually be released</w:t>
      </w:r>
      <w:proofErr w:type="gramEnd"/>
      <w:r>
        <w:t xml:space="preserve"> to the investor. As with all cash flow-based financial analyses, the critical element is when the parent investor will regain the ability to move the blocked funds freely. </w:t>
      </w:r>
    </w:p>
    <w:p w:rsidR="004D6599" w:rsidRDefault="00F874A8">
      <w:pPr>
        <w:pStyle w:val="MCQList1"/>
        <w:rPr>
          <w:b/>
        </w:rPr>
      </w:pPr>
      <w:r>
        <w:tab/>
        <w:t>7.</w:t>
      </w:r>
      <w:r>
        <w:tab/>
      </w:r>
      <w:r>
        <w:rPr>
          <w:b/>
        </w:rPr>
        <w:t xml:space="preserve">Host Country Inflation. </w:t>
      </w:r>
      <w:r>
        <w:t xml:space="preserve">How should </w:t>
      </w:r>
      <w:proofErr w:type="gramStart"/>
      <w:r>
        <w:t>an MNE</w:t>
      </w:r>
      <w:proofErr w:type="gramEnd"/>
      <w:r>
        <w:t xml:space="preserve"> factor host country inflation into its evaluation of an investment proposal?</w:t>
      </w:r>
    </w:p>
    <w:p w:rsidR="004D6599" w:rsidRDefault="00F874A8" w:rsidP="00D923E1">
      <w:pPr>
        <w:pStyle w:val="MCQAnswer"/>
      </w:pPr>
      <w:r>
        <w:t xml:space="preserve">Managers must anticipate differing rates of national inflation because of their potential to cause changes in cash flows over a </w:t>
      </w:r>
      <w:proofErr w:type="gramStart"/>
      <w:r>
        <w:t>period of time</w:t>
      </w:r>
      <w:proofErr w:type="gramEnd"/>
      <w:r>
        <w:t xml:space="preserve">. Thus, inflation is factored into the expected cash flows of the project’s rate of return. Relative inflation affects the expected exchange rate due to purchasing power parity. Also, changes in inflation may cause changes in interest rates. This may </w:t>
      </w:r>
      <w:proofErr w:type="gramStart"/>
      <w:r>
        <w:t>impact</w:t>
      </w:r>
      <w:proofErr w:type="gramEnd"/>
      <w:r>
        <w:t xml:space="preserve"> exchange rates due to interest rate parity.</w:t>
      </w:r>
    </w:p>
    <w:p w:rsidR="00EF6C20" w:rsidRDefault="00EF6C20" w:rsidP="00EF6C20">
      <w:pPr>
        <w:pStyle w:val="MCQList1"/>
        <w:keepNext w:val="0"/>
        <w:keepLines w:val="0"/>
      </w:pPr>
      <w:r>
        <w:tab/>
      </w:r>
      <w:proofErr w:type="gramStart"/>
      <w:r w:rsidRPr="00EF6C20">
        <w:t>8.</w:t>
      </w:r>
      <w:r>
        <w:rPr>
          <w:b/>
        </w:rPr>
        <w:t xml:space="preserve"> </w:t>
      </w:r>
      <w:r>
        <w:rPr>
          <w:b/>
        </w:rPr>
        <w:tab/>
      </w:r>
      <w:r w:rsidR="00F874A8">
        <w:rPr>
          <w:b/>
        </w:rPr>
        <w:t>Cost of Equity.</w:t>
      </w:r>
      <w:proofErr w:type="gramEnd"/>
      <w:r w:rsidR="00F874A8">
        <w:rPr>
          <w:b/>
        </w:rPr>
        <w:t xml:space="preserve"> </w:t>
      </w:r>
      <w:r w:rsidR="00F874A8">
        <w:t xml:space="preserve">A foreign subsidiary does not have an independent cost of capital. However, in order to estimate the discount rate for a comparable host country firm, the analyst should try to calculate a hypothetical cost of capital. As part of this process, the analyst can estimate the subsidiary’s proxy cost of equity by using the traditional equation: Define each variable in this equation and explain how the variable might be different for a </w:t>
      </w:r>
      <w:proofErr w:type="gramStart"/>
      <w:r w:rsidR="00F874A8">
        <w:t>proxy host country firm</w:t>
      </w:r>
      <w:proofErr w:type="gramEnd"/>
      <w:r w:rsidR="00F874A8">
        <w:t xml:space="preserve"> compared to the parent MNE.</w:t>
      </w:r>
    </w:p>
    <w:p w:rsidR="00326599" w:rsidRDefault="00326599" w:rsidP="00D923E1">
      <w:pPr>
        <w:pStyle w:val="MCQAnswer"/>
      </w:pPr>
      <w:proofErr w:type="spellStart"/>
      <w:proofErr w:type="gramStart"/>
      <w:r>
        <w:rPr>
          <w:i/>
        </w:rPr>
        <w:t>k</w:t>
      </w:r>
      <w:r>
        <w:rPr>
          <w:i/>
          <w:vertAlign w:val="subscript"/>
        </w:rPr>
        <w:t>e</w:t>
      </w:r>
      <w:proofErr w:type="spellEnd"/>
      <w:proofErr w:type="gramEnd"/>
      <w:r>
        <w:t xml:space="preserve"> </w:t>
      </w:r>
      <w:r>
        <w:rPr>
          <w:rFonts w:ascii="Symbol" w:hAnsi="Symbol"/>
        </w:rPr>
        <w:t></w:t>
      </w:r>
      <w:r>
        <w:t xml:space="preserve"> </w:t>
      </w:r>
      <w:proofErr w:type="spellStart"/>
      <w:r>
        <w:rPr>
          <w:i/>
          <w:spacing w:val="20"/>
        </w:rPr>
        <w:t>k</w:t>
      </w:r>
      <w:r>
        <w:rPr>
          <w:i/>
          <w:vertAlign w:val="subscript"/>
        </w:rPr>
        <w:t>r</w:t>
      </w:r>
      <w:proofErr w:type="spellEnd"/>
      <w:r>
        <w:rPr>
          <w:i/>
          <w:sz w:val="10"/>
          <w:vertAlign w:val="subscript"/>
        </w:rPr>
        <w:t xml:space="preserve"> </w:t>
      </w:r>
      <w:r>
        <w:rPr>
          <w:i/>
          <w:vertAlign w:val="subscript"/>
        </w:rPr>
        <w:t>f</w:t>
      </w:r>
      <w:r>
        <w:t xml:space="preserve"> </w:t>
      </w:r>
      <w:r>
        <w:rPr>
          <w:rFonts w:ascii="Symbol" w:hAnsi="Symbol"/>
        </w:rPr>
        <w:t></w:t>
      </w:r>
      <w:r>
        <w:rPr>
          <w:rFonts w:ascii="Symbol" w:hAnsi="Symbol"/>
        </w:rPr>
        <w:t></w:t>
      </w:r>
      <w:r>
        <w:rPr>
          <w:rFonts w:ascii="WP Greek Century" w:hAnsi="WP Greek Century"/>
          <w:i/>
          <w:szCs w:val="22"/>
        </w:rPr>
        <w:sym w:font="Symbol" w:char="F062"/>
      </w:r>
      <w:r>
        <w:t xml:space="preserve"> (</w:t>
      </w:r>
      <w:r>
        <w:rPr>
          <w:i/>
          <w:spacing w:val="20"/>
        </w:rPr>
        <w:t>k</w:t>
      </w:r>
      <w:r>
        <w:rPr>
          <w:i/>
          <w:vertAlign w:val="subscript"/>
        </w:rPr>
        <w:t>m</w:t>
      </w:r>
      <w:r>
        <w:t xml:space="preserve"> </w:t>
      </w:r>
      <w:r>
        <w:rPr>
          <w:rFonts w:ascii="Symbol" w:hAnsi="Symbol"/>
        </w:rPr>
        <w:t></w:t>
      </w:r>
      <w:r>
        <w:rPr>
          <w:rFonts w:ascii="Symbol" w:hAnsi="Symbol"/>
        </w:rPr>
        <w:t></w:t>
      </w:r>
      <w:proofErr w:type="spellStart"/>
      <w:r>
        <w:rPr>
          <w:i/>
          <w:spacing w:val="20"/>
        </w:rPr>
        <w:t>k</w:t>
      </w:r>
      <w:r>
        <w:rPr>
          <w:i/>
          <w:vertAlign w:val="subscript"/>
        </w:rPr>
        <w:t>r</w:t>
      </w:r>
      <w:proofErr w:type="spellEnd"/>
      <w:r>
        <w:rPr>
          <w:i/>
          <w:sz w:val="10"/>
          <w:vertAlign w:val="subscript"/>
        </w:rPr>
        <w:t xml:space="preserve"> </w:t>
      </w:r>
      <w:r>
        <w:rPr>
          <w:i/>
          <w:vertAlign w:val="subscript"/>
        </w:rPr>
        <w:t>f</w:t>
      </w:r>
      <w:r>
        <w:t>)</w:t>
      </w:r>
    </w:p>
    <w:p w:rsidR="004D6599" w:rsidRDefault="00F874A8" w:rsidP="00D923E1">
      <w:pPr>
        <w:pStyle w:val="MCQAnswer"/>
      </w:pPr>
      <w:proofErr w:type="spellStart"/>
      <w:proofErr w:type="gramStart"/>
      <w:r>
        <w:rPr>
          <w:i/>
        </w:rPr>
        <w:t>k</w:t>
      </w:r>
      <w:r>
        <w:rPr>
          <w:i/>
          <w:vertAlign w:val="subscript"/>
        </w:rPr>
        <w:t>e</w:t>
      </w:r>
      <w:proofErr w:type="spellEnd"/>
      <w:proofErr w:type="gramEnd"/>
      <w:r>
        <w:t xml:space="preserve"> = required rate of return on equity</w:t>
      </w:r>
    </w:p>
    <w:p w:rsidR="004D6599" w:rsidRDefault="00F874A8" w:rsidP="00D923E1">
      <w:pPr>
        <w:pStyle w:val="MCQAnswer"/>
      </w:pPr>
      <w:proofErr w:type="spellStart"/>
      <w:proofErr w:type="gramStart"/>
      <w:r>
        <w:rPr>
          <w:i/>
          <w:spacing w:val="20"/>
        </w:rPr>
        <w:t>k</w:t>
      </w:r>
      <w:r>
        <w:rPr>
          <w:i/>
          <w:spacing w:val="20"/>
          <w:vertAlign w:val="subscript"/>
        </w:rPr>
        <w:t>r</w:t>
      </w:r>
      <w:r>
        <w:rPr>
          <w:i/>
          <w:spacing w:val="20"/>
          <w:szCs w:val="22"/>
          <w:vertAlign w:val="subscript"/>
        </w:rPr>
        <w:t>f</w:t>
      </w:r>
      <w:proofErr w:type="spellEnd"/>
      <w:proofErr w:type="gramEnd"/>
      <w:r>
        <w:rPr>
          <w:spacing w:val="20"/>
          <w:szCs w:val="22"/>
        </w:rPr>
        <w:t xml:space="preserve"> </w:t>
      </w:r>
      <w:r>
        <w:rPr>
          <w:rFonts w:ascii="Symbol" w:hAnsi="Symbol"/>
          <w:spacing w:val="20"/>
          <w:szCs w:val="22"/>
        </w:rPr>
        <w:t></w:t>
      </w:r>
      <w:r>
        <w:rPr>
          <w:spacing w:val="20"/>
          <w:szCs w:val="22"/>
        </w:rPr>
        <w:t xml:space="preserve"> </w:t>
      </w:r>
      <w:r>
        <w:t>rate of interest on risk-free bonds</w:t>
      </w:r>
    </w:p>
    <w:p w:rsidR="004D6599" w:rsidRDefault="00F874A8" w:rsidP="00D923E1">
      <w:pPr>
        <w:pStyle w:val="MCQAnswer"/>
      </w:pPr>
      <w:r>
        <w:rPr>
          <w:rFonts w:ascii="Symbol" w:hAnsi="Symbol"/>
          <w:i/>
          <w:spacing w:val="20"/>
        </w:rPr>
        <w:sym w:font="Symbol" w:char="F062"/>
      </w:r>
      <w:proofErr w:type="gramStart"/>
      <w:r>
        <w:rPr>
          <w:i/>
          <w:iCs/>
          <w:vertAlign w:val="subscript"/>
        </w:rPr>
        <w:t>j</w:t>
      </w:r>
      <w:proofErr w:type="gramEnd"/>
      <w:r>
        <w:rPr>
          <w:i/>
        </w:rPr>
        <w:t xml:space="preserve"> </w:t>
      </w:r>
      <w:r>
        <w:rPr>
          <w:rFonts w:ascii="Symbol" w:hAnsi="Symbol"/>
        </w:rPr>
        <w:t></w:t>
      </w:r>
      <w:r>
        <w:rPr>
          <w:i/>
        </w:rPr>
        <w:t xml:space="preserve"> beta</w:t>
      </w:r>
      <w:r>
        <w:t>, coefficient of systematic risk for the firm</w:t>
      </w:r>
    </w:p>
    <w:p w:rsidR="004D6599" w:rsidRDefault="00F874A8" w:rsidP="00D923E1">
      <w:pPr>
        <w:pStyle w:val="MCQAnswer"/>
      </w:pPr>
      <w:proofErr w:type="gramStart"/>
      <w:r>
        <w:rPr>
          <w:i/>
          <w:spacing w:val="20"/>
        </w:rPr>
        <w:lastRenderedPageBreak/>
        <w:t>k</w:t>
      </w:r>
      <w:r>
        <w:rPr>
          <w:i/>
          <w:vertAlign w:val="subscript"/>
        </w:rPr>
        <w:t>m</w:t>
      </w:r>
      <w:proofErr w:type="gramEnd"/>
      <w:r>
        <w:t xml:space="preserve"> </w:t>
      </w:r>
      <w:r>
        <w:rPr>
          <w:rFonts w:ascii="Symbol" w:hAnsi="Symbol"/>
        </w:rPr>
        <w:t></w:t>
      </w:r>
      <w:r>
        <w:t xml:space="preserve"> required rate of return on the market portfolio of stocks</w:t>
      </w:r>
    </w:p>
    <w:p w:rsidR="004D6599" w:rsidRDefault="00F874A8" w:rsidP="00D923E1">
      <w:pPr>
        <w:pStyle w:val="MCQAnswer"/>
      </w:pPr>
      <w:r>
        <w:rPr>
          <w:spacing w:val="-3"/>
        </w:rPr>
        <w:t xml:space="preserve">The cost of equity, </w:t>
      </w:r>
      <w:proofErr w:type="spellStart"/>
      <w:r>
        <w:rPr>
          <w:i/>
          <w:spacing w:val="-3"/>
        </w:rPr>
        <w:t>k</w:t>
      </w:r>
      <w:r>
        <w:rPr>
          <w:i/>
          <w:spacing w:val="-3"/>
          <w:vertAlign w:val="subscript"/>
        </w:rPr>
        <w:t>e</w:t>
      </w:r>
      <w:proofErr w:type="spellEnd"/>
      <w:r>
        <w:rPr>
          <w:spacing w:val="-3"/>
        </w:rPr>
        <w:t>, of a specific project or subsidiary such as this would be expressed in local currency</w:t>
      </w:r>
      <w:r>
        <w:t xml:space="preserve"> </w:t>
      </w:r>
      <w:r>
        <w:rPr>
          <w:spacing w:val="-2"/>
        </w:rPr>
        <w:t xml:space="preserve">terms, while the parent company will ultimately measure the </w:t>
      </w:r>
      <w:proofErr w:type="gramStart"/>
      <w:r>
        <w:rPr>
          <w:spacing w:val="-2"/>
        </w:rPr>
        <w:t>project’s</w:t>
      </w:r>
      <w:proofErr w:type="gramEnd"/>
      <w:r>
        <w:rPr>
          <w:spacing w:val="-2"/>
        </w:rPr>
        <w:t xml:space="preserve"> expected returns </w:t>
      </w:r>
      <w:r>
        <w:rPr>
          <w:spacing w:val="-2"/>
          <w:szCs w:val="22"/>
        </w:rPr>
        <w:t xml:space="preserve">and risks based </w:t>
      </w:r>
      <w:r>
        <w:rPr>
          <w:spacing w:val="-3"/>
          <w:szCs w:val="22"/>
        </w:rPr>
        <w:t xml:space="preserve">on its own parent currency terms. Therefore, the risk- free rate, </w:t>
      </w:r>
      <w:proofErr w:type="spellStart"/>
      <w:r>
        <w:rPr>
          <w:i/>
          <w:spacing w:val="-3"/>
        </w:rPr>
        <w:t>k</w:t>
      </w:r>
      <w:r>
        <w:rPr>
          <w:i/>
          <w:spacing w:val="-3"/>
          <w:vertAlign w:val="subscript"/>
        </w:rPr>
        <w:t>r</w:t>
      </w:r>
      <w:proofErr w:type="spellEnd"/>
      <w:r>
        <w:rPr>
          <w:i/>
          <w:spacing w:val="-3"/>
          <w:sz w:val="16"/>
          <w:vertAlign w:val="subscript"/>
        </w:rPr>
        <w:t xml:space="preserve"> </w:t>
      </w:r>
      <w:proofErr w:type="gramStart"/>
      <w:r>
        <w:rPr>
          <w:i/>
          <w:spacing w:val="-3"/>
          <w:szCs w:val="22"/>
          <w:vertAlign w:val="subscript"/>
        </w:rPr>
        <w:t>f</w:t>
      </w:r>
      <w:r>
        <w:rPr>
          <w:i/>
          <w:spacing w:val="-3"/>
          <w:sz w:val="20"/>
          <w:szCs w:val="22"/>
          <w:vertAlign w:val="subscript"/>
        </w:rPr>
        <w:t xml:space="preserve"> </w:t>
      </w:r>
      <w:r>
        <w:rPr>
          <w:szCs w:val="22"/>
        </w:rPr>
        <w:t>,</w:t>
      </w:r>
      <w:proofErr w:type="gramEnd"/>
      <w:r>
        <w:rPr>
          <w:szCs w:val="22"/>
        </w:rPr>
        <w:t xml:space="preserve"> </w:t>
      </w:r>
      <w:r>
        <w:rPr>
          <w:spacing w:val="-3"/>
          <w:szCs w:val="22"/>
        </w:rPr>
        <w:t>would be a local currency</w:t>
      </w:r>
      <w:r>
        <w:rPr>
          <w:spacing w:val="-3"/>
        </w:rPr>
        <w:t xml:space="preserve"> </w:t>
      </w:r>
      <w:r>
        <w:rPr>
          <w:spacing w:val="-3"/>
          <w:szCs w:val="22"/>
        </w:rPr>
        <w:t>government</w:t>
      </w:r>
      <w:r>
        <w:rPr>
          <w:spacing w:val="-2"/>
          <w:szCs w:val="22"/>
        </w:rPr>
        <w:t xml:space="preserve"> bond or government bond yield. The market return, </w:t>
      </w:r>
      <w:r>
        <w:rPr>
          <w:i/>
          <w:spacing w:val="20"/>
        </w:rPr>
        <w:t>k</w:t>
      </w:r>
      <w:r>
        <w:rPr>
          <w:i/>
          <w:vertAlign w:val="subscript"/>
        </w:rPr>
        <w:t>m</w:t>
      </w:r>
      <w:r>
        <w:rPr>
          <w:spacing w:val="-2"/>
          <w:szCs w:val="22"/>
        </w:rPr>
        <w:t>, would be the expected return on the market</w:t>
      </w:r>
      <w:r>
        <w:t xml:space="preserve"> portfolio in the local market (typically based on recent historical returns). The local project’s beta, </w:t>
      </w:r>
      <w:r>
        <w:rPr>
          <w:rFonts w:ascii="Symbol" w:hAnsi="Symbol"/>
          <w:i/>
          <w:spacing w:val="20"/>
        </w:rPr>
        <w:sym w:font="Symbol" w:char="F062"/>
      </w:r>
      <w:r>
        <w:rPr>
          <w:i/>
          <w:iCs/>
          <w:vertAlign w:val="subscript"/>
        </w:rPr>
        <w:t>j</w:t>
      </w:r>
      <w:r>
        <w:t>, would be first based on other like firms in the local market and their historical covariance with the variance of the market.</w:t>
      </w:r>
    </w:p>
    <w:p w:rsidR="004D6599" w:rsidRDefault="00F874A8">
      <w:pPr>
        <w:pStyle w:val="MCQList1"/>
        <w:keepNext w:val="0"/>
        <w:keepLines w:val="0"/>
      </w:pPr>
      <w:r>
        <w:tab/>
      </w:r>
      <w:proofErr w:type="gramStart"/>
      <w:r>
        <w:t>9.</w:t>
      </w:r>
      <w:r>
        <w:tab/>
      </w:r>
      <w:r>
        <w:rPr>
          <w:b/>
        </w:rPr>
        <w:t>Viewpoints.</w:t>
      </w:r>
      <w:proofErr w:type="gramEnd"/>
      <w:r>
        <w:rPr>
          <w:b/>
        </w:rPr>
        <w:t xml:space="preserve"> </w:t>
      </w:r>
      <w:r>
        <w:t>What are the differences in the cash flows used in a project point of view analysis and a parent point of view analysis?</w:t>
      </w:r>
    </w:p>
    <w:p w:rsidR="004D6599" w:rsidRDefault="00F874A8" w:rsidP="00D923E1">
      <w:pPr>
        <w:pStyle w:val="MCQAnswer"/>
      </w:pPr>
      <w:r>
        <w:t xml:space="preserve">The project viewpoint focuses on the cash flows </w:t>
      </w:r>
      <w:r w:rsidR="00326599">
        <w:t xml:space="preserve">that </w:t>
      </w:r>
      <w:r>
        <w:t>are traditionally isolated and analyzed by any prospective investment—the operational cash flows of the proposed project (initial investment, operating cash flows, terminal value). The parent viewpoint analysis, must however focus on those cash flows which flow between the parent and the project of any kind—including operating cash flows (operating returns, intra-firm sales and margins, etc.) as well as financing cash flows (dividends as distributed to the parent from the project). Most firms appear to evaluate foreign projects from both parent and project viewpoints. The parent’s viewpoint gives results closer to the traditional meaning of net present value in capital budgeting</w:t>
      </w:r>
    </w:p>
    <w:p w:rsidR="004D6599" w:rsidRDefault="00F874A8">
      <w:pPr>
        <w:pStyle w:val="MCQList1"/>
        <w:keepNext w:val="0"/>
        <w:keepLines w:val="0"/>
      </w:pPr>
      <w:r>
        <w:rPr>
          <w:b/>
        </w:rPr>
        <w:tab/>
      </w:r>
      <w:proofErr w:type="gramStart"/>
      <w:r>
        <w:t>10.</w:t>
      </w:r>
      <w:r>
        <w:tab/>
      </w:r>
      <w:r>
        <w:rPr>
          <w:b/>
        </w:rPr>
        <w:t>Foreign Exchange Risk.</w:t>
      </w:r>
      <w:proofErr w:type="gramEnd"/>
      <w:r>
        <w:rPr>
          <w:b/>
        </w:rPr>
        <w:t xml:space="preserve"> </w:t>
      </w:r>
      <w:r>
        <w:t xml:space="preserve">How </w:t>
      </w:r>
      <w:proofErr w:type="gramStart"/>
      <w:r>
        <w:t>is foreign exchange risk sensitivity factored</w:t>
      </w:r>
      <w:proofErr w:type="gramEnd"/>
      <w:r>
        <w:t xml:space="preserve"> into the capital budgeting analysis of a foreign project?</w:t>
      </w:r>
    </w:p>
    <w:p w:rsidR="004D6599" w:rsidRDefault="00F874A8" w:rsidP="00D923E1">
      <w:pPr>
        <w:pStyle w:val="MCQAnswer"/>
      </w:pPr>
      <w:r>
        <w:t>In the case of foreign exchange risk, changes in exchange rates have a potential effect on future cash flows because of operating exposure. The direction of the effect, however, can either decrease or increase net cash inflows, depending on where the products are sold and where inputs are sourced. This additional risk can be addressed by adjusting the project’s discount rate. However, to increase the discount rate applicable to a foreign project, on the assumption that the foreign currency might depreciate more than expected, ignores the possibility that the foreign currency may appreciate.</w:t>
      </w:r>
    </w:p>
    <w:p w:rsidR="004D6599" w:rsidRDefault="00F874A8" w:rsidP="00D923E1">
      <w:pPr>
        <w:pStyle w:val="MCQAnswer"/>
      </w:pPr>
      <w:r>
        <w:t>Another method to address the foreign exchange risk is to adjust the project’s cash flows. Due to the complexity of economic forces at work in major investment projects, it is paramount that the analyst realizes the subjectivity of the forecast cash flows.</w:t>
      </w:r>
    </w:p>
    <w:p w:rsidR="004D6599" w:rsidRDefault="00F874A8">
      <w:pPr>
        <w:pStyle w:val="MCQList1"/>
        <w:keepNext w:val="0"/>
        <w:keepLines w:val="0"/>
      </w:pPr>
      <w:r>
        <w:rPr>
          <w:b/>
        </w:rPr>
        <w:tab/>
      </w:r>
      <w:proofErr w:type="gramStart"/>
      <w:r>
        <w:t>11.</w:t>
      </w:r>
      <w:r>
        <w:tab/>
      </w:r>
      <w:r>
        <w:rPr>
          <w:b/>
        </w:rPr>
        <w:t>Expropriation Risk.</w:t>
      </w:r>
      <w:proofErr w:type="gramEnd"/>
      <w:r>
        <w:rPr>
          <w:b/>
        </w:rPr>
        <w:t xml:space="preserve"> </w:t>
      </w:r>
      <w:r>
        <w:t xml:space="preserve">How </w:t>
      </w:r>
      <w:proofErr w:type="gramStart"/>
      <w:r>
        <w:t>is expropriation risk factored</w:t>
      </w:r>
      <w:proofErr w:type="gramEnd"/>
      <w:r>
        <w:t xml:space="preserve"> into the capital budgeting analysis of a foreign project?</w:t>
      </w:r>
    </w:p>
    <w:p w:rsidR="004D6599" w:rsidRDefault="00F874A8" w:rsidP="00D923E1">
      <w:pPr>
        <w:pStyle w:val="MCQAnswer"/>
      </w:pPr>
      <w:r>
        <w:t xml:space="preserve">This is typical of the complexity of capturing political risk and its repercussions on financial performance in a prospective project analysis. Again, if expropriation risk </w:t>
      </w:r>
      <w:proofErr w:type="gramStart"/>
      <w:r>
        <w:t>is considered</w:t>
      </w:r>
      <w:proofErr w:type="gramEnd"/>
      <w:r>
        <w:t xml:space="preserve"> highly possible, the risk-adjusted return must capture it in some manner.</w:t>
      </w:r>
    </w:p>
    <w:p w:rsidR="004D6599" w:rsidRDefault="00F874A8" w:rsidP="00D923E1">
      <w:pPr>
        <w:pStyle w:val="MCQAnswer"/>
      </w:pPr>
      <w:r>
        <w:t xml:space="preserve">Many expropriations eventually result in some form of compensation to the former owners. This compensation can come from a negotiated settlement with the host government or from payment of political risk insurance by the parent government. Negotiating a settlement takes time, and the eventual compensation is sometimes paid in installments over a further </w:t>
      </w:r>
      <w:proofErr w:type="gramStart"/>
      <w:r>
        <w:t>period of time</w:t>
      </w:r>
      <w:proofErr w:type="gramEnd"/>
      <w:r>
        <w:t xml:space="preserve">. Thus the present value of the compensation is often much lower than its nominal value. Furthermore, most settlements </w:t>
      </w:r>
      <w:proofErr w:type="gramStart"/>
      <w:r>
        <w:t>are based</w:t>
      </w:r>
      <w:proofErr w:type="gramEnd"/>
      <w:r>
        <w:t xml:space="preserve"> on book value of the firm at the time of expropriation rather than the firm’s market value.</w:t>
      </w:r>
    </w:p>
    <w:p w:rsidR="004D6599" w:rsidRDefault="00F874A8">
      <w:pPr>
        <w:pStyle w:val="MCQList1"/>
      </w:pPr>
      <w:r>
        <w:rPr>
          <w:b/>
        </w:rPr>
        <w:lastRenderedPageBreak/>
        <w:tab/>
      </w:r>
      <w:proofErr w:type="gramStart"/>
      <w:r>
        <w:t>12.</w:t>
      </w:r>
      <w:r>
        <w:tab/>
      </w:r>
      <w:r>
        <w:rPr>
          <w:b/>
        </w:rPr>
        <w:t>Real Option Analysis.</w:t>
      </w:r>
      <w:proofErr w:type="gramEnd"/>
      <w:r>
        <w:rPr>
          <w:b/>
        </w:rPr>
        <w:t xml:space="preserve"> </w:t>
      </w:r>
      <w:r>
        <w:t>What is real option analysis? How is it a better method of making investment decisions than traditional capital budgeting analysis?</w:t>
      </w:r>
    </w:p>
    <w:p w:rsidR="004D6599" w:rsidRDefault="00F874A8" w:rsidP="00D923E1">
      <w:pPr>
        <w:pStyle w:val="MCQAnswer"/>
      </w:pPr>
      <w:r>
        <w:t xml:space="preserve">Real options </w:t>
      </w:r>
      <w:r w:rsidR="00326599">
        <w:t xml:space="preserve">are </w:t>
      </w:r>
      <w:r>
        <w:t xml:space="preserve">a different way of thinking about investment values. At its core, </w:t>
      </w:r>
      <w:r w:rsidR="00326599">
        <w:t xml:space="preserve">real option analysis </w:t>
      </w:r>
      <w:r>
        <w:t>is a cross between decision-tree analysis and pure option-based valuation. It is particularly useful when analyzing investment projects that will follow very different value paths at decision points in time where management decisions are made regarding project pursuit. This wide range of potential outcomes is at the heart of real option theory.</w:t>
      </w:r>
    </w:p>
    <w:p w:rsidR="004D6599" w:rsidRDefault="00F874A8" w:rsidP="00D923E1">
      <w:pPr>
        <w:pStyle w:val="MCQAnswer"/>
      </w:pPr>
      <w:r>
        <w:t xml:space="preserve">Real option valuation also allows us to analyze a number of managerial decisions </w:t>
      </w:r>
      <w:r w:rsidR="00326599">
        <w:t xml:space="preserve">that </w:t>
      </w:r>
      <w:r>
        <w:t>in practice characterize many major capital investment projects:</w:t>
      </w:r>
    </w:p>
    <w:p w:rsidR="004D6599" w:rsidRDefault="00F874A8" w:rsidP="00D923E1">
      <w:pPr>
        <w:pStyle w:val="MCQAnswerBL"/>
      </w:pPr>
      <w:r>
        <w:rPr>
          <w:rFonts w:ascii="Symbol" w:hAnsi="Symbol"/>
        </w:rPr>
        <w:sym w:font="Symbol" w:char="F0B7"/>
      </w:r>
      <w:r>
        <w:tab/>
        <w:t>The option to defer</w:t>
      </w:r>
    </w:p>
    <w:p w:rsidR="004D6599" w:rsidRDefault="00F874A8" w:rsidP="00D923E1">
      <w:pPr>
        <w:pStyle w:val="MCQAnswerBL"/>
      </w:pPr>
      <w:r>
        <w:rPr>
          <w:rFonts w:ascii="Symbol" w:hAnsi="Symbol"/>
        </w:rPr>
        <w:sym w:font="Symbol" w:char="F0B7"/>
      </w:r>
      <w:r>
        <w:tab/>
        <w:t>The option to abandon</w:t>
      </w:r>
    </w:p>
    <w:p w:rsidR="004D6599" w:rsidRDefault="00F874A8" w:rsidP="00D923E1">
      <w:pPr>
        <w:pStyle w:val="MCQAnswerBL"/>
      </w:pPr>
      <w:r>
        <w:rPr>
          <w:rFonts w:ascii="Symbol" w:hAnsi="Symbol"/>
        </w:rPr>
        <w:sym w:font="Symbol" w:char="F0B7"/>
      </w:r>
      <w:r>
        <w:tab/>
        <w:t>The option to alter capacity</w:t>
      </w:r>
    </w:p>
    <w:p w:rsidR="004D6599" w:rsidRDefault="00F874A8" w:rsidP="00D923E1">
      <w:pPr>
        <w:pStyle w:val="MCQAnswerBL"/>
      </w:pPr>
      <w:r>
        <w:rPr>
          <w:rFonts w:ascii="Symbol" w:hAnsi="Symbol"/>
        </w:rPr>
        <w:sym w:font="Symbol" w:char="F0B7"/>
      </w:r>
      <w:r>
        <w:tab/>
        <w:t>The option to start up or shut down (switching)</w:t>
      </w:r>
    </w:p>
    <w:p w:rsidR="00F874A8" w:rsidRDefault="00F874A8" w:rsidP="00D923E1">
      <w:pPr>
        <w:pStyle w:val="MCQAnswer"/>
      </w:pPr>
      <w:r>
        <w:t>Real option analysis treats cash flows in terms of future value in a positive sense, whereas discounted cash flow (DCF) treats future cash flows negatively (on a discounted basis). Real option analysis is a particularly powerful device when addressing potential investment projects with extremely long life spans or investments that do not commence until future dates. Real option analysis acknowledges the way information is gathered over time to support decision making. Management learns from both active (searching it out) and passive (observing market conditions) knowledge gathering and then uses this knowledge to make better decisions.</w:t>
      </w:r>
    </w:p>
    <w:sectPr w:rsidR="00F874A8" w:rsidSect="001F0B88">
      <w:headerReference w:type="even" r:id="rId8"/>
      <w:headerReference w:type="default" r:id="rId9"/>
      <w:footerReference w:type="even" r:id="rId10"/>
      <w:footerReference w:type="default" r:id="rId11"/>
      <w:footerReference w:type="first" r:id="rId12"/>
      <w:pgSz w:w="12240" w:h="15840"/>
      <w:pgMar w:top="1008" w:right="1008" w:bottom="1008" w:left="1800" w:header="1008" w:footer="720" w:gutter="0"/>
      <w:pgNumType w:start="113"/>
      <w:cols w:space="720"/>
      <w:titlePg/>
      <w:docGrid w:linePitch="204"/>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74A8" w:rsidRDefault="00F874A8">
      <w:r>
        <w:separator/>
      </w:r>
    </w:p>
  </w:endnote>
  <w:endnote w:type="continuationSeparator" w:id="0">
    <w:p w:rsidR="00F874A8" w:rsidRDefault="00F874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Times">
    <w:panose1 w:val="02020603050405020304"/>
    <w:charset w:val="00"/>
    <w:family w:val="roman"/>
    <w:pitch w:val="variable"/>
    <w:sig w:usb0="20002A87" w:usb1="80000000" w:usb2="00000008" w:usb3="00000000" w:csb0="000001FF" w:csb1="00000000"/>
  </w:font>
  <w:font w:name="Helvetica">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E10002FF" w:usb1="4000ACFF" w:usb2="00000009" w:usb3="00000000" w:csb0="0000019F" w:csb1="00000000"/>
  </w:font>
  <w:font w:name="Arial Narrow">
    <w:panose1 w:val="020B0506020202030204"/>
    <w:charset w:val="00"/>
    <w:family w:val="swiss"/>
    <w:pitch w:val="variable"/>
    <w:sig w:usb0="00000287" w:usb1="00000800" w:usb2="00000000" w:usb3="00000000" w:csb0="0000009F" w:csb1="00000000"/>
  </w:font>
  <w:font w:name="WP Greek Century">
    <w:charset w:val="02"/>
    <w:family w:val="auto"/>
    <w:pitch w:val="variable"/>
    <w:sig w:usb0="00000000" w:usb1="10000000" w:usb2="00000000" w:usb3="00000000" w:csb0="80000000"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6599" w:rsidRDefault="00F874A8">
    <w:pPr>
      <w:pStyle w:val="Footer"/>
      <w:pBdr>
        <w:top w:val="single" w:sz="4" w:space="1" w:color="auto"/>
      </w:pBdr>
      <w:spacing w:before="360"/>
      <w:jc w:val="center"/>
      <w:rPr>
        <w:rFonts w:ascii="Times" w:hAnsi="Times"/>
        <w:sz w:val="18"/>
      </w:rPr>
    </w:pPr>
    <w:r>
      <w:rPr>
        <w:rFonts w:ascii="Times" w:hAnsi="Times"/>
        <w:sz w:val="18"/>
      </w:rPr>
      <w:t>© 201</w:t>
    </w:r>
    <w:r w:rsidR="00DD09D1">
      <w:rPr>
        <w:rFonts w:ascii="Times" w:hAnsi="Times"/>
        <w:sz w:val="18"/>
      </w:rPr>
      <w:t>5</w:t>
    </w:r>
    <w:r>
      <w:rPr>
        <w:rFonts w:ascii="Times" w:hAnsi="Times"/>
        <w:sz w:val="18"/>
      </w:rPr>
      <w:t xml:space="preserve"> Pearson Education, Inc.</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6599" w:rsidRDefault="00F874A8">
    <w:pPr>
      <w:pStyle w:val="Footer"/>
      <w:pBdr>
        <w:top w:val="single" w:sz="4" w:space="1" w:color="auto"/>
      </w:pBdr>
      <w:spacing w:before="360"/>
      <w:jc w:val="center"/>
      <w:rPr>
        <w:rFonts w:ascii="Times" w:hAnsi="Times"/>
        <w:sz w:val="18"/>
      </w:rPr>
    </w:pPr>
    <w:r>
      <w:rPr>
        <w:rFonts w:ascii="Times" w:hAnsi="Times"/>
        <w:sz w:val="18"/>
      </w:rPr>
      <w:t>© 201</w:t>
    </w:r>
    <w:r w:rsidR="00DD09D1">
      <w:rPr>
        <w:rFonts w:ascii="Times" w:hAnsi="Times"/>
        <w:sz w:val="18"/>
      </w:rPr>
      <w:t>5</w:t>
    </w:r>
    <w:r>
      <w:rPr>
        <w:rFonts w:ascii="Times" w:hAnsi="Times"/>
        <w:sz w:val="18"/>
      </w:rPr>
      <w:t xml:space="preserve"> Pearson Education, Inc.</w: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6599" w:rsidRDefault="00F874A8">
    <w:pPr>
      <w:pStyle w:val="Footer"/>
      <w:pBdr>
        <w:top w:val="single" w:sz="4" w:space="1" w:color="auto"/>
      </w:pBdr>
      <w:spacing w:before="360"/>
      <w:jc w:val="center"/>
      <w:rPr>
        <w:rFonts w:ascii="Times" w:hAnsi="Times"/>
        <w:sz w:val="18"/>
      </w:rPr>
    </w:pPr>
    <w:r>
      <w:rPr>
        <w:rFonts w:ascii="Times" w:hAnsi="Times"/>
        <w:sz w:val="18"/>
      </w:rPr>
      <w:t>© 201</w:t>
    </w:r>
    <w:r w:rsidR="00DD09D1">
      <w:rPr>
        <w:rFonts w:ascii="Times" w:hAnsi="Times"/>
        <w:sz w:val="18"/>
      </w:rPr>
      <w:t>5</w:t>
    </w:r>
    <w:r>
      <w:rPr>
        <w:rFonts w:ascii="Times" w:hAnsi="Times"/>
        <w:sz w:val="18"/>
      </w:rPr>
      <w:t xml:space="preserve"> Pearson Education, Inc.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74A8" w:rsidRDefault="00F874A8">
      <w:r>
        <w:separator/>
      </w:r>
    </w:p>
  </w:footnote>
  <w:footnote w:type="continuationSeparator" w:id="0">
    <w:p w:rsidR="00F874A8" w:rsidRDefault="00F874A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6599" w:rsidRDefault="00F874A8">
    <w:pPr>
      <w:pStyle w:val="VersoHeader"/>
    </w:pPr>
    <w:r>
      <w:rPr>
        <w:rStyle w:val="PageNumber"/>
      </w:rPr>
      <w:fldChar w:fldCharType="begin"/>
    </w:r>
    <w:r>
      <w:rPr>
        <w:rStyle w:val="PageNumber"/>
      </w:rPr>
      <w:instrText xml:space="preserve"> PAGE </w:instrText>
    </w:r>
    <w:r>
      <w:rPr>
        <w:rStyle w:val="PageNumber"/>
      </w:rPr>
      <w:fldChar w:fldCharType="separate"/>
    </w:r>
    <w:r w:rsidR="001F0B88">
      <w:rPr>
        <w:rStyle w:val="PageNumber"/>
        <w:noProof/>
      </w:rPr>
      <w:t>118</w:t>
    </w:r>
    <w:r>
      <w:rPr>
        <w:rStyle w:val="PageNumber"/>
      </w:rPr>
      <w:fldChar w:fldCharType="end"/>
    </w:r>
    <w:r>
      <w:t> </w:t>
    </w:r>
    <w:r>
      <w:t> </w:t>
    </w:r>
    <w:r>
      <w:t>Moffett</w:t>
    </w:r>
    <w:r>
      <w:rPr>
        <w:rFonts w:cs="Arial"/>
        <w:color w:val="000000"/>
      </w:rPr>
      <w:t>/</w:t>
    </w:r>
    <w:proofErr w:type="spellStart"/>
    <w:r>
      <w:rPr>
        <w:rFonts w:cs="Arial"/>
        <w:color w:val="000000"/>
      </w:rPr>
      <w:t>Stonehill</w:t>
    </w:r>
    <w:proofErr w:type="spellEnd"/>
    <w:r>
      <w:rPr>
        <w:rFonts w:cs="Arial"/>
        <w:color w:val="000000"/>
      </w:rPr>
      <w:t>/</w:t>
    </w:r>
    <w:proofErr w:type="spellStart"/>
    <w:r>
      <w:rPr>
        <w:rFonts w:cs="Arial"/>
        <w:color w:val="000000"/>
      </w:rPr>
      <w:t>Eiteman</w:t>
    </w:r>
    <w:proofErr w:type="spellEnd"/>
    <w:r>
      <w:t> </w:t>
    </w:r>
    <w:r>
      <w:t>•</w:t>
    </w:r>
    <w:r>
      <w:t> </w:t>
    </w:r>
    <w:r>
      <w:rPr>
        <w:i/>
        <w:iCs/>
      </w:rPr>
      <w:t>Fundamentals of Multinational Finance,</w:t>
    </w:r>
    <w:r>
      <w:rPr>
        <w:i/>
      </w:rPr>
      <w:t xml:space="preserve"> </w:t>
    </w:r>
    <w:r>
      <w:t>F</w:t>
    </w:r>
    <w:r w:rsidR="00EF6C20">
      <w:t>if</w:t>
    </w:r>
    <w:r>
      <w:t>th Edition</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D6599" w:rsidRDefault="00F874A8">
    <w:pPr>
      <w:pStyle w:val="RectoHeader"/>
    </w:pPr>
    <w:r>
      <w:t>Chapter 1</w:t>
    </w:r>
    <w:r w:rsidR="00EF6C20">
      <w:t>7</w:t>
    </w:r>
    <w:r>
      <w:t> </w:t>
    </w:r>
    <w:r>
      <w:t>Multinational Capital Budgeting and Cross-Border Acquisitions</w:t>
    </w:r>
    <w:r>
      <w:t> </w:t>
    </w:r>
    <w:r>
      <w:t> </w:t>
    </w:r>
    <w:r>
      <w:rPr>
        <w:rStyle w:val="PageNumber"/>
      </w:rPr>
      <w:fldChar w:fldCharType="begin"/>
    </w:r>
    <w:r>
      <w:rPr>
        <w:rStyle w:val="PageNumber"/>
      </w:rPr>
      <w:instrText xml:space="preserve"> PAGE </w:instrText>
    </w:r>
    <w:r>
      <w:rPr>
        <w:rStyle w:val="PageNumber"/>
      </w:rPr>
      <w:fldChar w:fldCharType="separate"/>
    </w:r>
    <w:r w:rsidR="001F0B88">
      <w:rPr>
        <w:rStyle w:val="PageNumber"/>
      </w:rPr>
      <w:t>117</w:t>
    </w:r>
    <w:r>
      <w:rPr>
        <w:rStyle w:val="PageNumber"/>
      </w:rP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A7EA3024"/>
    <w:lvl w:ilvl="0">
      <w:start w:val="1"/>
      <w:numFmt w:val="decimal"/>
      <w:lvlText w:val="%1."/>
      <w:lvlJc w:val="left"/>
      <w:pPr>
        <w:tabs>
          <w:tab w:val="num" w:pos="1800"/>
        </w:tabs>
        <w:ind w:left="1800" w:hanging="360"/>
      </w:pPr>
      <w:rPr>
        <w:rFonts w:cs="Times New Roman"/>
      </w:rPr>
    </w:lvl>
  </w:abstractNum>
  <w:abstractNum w:abstractNumId="1">
    <w:nsid w:val="FFFFFF7D"/>
    <w:multiLevelType w:val="singleLevel"/>
    <w:tmpl w:val="C22CA6E8"/>
    <w:lvl w:ilvl="0">
      <w:start w:val="1"/>
      <w:numFmt w:val="decimal"/>
      <w:lvlText w:val="%1."/>
      <w:lvlJc w:val="left"/>
      <w:pPr>
        <w:tabs>
          <w:tab w:val="num" w:pos="1440"/>
        </w:tabs>
        <w:ind w:left="1440" w:hanging="360"/>
      </w:pPr>
      <w:rPr>
        <w:rFonts w:cs="Times New Roman"/>
      </w:rPr>
    </w:lvl>
  </w:abstractNum>
  <w:abstractNum w:abstractNumId="2">
    <w:nsid w:val="FFFFFF7E"/>
    <w:multiLevelType w:val="singleLevel"/>
    <w:tmpl w:val="3982C268"/>
    <w:lvl w:ilvl="0">
      <w:start w:val="1"/>
      <w:numFmt w:val="decimal"/>
      <w:lvlText w:val="%1."/>
      <w:lvlJc w:val="left"/>
      <w:pPr>
        <w:tabs>
          <w:tab w:val="num" w:pos="1080"/>
        </w:tabs>
        <w:ind w:left="1080" w:hanging="360"/>
      </w:pPr>
      <w:rPr>
        <w:rFonts w:cs="Times New Roman"/>
      </w:rPr>
    </w:lvl>
  </w:abstractNum>
  <w:abstractNum w:abstractNumId="3">
    <w:nsid w:val="FFFFFF7F"/>
    <w:multiLevelType w:val="singleLevel"/>
    <w:tmpl w:val="2BA0FFD6"/>
    <w:lvl w:ilvl="0">
      <w:start w:val="1"/>
      <w:numFmt w:val="decimal"/>
      <w:lvlText w:val="%1."/>
      <w:lvlJc w:val="left"/>
      <w:pPr>
        <w:tabs>
          <w:tab w:val="num" w:pos="720"/>
        </w:tabs>
        <w:ind w:left="720" w:hanging="360"/>
      </w:pPr>
      <w:rPr>
        <w:rFonts w:cs="Times New Roman"/>
      </w:rPr>
    </w:lvl>
  </w:abstractNum>
  <w:abstractNum w:abstractNumId="4">
    <w:nsid w:val="FFFFFF80"/>
    <w:multiLevelType w:val="singleLevel"/>
    <w:tmpl w:val="915A97E6"/>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E2FA29F8"/>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367468EE"/>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BEFC7050"/>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C9BEF944"/>
    <w:lvl w:ilvl="0">
      <w:start w:val="1"/>
      <w:numFmt w:val="decimal"/>
      <w:lvlText w:val="%1."/>
      <w:lvlJc w:val="left"/>
      <w:pPr>
        <w:tabs>
          <w:tab w:val="num" w:pos="360"/>
        </w:tabs>
        <w:ind w:left="360" w:hanging="360"/>
      </w:pPr>
      <w:rPr>
        <w:rFonts w:cs="Times New Roman"/>
      </w:rPr>
    </w:lvl>
  </w:abstractNum>
  <w:abstractNum w:abstractNumId="9">
    <w:nsid w:val="FFFFFF89"/>
    <w:multiLevelType w:val="singleLevel"/>
    <w:tmpl w:val="D9EE3094"/>
    <w:lvl w:ilvl="0">
      <w:start w:val="1"/>
      <w:numFmt w:val="bullet"/>
      <w:pStyle w:val="ListBullet"/>
      <w:lvlText w:val=""/>
      <w:lvlJc w:val="left"/>
      <w:pPr>
        <w:tabs>
          <w:tab w:val="num" w:pos="360"/>
        </w:tabs>
        <w:ind w:left="360" w:hanging="360"/>
      </w:pPr>
      <w:rPr>
        <w:rFonts w:ascii="Symbol" w:hAnsi="Symbol" w:hint="default"/>
      </w:rPr>
    </w:lvl>
  </w:abstractNum>
  <w:abstractNum w:abstractNumId="10">
    <w:nsid w:val="00000001"/>
    <w:multiLevelType w:val="singleLevel"/>
    <w:tmpl w:val="00000001"/>
    <w:lvl w:ilvl="0">
      <w:start w:val="1"/>
      <w:numFmt w:val="lowerLetter"/>
      <w:suff w:val="nothing"/>
      <w:lvlText w:val="%1."/>
      <w:lvlJc w:val="left"/>
      <w:rPr>
        <w:rFonts w:cs="Times New Roman"/>
      </w:rPr>
    </w:lvl>
  </w:abstractNum>
  <w:abstractNum w:abstractNumId="11">
    <w:nsid w:val="01F666CE"/>
    <w:multiLevelType w:val="hybridMultilevel"/>
    <w:tmpl w:val="CF42B7E4"/>
    <w:lvl w:ilvl="0" w:tplc="2710D94C">
      <w:start w:val="1"/>
      <w:numFmt w:val="upperLetter"/>
      <w:pStyle w:val="OutlineA"/>
      <w:lvlText w:val="%1."/>
      <w:lvlJc w:val="left"/>
      <w:pPr>
        <w:ind w:left="1530" w:hanging="360"/>
      </w:pPr>
      <w:rPr>
        <w:rFonts w:hint="default"/>
      </w:rPr>
    </w:lvl>
    <w:lvl w:ilvl="1" w:tplc="04090019" w:tentative="1">
      <w:start w:val="1"/>
      <w:numFmt w:val="lowerLetter"/>
      <w:lvlText w:val="%2."/>
      <w:lvlJc w:val="left"/>
      <w:pPr>
        <w:ind w:left="2250" w:hanging="360"/>
      </w:pPr>
    </w:lvl>
    <w:lvl w:ilvl="2" w:tplc="0409001B" w:tentative="1">
      <w:start w:val="1"/>
      <w:numFmt w:val="lowerRoman"/>
      <w:lvlText w:val="%3."/>
      <w:lvlJc w:val="right"/>
      <w:pPr>
        <w:ind w:left="2970" w:hanging="180"/>
      </w:pPr>
    </w:lvl>
    <w:lvl w:ilvl="3" w:tplc="0409000F" w:tentative="1">
      <w:start w:val="1"/>
      <w:numFmt w:val="decimal"/>
      <w:lvlText w:val="%4."/>
      <w:lvlJc w:val="left"/>
      <w:pPr>
        <w:ind w:left="3690" w:hanging="360"/>
      </w:pPr>
    </w:lvl>
    <w:lvl w:ilvl="4" w:tplc="04090019" w:tentative="1">
      <w:start w:val="1"/>
      <w:numFmt w:val="lowerLetter"/>
      <w:lvlText w:val="%5."/>
      <w:lvlJc w:val="left"/>
      <w:pPr>
        <w:ind w:left="4410" w:hanging="360"/>
      </w:pPr>
    </w:lvl>
    <w:lvl w:ilvl="5" w:tplc="0409001B" w:tentative="1">
      <w:start w:val="1"/>
      <w:numFmt w:val="lowerRoman"/>
      <w:lvlText w:val="%6."/>
      <w:lvlJc w:val="right"/>
      <w:pPr>
        <w:ind w:left="5130" w:hanging="180"/>
      </w:pPr>
    </w:lvl>
    <w:lvl w:ilvl="6" w:tplc="0409000F" w:tentative="1">
      <w:start w:val="1"/>
      <w:numFmt w:val="decimal"/>
      <w:lvlText w:val="%7."/>
      <w:lvlJc w:val="left"/>
      <w:pPr>
        <w:ind w:left="5850" w:hanging="360"/>
      </w:pPr>
    </w:lvl>
    <w:lvl w:ilvl="7" w:tplc="04090019" w:tentative="1">
      <w:start w:val="1"/>
      <w:numFmt w:val="lowerLetter"/>
      <w:lvlText w:val="%8."/>
      <w:lvlJc w:val="left"/>
      <w:pPr>
        <w:ind w:left="6570" w:hanging="360"/>
      </w:pPr>
    </w:lvl>
    <w:lvl w:ilvl="8" w:tplc="0409001B" w:tentative="1">
      <w:start w:val="1"/>
      <w:numFmt w:val="lowerRoman"/>
      <w:lvlText w:val="%9."/>
      <w:lvlJc w:val="right"/>
      <w:pPr>
        <w:ind w:left="7290" w:hanging="180"/>
      </w:pPr>
    </w:lvl>
  </w:abstractNum>
  <w:abstractNum w:abstractNumId="12">
    <w:nsid w:val="02F81989"/>
    <w:multiLevelType w:val="hybridMultilevel"/>
    <w:tmpl w:val="02D276CE"/>
    <w:lvl w:ilvl="0" w:tplc="5E240388">
      <w:start w:val="1"/>
      <w:numFmt w:val="decimal"/>
      <w:pStyle w:val="Outlline1"/>
      <w:lvlText w:val="%1."/>
      <w:lvlJc w:val="left"/>
      <w:pPr>
        <w:ind w:left="1890" w:hanging="360"/>
      </w:pPr>
    </w:lvl>
    <w:lvl w:ilvl="1" w:tplc="04090019" w:tentative="1">
      <w:start w:val="1"/>
      <w:numFmt w:val="lowerLetter"/>
      <w:lvlText w:val="%2."/>
      <w:lvlJc w:val="left"/>
      <w:pPr>
        <w:ind w:left="2610" w:hanging="360"/>
      </w:pPr>
    </w:lvl>
    <w:lvl w:ilvl="2" w:tplc="0409001B" w:tentative="1">
      <w:start w:val="1"/>
      <w:numFmt w:val="lowerRoman"/>
      <w:lvlText w:val="%3."/>
      <w:lvlJc w:val="right"/>
      <w:pPr>
        <w:ind w:left="3330" w:hanging="180"/>
      </w:pPr>
    </w:lvl>
    <w:lvl w:ilvl="3" w:tplc="0409000F" w:tentative="1">
      <w:start w:val="1"/>
      <w:numFmt w:val="decimal"/>
      <w:lvlText w:val="%4."/>
      <w:lvlJc w:val="left"/>
      <w:pPr>
        <w:ind w:left="4050" w:hanging="360"/>
      </w:pPr>
    </w:lvl>
    <w:lvl w:ilvl="4" w:tplc="04090019" w:tentative="1">
      <w:start w:val="1"/>
      <w:numFmt w:val="lowerLetter"/>
      <w:lvlText w:val="%5."/>
      <w:lvlJc w:val="left"/>
      <w:pPr>
        <w:ind w:left="4770" w:hanging="360"/>
      </w:pPr>
    </w:lvl>
    <w:lvl w:ilvl="5" w:tplc="0409001B" w:tentative="1">
      <w:start w:val="1"/>
      <w:numFmt w:val="lowerRoman"/>
      <w:lvlText w:val="%6."/>
      <w:lvlJc w:val="right"/>
      <w:pPr>
        <w:ind w:left="5490" w:hanging="180"/>
      </w:pPr>
    </w:lvl>
    <w:lvl w:ilvl="6" w:tplc="0409000F" w:tentative="1">
      <w:start w:val="1"/>
      <w:numFmt w:val="decimal"/>
      <w:lvlText w:val="%7."/>
      <w:lvlJc w:val="left"/>
      <w:pPr>
        <w:ind w:left="6210" w:hanging="360"/>
      </w:pPr>
    </w:lvl>
    <w:lvl w:ilvl="7" w:tplc="04090019" w:tentative="1">
      <w:start w:val="1"/>
      <w:numFmt w:val="lowerLetter"/>
      <w:lvlText w:val="%8."/>
      <w:lvlJc w:val="left"/>
      <w:pPr>
        <w:ind w:left="6930" w:hanging="360"/>
      </w:pPr>
    </w:lvl>
    <w:lvl w:ilvl="8" w:tplc="0409001B" w:tentative="1">
      <w:start w:val="1"/>
      <w:numFmt w:val="lowerRoman"/>
      <w:lvlText w:val="%9."/>
      <w:lvlJc w:val="right"/>
      <w:pPr>
        <w:ind w:left="7650" w:hanging="180"/>
      </w:pPr>
    </w:lvl>
  </w:abstractNum>
  <w:abstractNum w:abstractNumId="13">
    <w:nsid w:val="2F40739D"/>
    <w:multiLevelType w:val="hybridMultilevel"/>
    <w:tmpl w:val="6A5483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22201AD"/>
    <w:multiLevelType w:val="hybridMultilevel"/>
    <w:tmpl w:val="EF04107E"/>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9DD0529"/>
    <w:multiLevelType w:val="hybridMultilevel"/>
    <w:tmpl w:val="2C76FE74"/>
    <w:lvl w:ilvl="0" w:tplc="04090001">
      <w:start w:val="1"/>
      <w:numFmt w:val="bullet"/>
      <w:lvlText w:val=""/>
      <w:lvlJc w:val="left"/>
      <w:pPr>
        <w:ind w:left="1170" w:hanging="360"/>
      </w:pPr>
      <w:rPr>
        <w:rFonts w:ascii="Symbol" w:hAnsi="Symbol" w:hint="default"/>
      </w:rPr>
    </w:lvl>
    <w:lvl w:ilvl="1" w:tplc="04090003" w:tentative="1">
      <w:start w:val="1"/>
      <w:numFmt w:val="bullet"/>
      <w:lvlText w:val="o"/>
      <w:lvlJc w:val="left"/>
      <w:pPr>
        <w:ind w:left="1890" w:hanging="360"/>
      </w:pPr>
      <w:rPr>
        <w:rFonts w:ascii="Courier New" w:hAnsi="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16">
    <w:nsid w:val="5F1C7FF8"/>
    <w:multiLevelType w:val="hybridMultilevel"/>
    <w:tmpl w:val="2F44A47E"/>
    <w:lvl w:ilvl="0" w:tplc="B6EAB7FE">
      <w:start w:val="1"/>
      <w:numFmt w:val="lowerLetter"/>
      <w:lvlText w:val="%1."/>
      <w:lvlJc w:val="left"/>
      <w:pPr>
        <w:ind w:left="825" w:hanging="375"/>
      </w:pPr>
      <w:rPr>
        <w:rFonts w:cs="Times New Roman" w:hint="default"/>
      </w:rPr>
    </w:lvl>
    <w:lvl w:ilvl="1" w:tplc="04090019" w:tentative="1">
      <w:start w:val="1"/>
      <w:numFmt w:val="lowerLetter"/>
      <w:lvlText w:val="%2."/>
      <w:lvlJc w:val="left"/>
      <w:pPr>
        <w:ind w:left="1530" w:hanging="360"/>
      </w:pPr>
      <w:rPr>
        <w:rFonts w:cs="Times New Roman"/>
      </w:rPr>
    </w:lvl>
    <w:lvl w:ilvl="2" w:tplc="0409001B" w:tentative="1">
      <w:start w:val="1"/>
      <w:numFmt w:val="lowerRoman"/>
      <w:lvlText w:val="%3."/>
      <w:lvlJc w:val="right"/>
      <w:pPr>
        <w:ind w:left="2250" w:hanging="180"/>
      </w:pPr>
      <w:rPr>
        <w:rFonts w:cs="Times New Roman"/>
      </w:rPr>
    </w:lvl>
    <w:lvl w:ilvl="3" w:tplc="0409000F" w:tentative="1">
      <w:start w:val="1"/>
      <w:numFmt w:val="decimal"/>
      <w:lvlText w:val="%4."/>
      <w:lvlJc w:val="left"/>
      <w:pPr>
        <w:ind w:left="2970" w:hanging="360"/>
      </w:pPr>
      <w:rPr>
        <w:rFonts w:cs="Times New Roman"/>
      </w:rPr>
    </w:lvl>
    <w:lvl w:ilvl="4" w:tplc="04090019" w:tentative="1">
      <w:start w:val="1"/>
      <w:numFmt w:val="lowerLetter"/>
      <w:lvlText w:val="%5."/>
      <w:lvlJc w:val="left"/>
      <w:pPr>
        <w:ind w:left="3690" w:hanging="360"/>
      </w:pPr>
      <w:rPr>
        <w:rFonts w:cs="Times New Roman"/>
      </w:rPr>
    </w:lvl>
    <w:lvl w:ilvl="5" w:tplc="0409001B" w:tentative="1">
      <w:start w:val="1"/>
      <w:numFmt w:val="lowerRoman"/>
      <w:lvlText w:val="%6."/>
      <w:lvlJc w:val="right"/>
      <w:pPr>
        <w:ind w:left="4410" w:hanging="180"/>
      </w:pPr>
      <w:rPr>
        <w:rFonts w:cs="Times New Roman"/>
      </w:rPr>
    </w:lvl>
    <w:lvl w:ilvl="6" w:tplc="0409000F" w:tentative="1">
      <w:start w:val="1"/>
      <w:numFmt w:val="decimal"/>
      <w:lvlText w:val="%7."/>
      <w:lvlJc w:val="left"/>
      <w:pPr>
        <w:ind w:left="5130" w:hanging="360"/>
      </w:pPr>
      <w:rPr>
        <w:rFonts w:cs="Times New Roman"/>
      </w:rPr>
    </w:lvl>
    <w:lvl w:ilvl="7" w:tplc="04090019" w:tentative="1">
      <w:start w:val="1"/>
      <w:numFmt w:val="lowerLetter"/>
      <w:lvlText w:val="%8."/>
      <w:lvlJc w:val="left"/>
      <w:pPr>
        <w:ind w:left="5850" w:hanging="360"/>
      </w:pPr>
      <w:rPr>
        <w:rFonts w:cs="Times New Roman"/>
      </w:rPr>
    </w:lvl>
    <w:lvl w:ilvl="8" w:tplc="0409001B" w:tentative="1">
      <w:start w:val="1"/>
      <w:numFmt w:val="lowerRoman"/>
      <w:lvlText w:val="%9."/>
      <w:lvlJc w:val="right"/>
      <w:pPr>
        <w:ind w:left="6570" w:hanging="180"/>
      </w:pPr>
      <w:rPr>
        <w:rFonts w:cs="Times New Roman"/>
      </w:rPr>
    </w:lvl>
  </w:abstractNum>
  <w:abstractNum w:abstractNumId="17">
    <w:nsid w:val="6A55172E"/>
    <w:multiLevelType w:val="multilevel"/>
    <w:tmpl w:val="1136A33C"/>
    <w:lvl w:ilvl="0">
      <w:start w:val="1"/>
      <w:numFmt w:val="none"/>
      <w:pStyle w:val="awTB01questionHead"/>
      <w:suff w:val="nothing"/>
      <w:lvlText w:val="%1"/>
      <w:lvlJc w:val="left"/>
      <w:rPr>
        <w:rFonts w:cs="Times New Roman" w:hint="default"/>
      </w:rPr>
    </w:lvl>
    <w:lvl w:ilvl="1">
      <w:start w:val="1"/>
      <w:numFmt w:val="decimal"/>
      <w:pStyle w:val="awTB02question"/>
      <w:lvlText w:val="%2."/>
      <w:lvlJc w:val="left"/>
      <w:pPr>
        <w:tabs>
          <w:tab w:val="num" w:pos="547"/>
        </w:tabs>
        <w:ind w:left="547" w:hanging="547"/>
      </w:pPr>
      <w:rPr>
        <w:rFonts w:cs="Times New Roman" w:hint="default"/>
      </w:rPr>
    </w:lvl>
    <w:lvl w:ilvl="2">
      <w:start w:val="1"/>
      <w:numFmt w:val="lowerLetter"/>
      <w:pStyle w:val="awTB03distractor"/>
      <w:lvlText w:val="(%3)"/>
      <w:lvlJc w:val="left"/>
      <w:pPr>
        <w:tabs>
          <w:tab w:val="num" w:pos="907"/>
        </w:tabs>
        <w:ind w:left="907" w:hanging="360"/>
      </w:pPr>
      <w:rPr>
        <w:rFonts w:cs="Times New Roman" w:hint="default"/>
      </w:rPr>
    </w:lvl>
    <w:lvl w:ilvl="3">
      <w:start w:val="1"/>
      <w:numFmt w:val="none"/>
      <w:lvlText w:val="Answer:"/>
      <w:lvlJc w:val="left"/>
      <w:pPr>
        <w:tabs>
          <w:tab w:val="num" w:pos="1987"/>
        </w:tabs>
        <w:ind w:left="1411" w:hanging="864"/>
      </w:pPr>
      <w:rPr>
        <w:rFonts w:ascii="Times New Roman" w:hAnsi="Times New Roman" w:cs="Times New Roman" w:hint="default"/>
        <w:b w:val="0"/>
        <w:i w:val="0"/>
        <w:caps w:val="0"/>
        <w:smallCaps w:val="0"/>
        <w:strike w:val="0"/>
        <w:dstrike w:val="0"/>
        <w:snapToGrid w:val="0"/>
        <w:vanish w:val="0"/>
        <w:color w:val="000000"/>
        <w:spacing w:val="0"/>
        <w:kern w:val="0"/>
        <w:position w:val="0"/>
        <w:u w:val="none"/>
        <w:vertAlign w:val="baseline"/>
      </w:rPr>
    </w:lvl>
    <w:lvl w:ilvl="4">
      <w:start w:val="1"/>
      <w:numFmt w:val="none"/>
      <w:lvlText w:val="(%5)"/>
      <w:lvlJc w:val="left"/>
      <w:pPr>
        <w:tabs>
          <w:tab w:val="num" w:pos="2160"/>
        </w:tabs>
        <w:ind w:left="2160" w:hanging="360"/>
      </w:pPr>
      <w:rPr>
        <w:rFonts w:cs="Times New Roman" w:hint="default"/>
      </w:rPr>
    </w:lvl>
    <w:lvl w:ilvl="5">
      <w:start w:val="1"/>
      <w:numFmt w:val="none"/>
      <w:lvlText w:val="(%6)"/>
      <w:lvlJc w:val="left"/>
      <w:pPr>
        <w:tabs>
          <w:tab w:val="num" w:pos="2520"/>
        </w:tabs>
        <w:ind w:left="2520" w:hanging="360"/>
      </w:pPr>
      <w:rPr>
        <w:rFonts w:cs="Times New Roman" w:hint="default"/>
      </w:rPr>
    </w:lvl>
    <w:lvl w:ilvl="6">
      <w:start w:val="1"/>
      <w:numFmt w:val="none"/>
      <w:lvlText w:val="%7."/>
      <w:lvlJc w:val="left"/>
      <w:pPr>
        <w:tabs>
          <w:tab w:val="num" w:pos="2880"/>
        </w:tabs>
        <w:ind w:left="2880" w:hanging="360"/>
      </w:pPr>
      <w:rPr>
        <w:rFonts w:cs="Times New Roman" w:hint="default"/>
      </w:rPr>
    </w:lvl>
    <w:lvl w:ilvl="7">
      <w:start w:val="1"/>
      <w:numFmt w:val="none"/>
      <w:lvlText w:val="%8."/>
      <w:lvlJc w:val="left"/>
      <w:pPr>
        <w:tabs>
          <w:tab w:val="num" w:pos="3240"/>
        </w:tabs>
        <w:ind w:left="3240" w:hanging="360"/>
      </w:pPr>
      <w:rPr>
        <w:rFonts w:cs="Times New Roman" w:hint="default"/>
      </w:rPr>
    </w:lvl>
    <w:lvl w:ilvl="8">
      <w:start w:val="1"/>
      <w:numFmt w:val="none"/>
      <w:lvlText w:val="%9."/>
      <w:lvlJc w:val="left"/>
      <w:pPr>
        <w:tabs>
          <w:tab w:val="num" w:pos="3600"/>
        </w:tabs>
        <w:ind w:left="3600" w:hanging="360"/>
      </w:pPr>
      <w:rPr>
        <w:rFonts w:cs="Times New Roman" w:hint="default"/>
      </w:rPr>
    </w:lvl>
  </w:abstractNum>
  <w:abstractNum w:abstractNumId="18">
    <w:nsid w:val="70803C3A"/>
    <w:multiLevelType w:val="multilevel"/>
    <w:tmpl w:val="AFB09CF2"/>
    <w:lvl w:ilvl="0">
      <w:start w:val="1"/>
      <w:numFmt w:val="decimal"/>
      <w:lvlText w:val="%1."/>
      <w:lvlJc w:val="left"/>
      <w:pPr>
        <w:tabs>
          <w:tab w:val="num" w:pos="360"/>
        </w:tabs>
      </w:pPr>
      <w:rPr>
        <w:rFonts w:cs="Times New Roman" w:hint="default"/>
      </w:rPr>
    </w:lvl>
    <w:lvl w:ilvl="1">
      <w:start w:val="1"/>
      <w:numFmt w:val="lowerLetter"/>
      <w:pStyle w:val="MCA"/>
      <w:lvlText w:val="%2)"/>
      <w:lvlJc w:val="left"/>
      <w:pPr>
        <w:tabs>
          <w:tab w:val="num" w:pos="1080"/>
        </w:tabs>
        <w:ind w:left="720"/>
      </w:pPr>
      <w:rPr>
        <w:rFonts w:cs="Times New Roman" w:hint="default"/>
      </w:rPr>
    </w:lvl>
    <w:lvl w:ilvl="2">
      <w:start w:val="1"/>
      <w:numFmt w:val="decimal"/>
      <w:lvlText w:val="%3."/>
      <w:lvlJc w:val="left"/>
      <w:pPr>
        <w:tabs>
          <w:tab w:val="num" w:pos="1800"/>
        </w:tabs>
        <w:ind w:left="1440"/>
      </w:pPr>
      <w:rPr>
        <w:rFonts w:cs="Times New Roman" w:hint="default"/>
      </w:rPr>
    </w:lvl>
    <w:lvl w:ilvl="3">
      <w:start w:val="1"/>
      <w:numFmt w:val="lowerLetter"/>
      <w:lvlText w:val="%4)"/>
      <w:lvlJc w:val="left"/>
      <w:pPr>
        <w:tabs>
          <w:tab w:val="num" w:pos="2520"/>
        </w:tabs>
        <w:ind w:left="2160"/>
      </w:pPr>
      <w:rPr>
        <w:rFonts w:cs="Times New Roman" w:hint="default"/>
      </w:rPr>
    </w:lvl>
    <w:lvl w:ilvl="4">
      <w:start w:val="1"/>
      <w:numFmt w:val="decimal"/>
      <w:lvlText w:val="(%5)"/>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19">
    <w:nsid w:val="796A1FDB"/>
    <w:multiLevelType w:val="hybridMultilevel"/>
    <w:tmpl w:val="4ED6CA92"/>
    <w:lvl w:ilvl="0" w:tplc="F1C261AE">
      <w:start w:val="1"/>
      <w:numFmt w:val="upperRoman"/>
      <w:pStyle w:val="OutlineI"/>
      <w:lvlText w:val="%1."/>
      <w:lvlJc w:val="right"/>
      <w:pPr>
        <w:ind w:left="1350" w:hanging="360"/>
      </w:pPr>
    </w:lvl>
    <w:lvl w:ilvl="1" w:tplc="04090019" w:tentative="1">
      <w:start w:val="1"/>
      <w:numFmt w:val="lowerLetter"/>
      <w:lvlText w:val="%2."/>
      <w:lvlJc w:val="left"/>
      <w:pPr>
        <w:ind w:left="2070" w:hanging="360"/>
      </w:pPr>
    </w:lvl>
    <w:lvl w:ilvl="2" w:tplc="0409001B" w:tentative="1">
      <w:start w:val="1"/>
      <w:numFmt w:val="lowerRoman"/>
      <w:lvlText w:val="%3."/>
      <w:lvlJc w:val="right"/>
      <w:pPr>
        <w:ind w:left="2790" w:hanging="180"/>
      </w:pPr>
    </w:lvl>
    <w:lvl w:ilvl="3" w:tplc="0409000F" w:tentative="1">
      <w:start w:val="1"/>
      <w:numFmt w:val="decimal"/>
      <w:lvlText w:val="%4."/>
      <w:lvlJc w:val="left"/>
      <w:pPr>
        <w:ind w:left="3510" w:hanging="360"/>
      </w:pPr>
    </w:lvl>
    <w:lvl w:ilvl="4" w:tplc="04090019" w:tentative="1">
      <w:start w:val="1"/>
      <w:numFmt w:val="lowerLetter"/>
      <w:lvlText w:val="%5."/>
      <w:lvlJc w:val="left"/>
      <w:pPr>
        <w:ind w:left="4230" w:hanging="360"/>
      </w:pPr>
    </w:lvl>
    <w:lvl w:ilvl="5" w:tplc="0409001B" w:tentative="1">
      <w:start w:val="1"/>
      <w:numFmt w:val="lowerRoman"/>
      <w:lvlText w:val="%6."/>
      <w:lvlJc w:val="right"/>
      <w:pPr>
        <w:ind w:left="4950" w:hanging="180"/>
      </w:pPr>
    </w:lvl>
    <w:lvl w:ilvl="6" w:tplc="0409000F" w:tentative="1">
      <w:start w:val="1"/>
      <w:numFmt w:val="decimal"/>
      <w:lvlText w:val="%7."/>
      <w:lvlJc w:val="left"/>
      <w:pPr>
        <w:ind w:left="5670" w:hanging="360"/>
      </w:pPr>
    </w:lvl>
    <w:lvl w:ilvl="7" w:tplc="04090019" w:tentative="1">
      <w:start w:val="1"/>
      <w:numFmt w:val="lowerLetter"/>
      <w:lvlText w:val="%8."/>
      <w:lvlJc w:val="left"/>
      <w:pPr>
        <w:ind w:left="6390" w:hanging="360"/>
      </w:pPr>
    </w:lvl>
    <w:lvl w:ilvl="8" w:tplc="0409001B" w:tentative="1">
      <w:start w:val="1"/>
      <w:numFmt w:val="lowerRoman"/>
      <w:lvlText w:val="%9."/>
      <w:lvlJc w:val="right"/>
      <w:pPr>
        <w:ind w:left="7110" w:hanging="180"/>
      </w:pPr>
    </w:lvl>
  </w:abstractNum>
  <w:num w:numId="1">
    <w:abstractNumId w:val="9"/>
  </w:num>
  <w:num w:numId="2">
    <w:abstractNumId w:val="18"/>
  </w:num>
  <w:num w:numId="3">
    <w:abstractNumId w:val="9"/>
  </w:num>
  <w:num w:numId="4">
    <w:abstractNumId w:val="17"/>
  </w:num>
  <w:num w:numId="5">
    <w:abstractNumId w:val="7"/>
  </w:num>
  <w:num w:numId="6">
    <w:abstractNumId w:val="6"/>
  </w:num>
  <w:num w:numId="7">
    <w:abstractNumId w:val="5"/>
  </w:num>
  <w:num w:numId="8">
    <w:abstractNumId w:val="4"/>
  </w:num>
  <w:num w:numId="9">
    <w:abstractNumId w:val="8"/>
  </w:num>
  <w:num w:numId="10">
    <w:abstractNumId w:val="3"/>
  </w:num>
  <w:num w:numId="11">
    <w:abstractNumId w:val="2"/>
  </w:num>
  <w:num w:numId="12">
    <w:abstractNumId w:val="1"/>
  </w:num>
  <w:num w:numId="13">
    <w:abstractNumId w:val="0"/>
  </w:num>
  <w:num w:numId="14">
    <w:abstractNumId w:val="10"/>
  </w:num>
  <w:num w:numId="15">
    <w:abstractNumId w:val="17"/>
  </w:num>
  <w:num w:numId="16">
    <w:abstractNumId w:val="15"/>
  </w:num>
  <w:num w:numId="17">
    <w:abstractNumId w:val="16"/>
  </w:num>
  <w:num w:numId="18">
    <w:abstractNumId w:val="13"/>
  </w:num>
  <w:num w:numId="19">
    <w:abstractNumId w:val="14"/>
  </w:num>
  <w:num w:numId="20">
    <w:abstractNumId w:val="11"/>
  </w:num>
  <w:num w:numId="21">
    <w:abstractNumId w:val="12"/>
  </w:num>
  <w:num w:numId="22">
    <w:abstractNumId w:val="19"/>
  </w:num>
  <w:num w:numId="23">
    <w:abstractNumId w:val="12"/>
    <w:lvlOverride w:ilvl="0">
      <w:startOverride w:val="1"/>
    </w:lvlOverride>
  </w:num>
  <w:num w:numId="24">
    <w:abstractNumId w:val="12"/>
    <w:lvlOverride w:ilvl="0">
      <w:startOverride w:val="1"/>
    </w:lvlOverride>
  </w:num>
  <w:num w:numId="25">
    <w:abstractNumId w:val="12"/>
    <w:lvlOverride w:ilvl="0">
      <w:startOverride w:val="1"/>
    </w:lvlOverride>
  </w:num>
  <w:num w:numId="26">
    <w:abstractNumId w:val="12"/>
    <w:lvlOverride w:ilvl="0">
      <w:startOverride w:val="1"/>
    </w:lvlOverride>
  </w:num>
  <w:num w:numId="27">
    <w:abstractNumId w:val="11"/>
    <w:lvlOverride w:ilvl="0">
      <w:startOverride w:val="1"/>
    </w:lvlOverride>
  </w:num>
  <w:num w:numId="28">
    <w:abstractNumId w:val="1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5"/>
  <w:mirrorMargins/>
  <w:proofState w:spelling="clean" w:grammar="clean"/>
  <w:doNotTrackFormatting/>
  <w:defaultTabStop w:val="720"/>
  <w:evenAndOddHeaders/>
  <w:drawingGridHorizontalSpacing w:val="75"/>
  <w:drawingGridVerticalSpacing w:val="102"/>
  <w:displayHorizontalDrawingGridEvery w:val="0"/>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hapterid" w:val="30326"/>
    <w:docVar w:name="projectid" w:val="3143"/>
    <w:docVar w:name="projectname" w:val="BSP_moffett_fund_multintl_fin_im_4e"/>
    <w:docVar w:name="RAP_URL" w:val="http://writerap.pearson.com/pena"/>
    <w:docVar w:name="rapVersion" w:val="2"/>
    <w:docVar w:name="saved" w:val="0"/>
    <w:docVar w:name="templateID" w:val="159"/>
    <w:docVar w:name="templateName" w:val="-- NO TEMPLATE --"/>
    <w:docVar w:name="wrToolbarVersion" w:val="2010/03/17"/>
  </w:docVars>
  <w:rsids>
    <w:rsidRoot w:val="00F14FF7"/>
    <w:rsid w:val="000A46A0"/>
    <w:rsid w:val="001F0B88"/>
    <w:rsid w:val="00326599"/>
    <w:rsid w:val="003D4C38"/>
    <w:rsid w:val="004D6599"/>
    <w:rsid w:val="006C50DC"/>
    <w:rsid w:val="00D923E1"/>
    <w:rsid w:val="00DD09D1"/>
    <w:rsid w:val="00EF6C20"/>
    <w:rsid w:val="00F14FF7"/>
    <w:rsid w:val="00F874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1">
    <w:name w:val="List1"/>
    <w:basedOn w:val="Normal"/>
    <w:pPr>
      <w:keepNext/>
      <w:tabs>
        <w:tab w:val="left" w:pos="504"/>
      </w:tabs>
      <w:spacing w:before="200"/>
      <w:ind w:left="504" w:hanging="504"/>
    </w:pPr>
    <w:rPr>
      <w:rFonts w:ascii="Times" w:hAnsi="Times"/>
      <w:bCs/>
      <w:sz w:val="22"/>
    </w:rPr>
  </w:style>
  <w:style w:type="paragraph" w:customStyle="1" w:styleId="List2">
    <w:name w:val="List2"/>
    <w:basedOn w:val="Normal"/>
    <w:pPr>
      <w:keepNext/>
      <w:tabs>
        <w:tab w:val="left" w:pos="907"/>
      </w:tabs>
      <w:spacing w:before="80" w:after="60"/>
      <w:ind w:left="907" w:hanging="403"/>
    </w:pPr>
    <w:rPr>
      <w:rFonts w:ascii="Times" w:hAnsi="Times"/>
      <w:sz w:val="22"/>
    </w:rPr>
  </w:style>
  <w:style w:type="paragraph" w:customStyle="1" w:styleId="List3">
    <w:name w:val="List3"/>
    <w:basedOn w:val="Normal"/>
    <w:pPr>
      <w:keepNext/>
      <w:tabs>
        <w:tab w:val="left" w:pos="1195"/>
      </w:tabs>
      <w:spacing w:after="40"/>
      <w:ind w:left="1195" w:hanging="288"/>
    </w:pPr>
    <w:rPr>
      <w:rFonts w:ascii="Times" w:hAnsi="Times"/>
      <w:sz w:val="22"/>
    </w:rPr>
  </w:style>
  <w:style w:type="paragraph" w:customStyle="1" w:styleId="List4">
    <w:name w:val="List4"/>
    <w:basedOn w:val="Normal"/>
    <w:pPr>
      <w:keepNext/>
      <w:tabs>
        <w:tab w:val="left" w:pos="1483"/>
      </w:tabs>
      <w:spacing w:after="40"/>
      <w:ind w:left="1483" w:hanging="288"/>
    </w:pPr>
    <w:rPr>
      <w:rFonts w:ascii="Times" w:hAnsi="Times"/>
      <w:sz w:val="22"/>
    </w:rPr>
  </w:style>
  <w:style w:type="paragraph" w:customStyle="1" w:styleId="List5">
    <w:name w:val="List5"/>
    <w:basedOn w:val="Normal"/>
    <w:pPr>
      <w:keepNext/>
      <w:tabs>
        <w:tab w:val="left" w:pos="1915"/>
        <w:tab w:val="left" w:pos="1944"/>
      </w:tabs>
      <w:spacing w:after="40"/>
      <w:ind w:left="1944" w:hanging="446"/>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keepNext/>
    </w:pPr>
    <w:rPr>
      <w:rFonts w:ascii="Times" w:hAnsi="Times"/>
      <w:sz w:val="22"/>
    </w:rPr>
  </w:style>
  <w:style w:type="paragraph" w:customStyle="1" w:styleId="MCQ">
    <w:name w:val="MCQ"/>
    <w:basedOn w:val="Normal"/>
    <w:pPr>
      <w:keepNext/>
      <w:tabs>
        <w:tab w:val="left" w:pos="1771"/>
        <w:tab w:val="left" w:pos="2160"/>
      </w:tabs>
      <w:spacing w:before="200" w:after="60"/>
      <w:ind w:left="2160" w:hanging="2160"/>
    </w:pPr>
    <w:rPr>
      <w:rFonts w:ascii="Times" w:hAnsi="Times"/>
      <w:sz w:val="22"/>
    </w:rPr>
  </w:style>
  <w:style w:type="paragraph" w:customStyle="1" w:styleId="MCA">
    <w:name w:val="MCA"/>
    <w:basedOn w:val="Normal"/>
    <w:pPr>
      <w:numPr>
        <w:ilvl w:val="1"/>
        <w:numId w:val="2"/>
      </w:numPr>
      <w:tabs>
        <w:tab w:val="clear" w:pos="1080"/>
        <w:tab w:val="num" w:pos="750"/>
      </w:tabs>
      <w:ind w:left="750" w:hanging="375"/>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z w:val="22"/>
    </w:rPr>
  </w:style>
  <w:style w:type="paragraph" w:customStyle="1" w:styleId="awTBfigCap">
    <w:name w:val="awTB_figCap"/>
    <w:basedOn w:val="Normal"/>
    <w:pPr>
      <w:keepNext/>
      <w:keepLines/>
      <w:spacing w:before="40" w:after="40"/>
      <w:ind w:left="387"/>
      <w:outlineLvl w:val="1"/>
    </w:pPr>
    <w:rPr>
      <w:rFonts w:ascii="Times" w:hAnsi="Times"/>
      <w:i/>
      <w:sz w:val="22"/>
    </w:rPr>
  </w:style>
  <w:style w:type="paragraph" w:customStyle="1" w:styleId="awTB02question">
    <w:name w:val="awTB_02_question"/>
    <w:basedOn w:val="Normal"/>
    <w:next w:val="Normal"/>
    <w:pPr>
      <w:keepNext/>
      <w:keepLines/>
      <w:numPr>
        <w:ilvl w:val="1"/>
        <w:numId w:val="4"/>
      </w:numPr>
      <w:tabs>
        <w:tab w:val="left" w:pos="640"/>
      </w:tabs>
      <w:spacing w:before="200" w:after="60"/>
      <w:outlineLvl w:val="2"/>
    </w:pPr>
    <w:rPr>
      <w:rFonts w:ascii="Times" w:hAnsi="Times"/>
      <w:sz w:val="22"/>
    </w:rPr>
  </w:style>
  <w:style w:type="paragraph" w:customStyle="1" w:styleId="awTB03distractor">
    <w:name w:val="awTB_03_distractor"/>
    <w:basedOn w:val="Normal"/>
    <w:pPr>
      <w:keepNext/>
      <w:keepLines/>
      <w:numPr>
        <w:ilvl w:val="2"/>
        <w:numId w:val="4"/>
      </w:numPr>
      <w:tabs>
        <w:tab w:val="left" w:pos="720"/>
      </w:tabs>
      <w:spacing w:after="40"/>
      <w:outlineLvl w:val="2"/>
    </w:pPr>
    <w:rPr>
      <w:rFonts w:ascii="Times" w:hAnsi="Times"/>
      <w:sz w:val="22"/>
    </w:rPr>
  </w:style>
  <w:style w:type="paragraph" w:customStyle="1" w:styleId="awTB01questionHead">
    <w:name w:val="awTB_01_questionHead"/>
    <w:basedOn w:val="Normal"/>
    <w:pPr>
      <w:keepNext/>
      <w:keepLines/>
      <w:numPr>
        <w:numId w:val="4"/>
      </w:numPr>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rPr>
      <w:rFonts w:cs="Times New Roman"/>
    </w:rPr>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hAnsi="Times"/>
      <w:noProof/>
      <w:sz w:val="18"/>
    </w:rPr>
  </w:style>
  <w:style w:type="paragraph" w:customStyle="1" w:styleId="awTB03distractorLast">
    <w:name w:val="awTB_03_distractor_Last"/>
    <w:basedOn w:val="awTB03distractor"/>
    <w:pPr>
      <w:keepNext w:val="0"/>
    </w:pPr>
  </w:style>
  <w:style w:type="paragraph" w:customStyle="1" w:styleId="KTtext">
    <w:name w:val="KT_text"/>
    <w:basedOn w:val="T1"/>
    <w:rPr>
      <w:szCs w:val="19"/>
    </w:rPr>
  </w:style>
  <w:style w:type="paragraph" w:styleId="BodyTextIndent">
    <w:name w:val="Body Text Indent"/>
    <w:basedOn w:val="Normal"/>
    <w:semiHidden/>
    <w:pPr>
      <w:tabs>
        <w:tab w:val="left" w:pos="720"/>
      </w:tabs>
      <w:ind w:left="677" w:hanging="288"/>
    </w:pPr>
  </w:style>
  <w:style w:type="paragraph" w:customStyle="1" w:styleId="Problemlist1">
    <w:name w:val="Problem_list1"/>
    <w:basedOn w:val="awTB02question"/>
    <w:pPr>
      <w:numPr>
        <w:ilvl w:val="0"/>
        <w:numId w:val="0"/>
      </w:numPr>
      <w:tabs>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0"/>
        <w:tab w:val="left" w:pos="450"/>
      </w:tabs>
      <w:ind w:left="450" w:hanging="450"/>
    </w:pPr>
  </w:style>
  <w:style w:type="paragraph" w:customStyle="1" w:styleId="MCQList2">
    <w:name w:val="MCQ_List2"/>
    <w:basedOn w:val="Normal"/>
    <w:pPr>
      <w:keepLines/>
      <w:tabs>
        <w:tab w:val="left" w:pos="825"/>
      </w:tabs>
      <w:spacing w:after="40"/>
      <w:ind w:left="825" w:hanging="375"/>
      <w:outlineLvl w:val="2"/>
    </w:pPr>
    <w:rPr>
      <w:rFonts w:ascii="Times" w:hAnsi="Times"/>
      <w:sz w:val="22"/>
    </w:r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clear" w:pos="1483"/>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pPr>
      <w:numPr>
        <w:numId w:val="3"/>
      </w:numPr>
    </w:pPr>
  </w:style>
  <w:style w:type="paragraph" w:customStyle="1" w:styleId="CO">
    <w:name w:val="CO"/>
    <w:basedOn w:val="MCQList1"/>
    <w:pPr>
      <w:spacing w:before="0"/>
      <w:ind w:left="403" w:hanging="403"/>
    </w:pPr>
  </w:style>
  <w:style w:type="paragraph" w:customStyle="1" w:styleId="TF">
    <w:name w:val="TF"/>
    <w:basedOn w:val="CO"/>
    <w:pPr>
      <w:tabs>
        <w:tab w:val="left" w:pos="1901"/>
      </w:tabs>
      <w:ind w:left="1901" w:hanging="1901"/>
    </w:pPr>
  </w:style>
  <w:style w:type="paragraph" w:customStyle="1" w:styleId="PG">
    <w:name w:val="PG"/>
    <w:basedOn w:val="MCQList1"/>
  </w:style>
  <w:style w:type="paragraph" w:customStyle="1" w:styleId="SubList5">
    <w:name w:val="SubList5"/>
    <w:basedOn w:val="List5"/>
    <w:pPr>
      <w:tabs>
        <w:tab w:val="clear" w:pos="1915"/>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paragraph" w:styleId="BodyTextIndent2">
    <w:name w:val="Body Text Indent 2"/>
    <w:basedOn w:val="Normal"/>
    <w:semiHidden/>
    <w:pPr>
      <w:tabs>
        <w:tab w:val="left" w:pos="360"/>
        <w:tab w:val="left" w:pos="720"/>
        <w:tab w:val="left" w:pos="1080"/>
        <w:tab w:val="left" w:pos="1440"/>
        <w:tab w:val="left" w:pos="1800"/>
        <w:tab w:val="left" w:pos="2160"/>
        <w:tab w:val="left" w:pos="2520"/>
        <w:tab w:val="left" w:pos="3150"/>
        <w:tab w:val="left" w:pos="3870"/>
        <w:tab w:val="left" w:pos="4590"/>
        <w:tab w:val="left" w:pos="5310"/>
        <w:tab w:val="left" w:pos="6030"/>
        <w:tab w:val="left" w:pos="6750"/>
        <w:tab w:val="left" w:pos="7470"/>
        <w:tab w:val="left" w:pos="8190"/>
        <w:tab w:val="left" w:pos="8910"/>
      </w:tabs>
      <w:ind w:left="1080" w:hanging="1080"/>
    </w:pPr>
  </w:style>
  <w:style w:type="paragraph" w:styleId="BodyTextIndent3">
    <w:name w:val="Body Text Indent 3"/>
    <w:basedOn w:val="Normal"/>
    <w:semiHidden/>
    <w:pPr>
      <w:tabs>
        <w:tab w:val="left" w:pos="-720"/>
        <w:tab w:val="left" w:pos="360"/>
        <w:tab w:val="left" w:pos="720"/>
        <w:tab w:val="left" w:pos="1080"/>
        <w:tab w:val="left" w:pos="1440"/>
        <w:tab w:val="left" w:pos="1800"/>
        <w:tab w:val="left" w:pos="2160"/>
        <w:tab w:val="left" w:pos="2520"/>
        <w:tab w:val="left" w:pos="2880"/>
        <w:tab w:val="left" w:pos="3600"/>
        <w:tab w:val="left" w:pos="4320"/>
        <w:tab w:val="left" w:pos="5040"/>
        <w:tab w:val="left" w:pos="5760"/>
        <w:tab w:val="left" w:pos="6480"/>
        <w:tab w:val="left" w:pos="7200"/>
        <w:tab w:val="left" w:pos="7920"/>
        <w:tab w:val="left" w:pos="8640"/>
      </w:tabs>
      <w:ind w:left="360" w:hanging="360"/>
    </w:pPr>
  </w:style>
  <w:style w:type="character" w:styleId="Hyperlink">
    <w:name w:val="Hyperlink"/>
    <w:basedOn w:val="DefaultParagraphFont"/>
    <w:semiHidden/>
    <w:rPr>
      <w:rFonts w:cs="Times New Roman"/>
      <w:color w:val="0000FF"/>
      <w:u w:val="single"/>
    </w:rPr>
  </w:style>
  <w:style w:type="paragraph" w:customStyle="1" w:styleId="TFQ">
    <w:name w:val="TFQ"/>
    <w:basedOn w:val="T1"/>
    <w:pPr>
      <w:tabs>
        <w:tab w:val="left" w:pos="446"/>
      </w:tabs>
      <w:spacing w:before="200"/>
      <w:ind w:left="446" w:hanging="446"/>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after="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paragraph" w:customStyle="1" w:styleId="list1sub">
    <w:name w:val="list1_sub"/>
    <w:basedOn w:val="List2"/>
    <w:pPr>
      <w:ind w:left="504" w:firstLine="0"/>
    </w:pPr>
  </w:style>
  <w:style w:type="paragraph" w:customStyle="1" w:styleId="List10">
    <w:name w:val="List1."/>
    <w:basedOn w:val="List2"/>
    <w:pPr>
      <w:tabs>
        <w:tab w:val="clear" w:pos="907"/>
      </w:tabs>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spacing w:before="120"/>
    </w:pPr>
  </w:style>
  <w:style w:type="paragraph" w:customStyle="1" w:styleId="MCQList1a">
    <w:name w:val="MCQ_List1a"/>
    <w:basedOn w:val="MCQList1"/>
    <w:pPr>
      <w:tabs>
        <w:tab w:val="clear" w:pos="270"/>
        <w:tab w:val="right" w:pos="274"/>
        <w:tab w:val="left" w:pos="825"/>
      </w:tabs>
      <w:ind w:left="825" w:hanging="825"/>
    </w:pPr>
  </w:style>
  <w:style w:type="paragraph" w:customStyle="1" w:styleId="MCQList2sub">
    <w:name w:val="MCQ_List2_sub"/>
    <w:basedOn w:val="MCQList2"/>
    <w:pPr>
      <w:tabs>
        <w:tab w:val="clear" w:pos="825"/>
        <w:tab w:val="left" w:pos="821"/>
        <w:tab w:val="left" w:pos="1200"/>
      </w:tabs>
      <w:ind w:left="1200" w:hanging="754"/>
    </w:pPr>
  </w:style>
  <w:style w:type="paragraph" w:customStyle="1" w:styleId="OutlineI">
    <w:name w:val="Outline_I"/>
    <w:basedOn w:val="Normal"/>
    <w:qFormat/>
    <w:rsid w:val="00D923E1"/>
    <w:pPr>
      <w:numPr>
        <w:numId w:val="22"/>
      </w:numPr>
      <w:spacing w:before="60"/>
      <w:ind w:left="1170"/>
    </w:pPr>
    <w:rPr>
      <w:rFonts w:ascii="Times" w:eastAsiaTheme="minorHAnsi" w:hAnsi="Times" w:cs="Times"/>
      <w:sz w:val="22"/>
      <w:szCs w:val="24"/>
    </w:rPr>
  </w:style>
  <w:style w:type="paragraph" w:customStyle="1" w:styleId="OutlineA">
    <w:name w:val="Outline_A"/>
    <w:basedOn w:val="Normal"/>
    <w:qFormat/>
    <w:rsid w:val="00D923E1"/>
    <w:pPr>
      <w:numPr>
        <w:numId w:val="20"/>
      </w:numPr>
      <w:spacing w:before="60"/>
      <w:ind w:left="1526"/>
    </w:pPr>
    <w:rPr>
      <w:rFonts w:ascii="Times" w:eastAsiaTheme="minorHAnsi" w:hAnsi="Times" w:cs="Times"/>
      <w:sz w:val="22"/>
      <w:szCs w:val="24"/>
    </w:rPr>
  </w:style>
  <w:style w:type="paragraph" w:customStyle="1" w:styleId="Outlline1">
    <w:name w:val="Outlline_1"/>
    <w:basedOn w:val="Normal"/>
    <w:qFormat/>
    <w:rsid w:val="00D923E1"/>
    <w:pPr>
      <w:numPr>
        <w:numId w:val="21"/>
      </w:numPr>
      <w:spacing w:before="60"/>
    </w:pPr>
    <w:rPr>
      <w:rFonts w:ascii="Times" w:eastAsiaTheme="minorHAnsi" w:hAnsi="Times" w:cs="Times"/>
      <w:sz w:val="22"/>
      <w:szCs w:val="24"/>
    </w:rPr>
  </w:style>
  <w:style w:type="paragraph" w:customStyle="1" w:styleId="MCQAnswer">
    <w:name w:val="MCQ_Answer"/>
    <w:basedOn w:val="Normal"/>
    <w:qFormat/>
    <w:rsid w:val="00D923E1"/>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D923E1"/>
    <w:pPr>
      <w:spacing w:after="60"/>
      <w:ind w:left="837" w:hanging="391"/>
    </w:pPr>
    <w:rPr>
      <w:rFonts w:ascii="Arial Narrow" w:hAnsi="Arial Narrow"/>
      <w:spacing w:val="-2"/>
      <w:sz w:val="22"/>
      <w:szCs w:val="24"/>
    </w:rPr>
  </w:style>
  <w:style w:type="paragraph" w:customStyle="1" w:styleId="LearningObjectives">
    <w:name w:val="LearningObjectives"/>
    <w:basedOn w:val="Normal"/>
    <w:qFormat/>
    <w:rsid w:val="00D923E1"/>
    <w:pPr>
      <w:spacing w:before="120" w:line="259" w:lineRule="auto"/>
      <w:ind w:left="720" w:hanging="360"/>
    </w:pPr>
    <w:rPr>
      <w:rFonts w:ascii="Times" w:eastAsiaTheme="minorHAnsi" w:hAnsi="Times" w:cs="Times"/>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semiHidden="0" w:uiPriority="9" w:unhideWhenUsed="0" w:qFormat="1"/>
    <w:lsdException w:name="heading 6" w:semiHidden="0" w:uiPriority="9" w:unhideWhenUsed="0" w:qFormat="1"/>
    <w:lsdException w:name="heading 7" w:semiHidden="0" w:uiPriority="9" w:unhideWhenUsed="0" w:qFormat="1"/>
    <w:lsdException w:name="heading 8" w:semiHidden="0" w:uiPriority="9" w:unhideWhenUsed="0" w:qFormat="1"/>
    <w:lsdException w:name="heading 9" w:semiHidden="0" w:uiPriority="9" w:unhideWhenUsed="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qFormat/>
    <w:pPr>
      <w:keepNext/>
      <w:jc w:val="center"/>
      <w:outlineLvl w:val="0"/>
    </w:pPr>
    <w:rPr>
      <w:sz w:val="24"/>
    </w:rPr>
  </w:style>
  <w:style w:type="paragraph" w:styleId="Heading2">
    <w:name w:val="heading 2"/>
    <w:basedOn w:val="Normal"/>
    <w:next w:val="Normal"/>
    <w:qFormat/>
    <w:pPr>
      <w:keepNext/>
      <w:outlineLvl w:val="1"/>
    </w:pPr>
    <w:rPr>
      <w:b/>
      <w:sz w:val="24"/>
      <w:u w:val="single"/>
    </w:rPr>
  </w:style>
  <w:style w:type="paragraph" w:styleId="Heading3">
    <w:name w:val="heading 3"/>
    <w:basedOn w:val="Normal"/>
    <w:next w:val="Normal"/>
    <w:qFormat/>
    <w:pPr>
      <w:keepNext/>
      <w:outlineLvl w:val="2"/>
    </w:pPr>
    <w:rPr>
      <w:sz w:val="24"/>
    </w:rPr>
  </w:style>
  <w:style w:type="paragraph" w:styleId="Heading4">
    <w:name w:val="heading 4"/>
    <w:basedOn w:val="Normal"/>
    <w:next w:val="Normal"/>
    <w:qFormat/>
    <w:pPr>
      <w:keepNext/>
      <w:tabs>
        <w:tab w:val="left" w:pos="720"/>
      </w:tabs>
      <w:spacing w:line="-240" w:lineRule="auto"/>
      <w:outlineLvl w:val="3"/>
    </w:pPr>
    <w:rPr>
      <w:b/>
      <w:sz w:val="24"/>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i/>
      <w:sz w:val="22"/>
    </w:rPr>
  </w:style>
  <w:style w:type="paragraph" w:styleId="Heading7">
    <w:name w:val="heading 7"/>
    <w:basedOn w:val="Normal"/>
    <w:next w:val="Normal"/>
    <w:qFormat/>
    <w:pPr>
      <w:spacing w:before="240" w:after="60"/>
      <w:outlineLvl w:val="6"/>
    </w:pPr>
    <w:rPr>
      <w:rFonts w:ascii="Arial" w:hAnsi="Arial"/>
    </w:rPr>
  </w:style>
  <w:style w:type="paragraph" w:styleId="Heading8">
    <w:name w:val="heading 8"/>
    <w:basedOn w:val="Normal"/>
    <w:next w:val="Normal"/>
    <w:qFormat/>
    <w:pPr>
      <w:spacing w:before="240" w:after="60"/>
      <w:outlineLvl w:val="7"/>
    </w:pPr>
    <w:rPr>
      <w:rFonts w:ascii="Arial" w:hAnsi="Arial"/>
      <w:i/>
    </w:rPr>
  </w:style>
  <w:style w:type="paragraph" w:styleId="Heading9">
    <w:name w:val="heading 9"/>
    <w:basedOn w:val="Normal"/>
    <w:next w:val="Normal"/>
    <w:qFormat/>
    <w:pPr>
      <w:spacing w:before="240" w:after="60"/>
      <w:outlineLvl w:val="8"/>
    </w:pPr>
    <w:rPr>
      <w:rFonts w:ascii="Arial" w:hAnsi="Arial"/>
      <w:b/>
      <w:i/>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ist1">
    <w:name w:val="List1"/>
    <w:basedOn w:val="Normal"/>
    <w:pPr>
      <w:keepNext/>
      <w:tabs>
        <w:tab w:val="left" w:pos="504"/>
      </w:tabs>
      <w:spacing w:before="200"/>
      <w:ind w:left="504" w:hanging="504"/>
    </w:pPr>
    <w:rPr>
      <w:rFonts w:ascii="Times" w:hAnsi="Times"/>
      <w:bCs/>
      <w:sz w:val="22"/>
    </w:rPr>
  </w:style>
  <w:style w:type="paragraph" w:customStyle="1" w:styleId="List2">
    <w:name w:val="List2"/>
    <w:basedOn w:val="Normal"/>
    <w:pPr>
      <w:keepNext/>
      <w:tabs>
        <w:tab w:val="left" w:pos="907"/>
      </w:tabs>
      <w:spacing w:before="80" w:after="60"/>
      <w:ind w:left="907" w:hanging="403"/>
    </w:pPr>
    <w:rPr>
      <w:rFonts w:ascii="Times" w:hAnsi="Times"/>
      <w:sz w:val="22"/>
    </w:rPr>
  </w:style>
  <w:style w:type="paragraph" w:customStyle="1" w:styleId="List3">
    <w:name w:val="List3"/>
    <w:basedOn w:val="Normal"/>
    <w:pPr>
      <w:keepNext/>
      <w:tabs>
        <w:tab w:val="left" w:pos="1195"/>
      </w:tabs>
      <w:spacing w:after="40"/>
      <w:ind w:left="1195" w:hanging="288"/>
    </w:pPr>
    <w:rPr>
      <w:rFonts w:ascii="Times" w:hAnsi="Times"/>
      <w:sz w:val="22"/>
    </w:rPr>
  </w:style>
  <w:style w:type="paragraph" w:customStyle="1" w:styleId="List4">
    <w:name w:val="List4"/>
    <w:basedOn w:val="Normal"/>
    <w:pPr>
      <w:keepNext/>
      <w:tabs>
        <w:tab w:val="left" w:pos="1483"/>
      </w:tabs>
      <w:spacing w:after="40"/>
      <w:ind w:left="1483" w:hanging="288"/>
    </w:pPr>
    <w:rPr>
      <w:rFonts w:ascii="Times" w:hAnsi="Times"/>
      <w:sz w:val="22"/>
    </w:rPr>
  </w:style>
  <w:style w:type="paragraph" w:customStyle="1" w:styleId="List5">
    <w:name w:val="List5"/>
    <w:basedOn w:val="Normal"/>
    <w:pPr>
      <w:keepNext/>
      <w:tabs>
        <w:tab w:val="left" w:pos="1915"/>
        <w:tab w:val="left" w:pos="1944"/>
      </w:tabs>
      <w:spacing w:after="40"/>
      <w:ind w:left="1944" w:hanging="446"/>
    </w:pPr>
    <w:rPr>
      <w:rFonts w:ascii="Times" w:hAnsi="Times"/>
      <w:sz w:val="22"/>
    </w:rPr>
  </w:style>
  <w:style w:type="paragraph" w:customStyle="1" w:styleId="H2">
    <w:name w:val="H2"/>
    <w:basedOn w:val="Heading3"/>
    <w:pPr>
      <w:spacing w:before="240" w:after="100"/>
      <w:ind w:right="504"/>
      <w:outlineLvl w:val="0"/>
    </w:pPr>
    <w:rPr>
      <w:rFonts w:ascii="Helvetica" w:hAnsi="Helvetica"/>
      <w:b/>
      <w:bCs/>
      <w:szCs w:val="22"/>
    </w:rPr>
  </w:style>
  <w:style w:type="paragraph" w:customStyle="1" w:styleId="T1">
    <w:name w:val="T1"/>
    <w:basedOn w:val="Normal"/>
    <w:pPr>
      <w:keepNext/>
    </w:pPr>
    <w:rPr>
      <w:rFonts w:ascii="Times" w:hAnsi="Times"/>
      <w:sz w:val="22"/>
    </w:rPr>
  </w:style>
  <w:style w:type="paragraph" w:customStyle="1" w:styleId="MCQ">
    <w:name w:val="MCQ"/>
    <w:basedOn w:val="Normal"/>
    <w:pPr>
      <w:keepNext/>
      <w:tabs>
        <w:tab w:val="left" w:pos="1771"/>
        <w:tab w:val="left" w:pos="2160"/>
      </w:tabs>
      <w:spacing w:before="200" w:after="60"/>
      <w:ind w:left="2160" w:hanging="2160"/>
    </w:pPr>
    <w:rPr>
      <w:rFonts w:ascii="Times" w:hAnsi="Times"/>
      <w:sz w:val="22"/>
    </w:rPr>
  </w:style>
  <w:style w:type="paragraph" w:customStyle="1" w:styleId="MCA">
    <w:name w:val="MCA"/>
    <w:basedOn w:val="Normal"/>
    <w:pPr>
      <w:numPr>
        <w:ilvl w:val="1"/>
        <w:numId w:val="2"/>
      </w:numPr>
      <w:tabs>
        <w:tab w:val="clear" w:pos="1080"/>
        <w:tab w:val="num" w:pos="750"/>
      </w:tabs>
      <w:ind w:left="750" w:hanging="375"/>
    </w:pPr>
    <w:rPr>
      <w:rFonts w:ascii="Times" w:hAnsi="Times"/>
      <w:sz w:val="22"/>
    </w:rPr>
  </w:style>
  <w:style w:type="paragraph" w:customStyle="1" w:styleId="awTBfig">
    <w:name w:val="awTB_fig"/>
    <w:basedOn w:val="Normal"/>
    <w:next w:val="Normal"/>
    <w:pPr>
      <w:keepNext/>
      <w:keepLines/>
      <w:spacing w:before="200" w:after="40"/>
      <w:ind w:left="389"/>
      <w:outlineLvl w:val="1"/>
    </w:pPr>
    <w:rPr>
      <w:rFonts w:ascii="Times" w:hAnsi="Times"/>
      <w:sz w:val="22"/>
    </w:rPr>
  </w:style>
  <w:style w:type="paragraph" w:customStyle="1" w:styleId="awTBfigCap">
    <w:name w:val="awTB_figCap"/>
    <w:basedOn w:val="Normal"/>
    <w:pPr>
      <w:keepNext/>
      <w:keepLines/>
      <w:spacing w:before="40" w:after="40"/>
      <w:ind w:left="387"/>
      <w:outlineLvl w:val="1"/>
    </w:pPr>
    <w:rPr>
      <w:rFonts w:ascii="Times" w:hAnsi="Times"/>
      <w:i/>
      <w:sz w:val="22"/>
    </w:rPr>
  </w:style>
  <w:style w:type="paragraph" w:customStyle="1" w:styleId="awTB02question">
    <w:name w:val="awTB_02_question"/>
    <w:basedOn w:val="Normal"/>
    <w:next w:val="Normal"/>
    <w:pPr>
      <w:keepNext/>
      <w:keepLines/>
      <w:numPr>
        <w:ilvl w:val="1"/>
        <w:numId w:val="4"/>
      </w:numPr>
      <w:tabs>
        <w:tab w:val="left" w:pos="640"/>
      </w:tabs>
      <w:spacing w:before="200" w:after="60"/>
      <w:outlineLvl w:val="2"/>
    </w:pPr>
    <w:rPr>
      <w:rFonts w:ascii="Times" w:hAnsi="Times"/>
      <w:sz w:val="22"/>
    </w:rPr>
  </w:style>
  <w:style w:type="paragraph" w:customStyle="1" w:styleId="awTB03distractor">
    <w:name w:val="awTB_03_distractor"/>
    <w:basedOn w:val="Normal"/>
    <w:pPr>
      <w:keepNext/>
      <w:keepLines/>
      <w:numPr>
        <w:ilvl w:val="2"/>
        <w:numId w:val="4"/>
      </w:numPr>
      <w:tabs>
        <w:tab w:val="left" w:pos="720"/>
      </w:tabs>
      <w:spacing w:after="40"/>
      <w:outlineLvl w:val="2"/>
    </w:pPr>
    <w:rPr>
      <w:rFonts w:ascii="Times" w:hAnsi="Times"/>
      <w:sz w:val="22"/>
    </w:rPr>
  </w:style>
  <w:style w:type="paragraph" w:customStyle="1" w:styleId="awTB01questionHead">
    <w:name w:val="awTB_01_questionHead"/>
    <w:basedOn w:val="Normal"/>
    <w:pPr>
      <w:keepNext/>
      <w:keepLines/>
      <w:numPr>
        <w:numId w:val="4"/>
      </w:numPr>
      <w:spacing w:before="360" w:after="200"/>
      <w:outlineLvl w:val="1"/>
    </w:pPr>
    <w:rPr>
      <w:rFonts w:ascii="Helvetica" w:hAnsi="Helvetica"/>
      <w:b/>
      <w:sz w:val="28"/>
    </w:rPr>
  </w:style>
  <w:style w:type="paragraph" w:customStyle="1" w:styleId="awTB00chTitle">
    <w:name w:val="awTB_00_chTitle"/>
    <w:basedOn w:val="Normal"/>
    <w:next w:val="awTB02question"/>
    <w:pPr>
      <w:keepLines/>
      <w:spacing w:before="1440" w:after="720"/>
      <w:outlineLvl w:val="0"/>
    </w:pPr>
    <w:rPr>
      <w:rFonts w:ascii="Times" w:hAnsi="Times"/>
      <w:b/>
      <w:sz w:val="36"/>
    </w:rPr>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rPr>
      <w:rFonts w:cs="Times New Roman"/>
    </w:rPr>
  </w:style>
  <w:style w:type="paragraph" w:customStyle="1" w:styleId="VersoHeader">
    <w:name w:val="Verso Header"/>
    <w:pPr>
      <w:pBdr>
        <w:bottom w:val="single" w:sz="4" w:space="2" w:color="auto"/>
      </w:pBdr>
      <w:spacing w:after="360"/>
    </w:pPr>
    <w:rPr>
      <w:rFonts w:ascii="Times" w:hAnsi="Times"/>
      <w:sz w:val="18"/>
    </w:rPr>
  </w:style>
  <w:style w:type="paragraph" w:customStyle="1" w:styleId="RectoHeader">
    <w:name w:val="Recto Header"/>
    <w:pPr>
      <w:pBdr>
        <w:bottom w:val="single" w:sz="4" w:space="2" w:color="auto"/>
      </w:pBdr>
      <w:spacing w:after="360"/>
      <w:jc w:val="right"/>
    </w:pPr>
    <w:rPr>
      <w:rFonts w:ascii="Times" w:hAnsi="Times"/>
      <w:noProof/>
      <w:sz w:val="18"/>
    </w:rPr>
  </w:style>
  <w:style w:type="paragraph" w:customStyle="1" w:styleId="awTB03distractorLast">
    <w:name w:val="awTB_03_distractor_Last"/>
    <w:basedOn w:val="awTB03distractor"/>
    <w:pPr>
      <w:keepNext w:val="0"/>
    </w:pPr>
  </w:style>
  <w:style w:type="paragraph" w:customStyle="1" w:styleId="KTtext">
    <w:name w:val="KT_text"/>
    <w:basedOn w:val="T1"/>
    <w:rPr>
      <w:szCs w:val="19"/>
    </w:rPr>
  </w:style>
  <w:style w:type="paragraph" w:styleId="BodyTextIndent">
    <w:name w:val="Body Text Indent"/>
    <w:basedOn w:val="Normal"/>
    <w:semiHidden/>
    <w:pPr>
      <w:tabs>
        <w:tab w:val="left" w:pos="720"/>
      </w:tabs>
      <w:ind w:left="677" w:hanging="288"/>
    </w:pPr>
  </w:style>
  <w:style w:type="paragraph" w:customStyle="1" w:styleId="Problemlist1">
    <w:name w:val="Problem_list1"/>
    <w:basedOn w:val="awTB02question"/>
    <w:pPr>
      <w:numPr>
        <w:ilvl w:val="0"/>
        <w:numId w:val="0"/>
      </w:numPr>
      <w:tabs>
        <w:tab w:val="clear" w:pos="640"/>
        <w:tab w:val="left" w:pos="387"/>
      </w:tabs>
      <w:ind w:left="375" w:hanging="375"/>
    </w:pPr>
  </w:style>
  <w:style w:type="paragraph" w:customStyle="1" w:styleId="NL1">
    <w:name w:val="NL1"/>
    <w:pPr>
      <w:keepNext/>
      <w:spacing w:before="200" w:after="60"/>
      <w:ind w:left="446" w:hanging="446"/>
    </w:pPr>
    <w:rPr>
      <w:rFonts w:ascii="Times" w:hAnsi="Times"/>
      <w:sz w:val="22"/>
    </w:rPr>
  </w:style>
  <w:style w:type="paragraph" w:customStyle="1" w:styleId="NL2">
    <w:name w:val="NL2"/>
    <w:pPr>
      <w:tabs>
        <w:tab w:val="left" w:pos="720"/>
      </w:tabs>
      <w:spacing w:after="40"/>
      <w:ind w:left="720" w:hanging="331"/>
    </w:pPr>
    <w:rPr>
      <w:rFonts w:ascii="Times" w:hAnsi="Times"/>
      <w:sz w:val="22"/>
    </w:rPr>
  </w:style>
  <w:style w:type="paragraph" w:customStyle="1" w:styleId="problemlist2">
    <w:name w:val="problem_list2"/>
    <w:basedOn w:val="awTB03distractor"/>
    <w:pPr>
      <w:numPr>
        <w:ilvl w:val="0"/>
        <w:numId w:val="0"/>
      </w:numPr>
      <w:ind w:left="720" w:hanging="331"/>
    </w:pPr>
  </w:style>
  <w:style w:type="paragraph" w:customStyle="1" w:styleId="MCQList1">
    <w:name w:val="MCQ_List1"/>
    <w:basedOn w:val="Problemlist1"/>
    <w:pPr>
      <w:tabs>
        <w:tab w:val="clear" w:pos="387"/>
        <w:tab w:val="right" w:pos="270"/>
        <w:tab w:val="left" w:pos="450"/>
      </w:tabs>
      <w:ind w:left="450" w:hanging="450"/>
    </w:pPr>
  </w:style>
  <w:style w:type="paragraph" w:customStyle="1" w:styleId="MCQList2">
    <w:name w:val="MCQ_List2"/>
    <w:basedOn w:val="Normal"/>
    <w:pPr>
      <w:keepLines/>
      <w:tabs>
        <w:tab w:val="left" w:pos="825"/>
      </w:tabs>
      <w:spacing w:after="40"/>
      <w:ind w:left="825" w:hanging="375"/>
      <w:outlineLvl w:val="2"/>
    </w:pPr>
    <w:rPr>
      <w:rFonts w:ascii="Times" w:hAnsi="Times"/>
      <w:sz w:val="22"/>
    </w:rPr>
  </w:style>
  <w:style w:type="paragraph" w:customStyle="1" w:styleId="DQList1">
    <w:name w:val="DQ_List1"/>
    <w:basedOn w:val="MCQList1"/>
  </w:style>
  <w:style w:type="paragraph" w:styleId="Caption">
    <w:name w:val="caption"/>
    <w:basedOn w:val="Normal"/>
    <w:next w:val="Normal"/>
    <w:qFormat/>
    <w:rPr>
      <w:b/>
      <w:sz w:val="21"/>
    </w:rPr>
  </w:style>
  <w:style w:type="paragraph" w:styleId="BodyText">
    <w:name w:val="Body Text"/>
    <w:basedOn w:val="Normal"/>
    <w:semiHidden/>
    <w:rPr>
      <w:sz w:val="21"/>
    </w:rPr>
  </w:style>
  <w:style w:type="paragraph" w:styleId="NormalWeb">
    <w:name w:val="Normal (Web)"/>
    <w:basedOn w:val="Normal"/>
    <w:semiHidden/>
    <w:pPr>
      <w:spacing w:after="15"/>
    </w:pPr>
    <w:rPr>
      <w:sz w:val="24"/>
      <w:szCs w:val="24"/>
    </w:rPr>
  </w:style>
  <w:style w:type="paragraph" w:customStyle="1" w:styleId="List6">
    <w:name w:val="List6"/>
    <w:basedOn w:val="List4"/>
    <w:pPr>
      <w:tabs>
        <w:tab w:val="clear" w:pos="1483"/>
        <w:tab w:val="left" w:pos="2250"/>
      </w:tabs>
      <w:spacing w:after="0"/>
      <w:ind w:hanging="825"/>
    </w:pPr>
  </w:style>
  <w:style w:type="paragraph" w:customStyle="1" w:styleId="equation">
    <w:name w:val="equation"/>
    <w:basedOn w:val="NormalWeb"/>
    <w:pPr>
      <w:keepNext/>
      <w:tabs>
        <w:tab w:val="left" w:pos="3600"/>
        <w:tab w:val="left" w:pos="9000"/>
      </w:tabs>
      <w:spacing w:before="120" w:after="120"/>
      <w:jc w:val="center"/>
    </w:pPr>
    <w:rPr>
      <w:rFonts w:ascii="Times" w:hAnsi="Times"/>
      <w:i/>
      <w:sz w:val="22"/>
      <w:szCs w:val="22"/>
    </w:rPr>
  </w:style>
  <w:style w:type="paragraph" w:customStyle="1" w:styleId="NL3">
    <w:name w:val="NL3"/>
    <w:basedOn w:val="NormalWeb"/>
    <w:pPr>
      <w:keepNext/>
      <w:spacing w:before="200" w:after="40"/>
      <w:ind w:left="1200" w:hanging="375"/>
    </w:pPr>
    <w:rPr>
      <w:sz w:val="22"/>
      <w:szCs w:val="22"/>
    </w:rPr>
  </w:style>
  <w:style w:type="paragraph" w:customStyle="1" w:styleId="RQ">
    <w:name w:val="RQ"/>
    <w:basedOn w:val="NL1"/>
    <w:pPr>
      <w:ind w:left="450" w:hanging="450"/>
    </w:pPr>
  </w:style>
  <w:style w:type="paragraph" w:customStyle="1" w:styleId="RQ1">
    <w:name w:val="RQ1"/>
    <w:basedOn w:val="NL2"/>
    <w:pPr>
      <w:keepNext/>
      <w:tabs>
        <w:tab w:val="clear" w:pos="720"/>
        <w:tab w:val="left" w:pos="1125"/>
      </w:tabs>
      <w:ind w:left="825" w:hanging="375"/>
    </w:pPr>
  </w:style>
  <w:style w:type="paragraph" w:styleId="ListBullet">
    <w:name w:val="List Bullet"/>
    <w:basedOn w:val="Normal"/>
    <w:autoRedefine/>
    <w:semiHidden/>
    <w:pPr>
      <w:numPr>
        <w:numId w:val="3"/>
      </w:numPr>
    </w:pPr>
  </w:style>
  <w:style w:type="paragraph" w:customStyle="1" w:styleId="CO">
    <w:name w:val="CO"/>
    <w:basedOn w:val="MCQList1"/>
    <w:pPr>
      <w:spacing w:before="0"/>
      <w:ind w:left="403" w:hanging="403"/>
    </w:pPr>
  </w:style>
  <w:style w:type="paragraph" w:customStyle="1" w:styleId="TF">
    <w:name w:val="TF"/>
    <w:basedOn w:val="CO"/>
    <w:pPr>
      <w:tabs>
        <w:tab w:val="left" w:pos="1901"/>
      </w:tabs>
      <w:ind w:left="1901" w:hanging="1901"/>
    </w:pPr>
  </w:style>
  <w:style w:type="paragraph" w:customStyle="1" w:styleId="PG">
    <w:name w:val="PG"/>
    <w:basedOn w:val="MCQList1"/>
  </w:style>
  <w:style w:type="paragraph" w:customStyle="1" w:styleId="SubList5">
    <w:name w:val="SubList5"/>
    <w:basedOn w:val="List5"/>
    <w:pPr>
      <w:tabs>
        <w:tab w:val="clear" w:pos="1915"/>
        <w:tab w:val="left" w:pos="2160"/>
      </w:tabs>
      <w:ind w:left="2390"/>
    </w:pPr>
  </w:style>
  <w:style w:type="paragraph" w:styleId="Title">
    <w:name w:val="Title"/>
    <w:basedOn w:val="Normal"/>
    <w:qFormat/>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rPr>
      <w:b/>
      <w:sz w:val="36"/>
    </w:rPr>
  </w:style>
  <w:style w:type="paragraph" w:styleId="BodyTextIndent2">
    <w:name w:val="Body Text Indent 2"/>
    <w:basedOn w:val="Normal"/>
    <w:semiHidden/>
    <w:pPr>
      <w:tabs>
        <w:tab w:val="left" w:pos="360"/>
        <w:tab w:val="left" w:pos="720"/>
        <w:tab w:val="left" w:pos="1080"/>
        <w:tab w:val="left" w:pos="1440"/>
        <w:tab w:val="left" w:pos="1800"/>
        <w:tab w:val="left" w:pos="2160"/>
        <w:tab w:val="left" w:pos="2520"/>
        <w:tab w:val="left" w:pos="3150"/>
        <w:tab w:val="left" w:pos="3870"/>
        <w:tab w:val="left" w:pos="4590"/>
        <w:tab w:val="left" w:pos="5310"/>
        <w:tab w:val="left" w:pos="6030"/>
        <w:tab w:val="left" w:pos="6750"/>
        <w:tab w:val="left" w:pos="7470"/>
        <w:tab w:val="left" w:pos="8190"/>
        <w:tab w:val="left" w:pos="8910"/>
      </w:tabs>
      <w:ind w:left="1080" w:hanging="1080"/>
    </w:pPr>
  </w:style>
  <w:style w:type="paragraph" w:styleId="BodyTextIndent3">
    <w:name w:val="Body Text Indent 3"/>
    <w:basedOn w:val="Normal"/>
    <w:semiHidden/>
    <w:pPr>
      <w:tabs>
        <w:tab w:val="left" w:pos="-720"/>
        <w:tab w:val="left" w:pos="360"/>
        <w:tab w:val="left" w:pos="720"/>
        <w:tab w:val="left" w:pos="1080"/>
        <w:tab w:val="left" w:pos="1440"/>
        <w:tab w:val="left" w:pos="1800"/>
        <w:tab w:val="left" w:pos="2160"/>
        <w:tab w:val="left" w:pos="2520"/>
        <w:tab w:val="left" w:pos="2880"/>
        <w:tab w:val="left" w:pos="3600"/>
        <w:tab w:val="left" w:pos="4320"/>
        <w:tab w:val="left" w:pos="5040"/>
        <w:tab w:val="left" w:pos="5760"/>
        <w:tab w:val="left" w:pos="6480"/>
        <w:tab w:val="left" w:pos="7200"/>
        <w:tab w:val="left" w:pos="7920"/>
        <w:tab w:val="left" w:pos="8640"/>
      </w:tabs>
      <w:ind w:left="360" w:hanging="360"/>
    </w:pPr>
  </w:style>
  <w:style w:type="character" w:styleId="Hyperlink">
    <w:name w:val="Hyperlink"/>
    <w:basedOn w:val="DefaultParagraphFont"/>
    <w:semiHidden/>
    <w:rPr>
      <w:rFonts w:cs="Times New Roman"/>
      <w:color w:val="0000FF"/>
      <w:u w:val="single"/>
    </w:rPr>
  </w:style>
  <w:style w:type="paragraph" w:customStyle="1" w:styleId="TFQ">
    <w:name w:val="TFQ"/>
    <w:basedOn w:val="T1"/>
    <w:pPr>
      <w:tabs>
        <w:tab w:val="left" w:pos="446"/>
      </w:tabs>
      <w:spacing w:before="200"/>
      <w:ind w:left="446" w:hanging="446"/>
    </w:pPr>
  </w:style>
  <w:style w:type="paragraph" w:customStyle="1" w:styleId="SP">
    <w:name w:val="SP"/>
    <w:basedOn w:val="T1"/>
  </w:style>
  <w:style w:type="paragraph" w:customStyle="1" w:styleId="MCQList1sub">
    <w:name w:val="MCQ_List1_sub"/>
    <w:basedOn w:val="MCQList1"/>
    <w:pPr>
      <w:tabs>
        <w:tab w:val="left" w:pos="825"/>
      </w:tabs>
    </w:pPr>
  </w:style>
  <w:style w:type="paragraph" w:customStyle="1" w:styleId="List2-Bullet">
    <w:name w:val="List2-Bullet"/>
    <w:basedOn w:val="List2"/>
    <w:pPr>
      <w:tabs>
        <w:tab w:val="left" w:pos="1125"/>
      </w:tabs>
      <w:spacing w:before="0" w:after="0"/>
      <w:ind w:left="1123" w:hanging="216"/>
    </w:pPr>
  </w:style>
  <w:style w:type="paragraph" w:customStyle="1" w:styleId="List1-Bullet">
    <w:name w:val="List1-Bullet"/>
    <w:basedOn w:val="List2-Bullet"/>
    <w:pPr>
      <w:ind w:left="720"/>
    </w:pPr>
  </w:style>
  <w:style w:type="paragraph" w:styleId="List20">
    <w:name w:val="List 2"/>
    <w:basedOn w:val="Normal"/>
    <w:semiHidden/>
    <w:pPr>
      <w:ind w:left="720" w:hanging="360"/>
    </w:pPr>
  </w:style>
  <w:style w:type="paragraph" w:customStyle="1" w:styleId="List3-Bullet">
    <w:name w:val="List3-Bullet"/>
    <w:basedOn w:val="List3"/>
    <w:pPr>
      <w:spacing w:after="0"/>
      <w:ind w:left="1411" w:hanging="216"/>
    </w:pPr>
  </w:style>
  <w:style w:type="paragraph" w:customStyle="1" w:styleId="TFQAns">
    <w:name w:val="TFQ_Ans"/>
    <w:basedOn w:val="TFQ"/>
    <w:pPr>
      <w:spacing w:before="120"/>
    </w:pPr>
  </w:style>
  <w:style w:type="paragraph" w:styleId="BalloonText">
    <w:name w:val="Balloon Text"/>
    <w:basedOn w:val="Normal"/>
    <w:semiHidden/>
    <w:rPr>
      <w:rFonts w:ascii="Tahoma" w:hAnsi="Tahoma" w:cs="Tahoma"/>
      <w:sz w:val="16"/>
      <w:szCs w:val="16"/>
    </w:rPr>
  </w:style>
  <w:style w:type="paragraph" w:customStyle="1" w:styleId="list1sub">
    <w:name w:val="list1_sub"/>
    <w:basedOn w:val="List2"/>
    <w:pPr>
      <w:ind w:left="504" w:firstLine="0"/>
    </w:pPr>
  </w:style>
  <w:style w:type="paragraph" w:customStyle="1" w:styleId="List10">
    <w:name w:val="List1."/>
    <w:basedOn w:val="List2"/>
    <w:pPr>
      <w:tabs>
        <w:tab w:val="clear" w:pos="907"/>
      </w:tabs>
      <w:ind w:left="918" w:firstLine="11"/>
    </w:pPr>
  </w:style>
  <w:style w:type="paragraph" w:customStyle="1" w:styleId="Level1">
    <w:name w:val="Level 1"/>
    <w:basedOn w:val="Normal"/>
    <w:pPr>
      <w:widowControl w:val="0"/>
    </w:pPr>
    <w:rPr>
      <w:sz w:val="24"/>
    </w:rPr>
  </w:style>
  <w:style w:type="paragraph" w:customStyle="1" w:styleId="a">
    <w:name w:val="آ"/>
    <w:basedOn w:val="Normal"/>
    <w:pPr>
      <w:widowControl w:val="0"/>
    </w:pPr>
    <w:rPr>
      <w:sz w:val="24"/>
    </w:rPr>
  </w:style>
  <w:style w:type="paragraph" w:customStyle="1" w:styleId="AuName">
    <w:name w:val="Au_Name"/>
    <w:basedOn w:val="H2"/>
    <w:pPr>
      <w:spacing w:before="60" w:after="60"/>
      <w:ind w:left="720" w:right="720"/>
      <w:jc w:val="right"/>
    </w:pPr>
    <w:rPr>
      <w:rFonts w:ascii="Times" w:hAnsi="Times"/>
      <w:b w:val="0"/>
      <w:bCs w:val="0"/>
      <w:sz w:val="22"/>
    </w:rPr>
  </w:style>
  <w:style w:type="paragraph" w:customStyle="1" w:styleId="AuRef">
    <w:name w:val="Au_Ref"/>
    <w:basedOn w:val="T1"/>
    <w:pPr>
      <w:spacing w:before="120"/>
      <w:ind w:left="720" w:right="720"/>
    </w:pPr>
    <w:rPr>
      <w:i/>
      <w:iCs/>
    </w:rPr>
  </w:style>
  <w:style w:type="paragraph" w:customStyle="1" w:styleId="AuText1">
    <w:name w:val="Au_Text1"/>
    <w:basedOn w:val="T1"/>
    <w:pPr>
      <w:ind w:left="720" w:right="720"/>
    </w:pPr>
  </w:style>
  <w:style w:type="paragraph" w:customStyle="1" w:styleId="AuText2">
    <w:name w:val="Au_Text2"/>
    <w:basedOn w:val="Normal"/>
    <w:pPr>
      <w:keepNext/>
      <w:spacing w:before="200"/>
      <w:ind w:left="720" w:right="720"/>
    </w:pPr>
    <w:rPr>
      <w:rFonts w:ascii="Times" w:hAnsi="Times"/>
      <w:sz w:val="22"/>
    </w:rPr>
  </w:style>
  <w:style w:type="paragraph" w:customStyle="1" w:styleId="BL">
    <w:name w:val="BL"/>
    <w:basedOn w:val="Normal"/>
    <w:pPr>
      <w:tabs>
        <w:tab w:val="left" w:pos="288"/>
      </w:tabs>
      <w:ind w:left="288" w:hanging="288"/>
    </w:pPr>
    <w:rPr>
      <w:rFonts w:ascii="Times" w:hAnsi="Times"/>
      <w:sz w:val="22"/>
      <w:szCs w:val="24"/>
    </w:rPr>
  </w:style>
  <w:style w:type="paragraph" w:customStyle="1" w:styleId="BL2">
    <w:name w:val="BL2"/>
    <w:basedOn w:val="BL"/>
    <w:pPr>
      <w:tabs>
        <w:tab w:val="clear" w:pos="288"/>
      </w:tabs>
      <w:spacing w:after="60"/>
      <w:ind w:left="705" w:hanging="259"/>
    </w:pPr>
  </w:style>
  <w:style w:type="paragraph" w:customStyle="1" w:styleId="BLF">
    <w:name w:val="BLF"/>
    <w:basedOn w:val="BL"/>
    <w:pPr>
      <w:spacing w:before="120"/>
    </w:pPr>
  </w:style>
  <w:style w:type="paragraph" w:customStyle="1" w:styleId="MCQList1a">
    <w:name w:val="MCQ_List1a"/>
    <w:basedOn w:val="MCQList1"/>
    <w:pPr>
      <w:tabs>
        <w:tab w:val="clear" w:pos="270"/>
        <w:tab w:val="right" w:pos="274"/>
        <w:tab w:val="left" w:pos="825"/>
      </w:tabs>
      <w:ind w:left="825" w:hanging="825"/>
    </w:pPr>
  </w:style>
  <w:style w:type="paragraph" w:customStyle="1" w:styleId="MCQList2sub">
    <w:name w:val="MCQ_List2_sub"/>
    <w:basedOn w:val="MCQList2"/>
    <w:pPr>
      <w:tabs>
        <w:tab w:val="clear" w:pos="825"/>
        <w:tab w:val="left" w:pos="821"/>
        <w:tab w:val="left" w:pos="1200"/>
      </w:tabs>
      <w:ind w:left="1200" w:hanging="754"/>
    </w:pPr>
  </w:style>
  <w:style w:type="paragraph" w:customStyle="1" w:styleId="OutlineI">
    <w:name w:val="Outline_I"/>
    <w:basedOn w:val="Normal"/>
    <w:qFormat/>
    <w:rsid w:val="00D923E1"/>
    <w:pPr>
      <w:numPr>
        <w:numId w:val="22"/>
      </w:numPr>
      <w:spacing w:before="60"/>
      <w:ind w:left="1170"/>
    </w:pPr>
    <w:rPr>
      <w:rFonts w:ascii="Times" w:eastAsiaTheme="minorHAnsi" w:hAnsi="Times" w:cs="Times"/>
      <w:sz w:val="22"/>
      <w:szCs w:val="24"/>
    </w:rPr>
  </w:style>
  <w:style w:type="paragraph" w:customStyle="1" w:styleId="OutlineA">
    <w:name w:val="Outline_A"/>
    <w:basedOn w:val="Normal"/>
    <w:qFormat/>
    <w:rsid w:val="00D923E1"/>
    <w:pPr>
      <w:numPr>
        <w:numId w:val="20"/>
      </w:numPr>
      <w:spacing w:before="60"/>
      <w:ind w:left="1526"/>
    </w:pPr>
    <w:rPr>
      <w:rFonts w:ascii="Times" w:eastAsiaTheme="minorHAnsi" w:hAnsi="Times" w:cs="Times"/>
      <w:sz w:val="22"/>
      <w:szCs w:val="24"/>
    </w:rPr>
  </w:style>
  <w:style w:type="paragraph" w:customStyle="1" w:styleId="Outlline1">
    <w:name w:val="Outlline_1"/>
    <w:basedOn w:val="Normal"/>
    <w:qFormat/>
    <w:rsid w:val="00D923E1"/>
    <w:pPr>
      <w:numPr>
        <w:numId w:val="21"/>
      </w:numPr>
      <w:spacing w:before="60"/>
    </w:pPr>
    <w:rPr>
      <w:rFonts w:ascii="Times" w:eastAsiaTheme="minorHAnsi" w:hAnsi="Times" w:cs="Times"/>
      <w:sz w:val="22"/>
      <w:szCs w:val="24"/>
    </w:rPr>
  </w:style>
  <w:style w:type="paragraph" w:customStyle="1" w:styleId="MCQAnswer">
    <w:name w:val="MCQ_Answer"/>
    <w:basedOn w:val="Normal"/>
    <w:qFormat/>
    <w:rsid w:val="00D923E1"/>
    <w:pPr>
      <w:keepLines/>
      <w:tabs>
        <w:tab w:val="right" w:pos="274"/>
        <w:tab w:val="left" w:pos="446"/>
        <w:tab w:val="left" w:pos="825"/>
      </w:tabs>
      <w:spacing w:before="120" w:after="60"/>
      <w:ind w:left="446" w:firstLine="4"/>
      <w:outlineLvl w:val="2"/>
    </w:pPr>
    <w:rPr>
      <w:rFonts w:ascii="Arial Narrow" w:hAnsi="Arial Narrow"/>
      <w:snapToGrid w:val="0"/>
      <w:sz w:val="22"/>
    </w:rPr>
  </w:style>
  <w:style w:type="paragraph" w:customStyle="1" w:styleId="MCQAnswerBL">
    <w:name w:val="MCQ_AnswerBL"/>
    <w:basedOn w:val="Normal"/>
    <w:qFormat/>
    <w:rsid w:val="00D923E1"/>
    <w:pPr>
      <w:spacing w:after="60"/>
      <w:ind w:left="837" w:hanging="391"/>
    </w:pPr>
    <w:rPr>
      <w:rFonts w:ascii="Arial Narrow" w:hAnsi="Arial Narrow"/>
      <w:spacing w:val="-2"/>
      <w:sz w:val="22"/>
      <w:szCs w:val="24"/>
    </w:rPr>
  </w:style>
  <w:style w:type="paragraph" w:customStyle="1" w:styleId="LearningObjectives">
    <w:name w:val="LearningObjectives"/>
    <w:basedOn w:val="Normal"/>
    <w:qFormat/>
    <w:rsid w:val="00D923E1"/>
    <w:pPr>
      <w:spacing w:before="120" w:line="259" w:lineRule="auto"/>
      <w:ind w:left="720" w:hanging="360"/>
    </w:pPr>
    <w:rPr>
      <w:rFonts w:ascii="Times" w:eastAsiaTheme="minorHAnsi" w:hAnsi="Times" w:cs="Times"/>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6</Pages>
  <Words>2738</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M19_MOFF9242_03_IM_C19</vt:lpstr>
    </vt:vector>
  </TitlesOfParts>
  <Company>ITC</Company>
  <LinksUpToDate>false</LinksUpToDate>
  <CharactersWithSpaces>17467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M19_MOFF9242_03_IM_C19</dc:title>
  <dc:subject/>
  <dc:creator>Administrator</dc:creator>
  <cp:keywords/>
  <dc:description/>
  <cp:lastModifiedBy>Sheryl Nelson</cp:lastModifiedBy>
  <cp:revision>9</cp:revision>
  <cp:lastPrinted>2008-01-16T16:16:00Z</cp:lastPrinted>
  <dcterms:created xsi:type="dcterms:W3CDTF">2014-07-16T14:38:00Z</dcterms:created>
  <dcterms:modified xsi:type="dcterms:W3CDTF">2014-09-29T15:36:00Z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TWinEqns">
    <vt:bool>true</vt:bool>
  </property>
</Properties>
</file>