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bidi w:val="0"/>
        <w:snapToGrid/>
        <w:jc w:val="center"/>
        <w:textAlignment w:val="auto"/>
        <w:rPr>
          <w:color w:val="auto"/>
          <w:sz w:val="18"/>
          <w:szCs w:val="18"/>
        </w:rPr>
      </w:pPr>
      <w:r>
        <w:rPr>
          <w:color w:val="auto"/>
          <w:sz w:val="18"/>
          <w:szCs w:val="18"/>
        </w:rPr>
        <w:drawing>
          <wp:inline distT="0" distB="0" distL="114300" distR="114300">
            <wp:extent cx="2242820" cy="894080"/>
            <wp:effectExtent l="0" t="0" r="17780" b="20320"/>
            <wp:docPr id="1"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ext&#10;&#10;Description automatically generated"/>
                    <pic:cNvPicPr>
                      <a:picLocks noChangeAspect="1"/>
                    </pic:cNvPicPr>
                  </pic:nvPicPr>
                  <pic:blipFill>
                    <a:blip r:embed="rId4"/>
                    <a:stretch>
                      <a:fillRect/>
                    </a:stretch>
                  </pic:blipFill>
                  <pic:spPr>
                    <a:xfrm>
                      <a:off x="0" y="0"/>
                      <a:ext cx="2242820" cy="894080"/>
                    </a:xfrm>
                    <a:prstGeom prst="rect">
                      <a:avLst/>
                    </a:prstGeom>
                    <a:noFill/>
                    <a:ln>
                      <a:noFill/>
                    </a:ln>
                  </pic:spPr>
                </pic:pic>
              </a:graphicData>
            </a:graphic>
          </wp:inline>
        </w:drawing>
      </w:r>
    </w:p>
    <w:p>
      <w:pPr>
        <w:keepNext w:val="0"/>
        <w:keepLines w:val="0"/>
        <w:pageBreakBefore w:val="0"/>
        <w:widowControl w:val="0"/>
        <w:kinsoku/>
        <w:wordWrap/>
        <w:overflowPunct/>
        <w:topLinePunct w:val="0"/>
        <w:bidi w:val="0"/>
        <w:snapToGrid/>
        <w:jc w:val="both"/>
        <w:textAlignment w:val="auto"/>
        <w:rPr>
          <w:rFonts w:hint="default" w:ascii="Arial Italic" w:hAnsi="Arial Italic" w:cs="Arial Italic"/>
          <w:b w:val="0"/>
          <w:i/>
          <w:color w:val="auto"/>
          <w:sz w:val="28"/>
          <w:szCs w:val="28"/>
        </w:rPr>
      </w:pPr>
    </w:p>
    <w:p>
      <w:pPr>
        <w:keepNext w:val="0"/>
        <w:keepLines w:val="0"/>
        <w:pageBreakBefore w:val="0"/>
        <w:widowControl w:val="0"/>
        <w:kinsoku/>
        <w:wordWrap/>
        <w:overflowPunct/>
        <w:topLinePunct w:val="0"/>
        <w:bidi w:val="0"/>
        <w:snapToGrid/>
        <w:jc w:val="center"/>
        <w:textAlignment w:val="auto"/>
        <w:rPr>
          <w:rFonts w:hint="default" w:ascii="Arial" w:hAnsi="Arial" w:cs="Arial"/>
          <w:b/>
          <w:color w:val="auto"/>
          <w:sz w:val="28"/>
          <w:szCs w:val="28"/>
        </w:rPr>
      </w:pPr>
      <w:r>
        <w:rPr>
          <w:rFonts w:hint="default" w:ascii="Arial" w:hAnsi="Arial" w:cs="Arial"/>
          <w:b/>
          <w:color w:val="auto"/>
          <w:sz w:val="28"/>
          <w:szCs w:val="28"/>
        </w:rPr>
        <w:t>University of Wales Trinity St Davids, Swansea</w:t>
      </w:r>
    </w:p>
    <w:p>
      <w:pPr>
        <w:keepNext w:val="0"/>
        <w:keepLines w:val="0"/>
        <w:pageBreakBefore w:val="0"/>
        <w:widowControl w:val="0"/>
        <w:kinsoku/>
        <w:wordWrap/>
        <w:overflowPunct/>
        <w:topLinePunct w:val="0"/>
        <w:bidi w:val="0"/>
        <w:snapToGrid/>
        <w:jc w:val="center"/>
        <w:textAlignment w:val="auto"/>
        <w:rPr>
          <w:rFonts w:hint="default" w:ascii="Arial" w:hAnsi="Arial" w:cs="Arial"/>
          <w:b/>
          <w:color w:val="auto"/>
          <w:sz w:val="28"/>
          <w:szCs w:val="28"/>
        </w:rPr>
      </w:pPr>
    </w:p>
    <w:p>
      <w:pPr>
        <w:keepNext w:val="0"/>
        <w:keepLines w:val="0"/>
        <w:pageBreakBefore w:val="0"/>
        <w:widowControl w:val="0"/>
        <w:kinsoku/>
        <w:wordWrap/>
        <w:overflowPunct/>
        <w:topLinePunct w:val="0"/>
        <w:bidi w:val="0"/>
        <w:snapToGrid/>
        <w:jc w:val="center"/>
        <w:textAlignment w:val="auto"/>
        <w:rPr>
          <w:rFonts w:hint="default" w:ascii="Arial" w:hAnsi="Arial" w:cs="Arial"/>
          <w:b/>
          <w:color w:val="auto"/>
          <w:sz w:val="28"/>
          <w:szCs w:val="28"/>
        </w:rPr>
      </w:pPr>
      <w:r>
        <w:rPr>
          <w:rFonts w:hint="default" w:ascii="Arial" w:hAnsi="Arial" w:cs="Arial"/>
          <w:b/>
          <w:color w:val="auto"/>
          <w:sz w:val="28"/>
          <w:szCs w:val="28"/>
        </w:rPr>
        <w:t>ADAD 7016 Qualitative Research Methods within the Creative Industries</w:t>
      </w:r>
    </w:p>
    <w:p>
      <w:pPr>
        <w:keepNext w:val="0"/>
        <w:keepLines w:val="0"/>
        <w:pageBreakBefore w:val="0"/>
        <w:widowControl w:val="0"/>
        <w:kinsoku/>
        <w:wordWrap/>
        <w:overflowPunct/>
        <w:topLinePunct w:val="0"/>
        <w:bidi w:val="0"/>
        <w:snapToGrid/>
        <w:jc w:val="center"/>
        <w:textAlignment w:val="auto"/>
        <w:rPr>
          <w:rFonts w:hint="default" w:ascii="Arial" w:hAnsi="Arial" w:cs="Arial"/>
          <w:b/>
          <w:color w:val="auto"/>
          <w:sz w:val="28"/>
          <w:szCs w:val="28"/>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vertAlign w:val="superscript"/>
        </w:rPr>
        <w:t>1</w:t>
      </w:r>
      <w:r>
        <w:rPr>
          <w:rFonts w:hint="default" w:ascii="Times New Roman Regular" w:hAnsi="Times New Roman Regular" w:cs="Times New Roman Regular"/>
          <w:color w:val="auto"/>
          <w:sz w:val="28"/>
          <w:szCs w:val="28"/>
        </w:rPr>
        <w:t>Wan Chen</w:t>
      </w:r>
    </w:p>
    <w:p>
      <w:pPr>
        <w:rPr>
          <w:rFonts w:hint="default" w:ascii="Times New Roman Regular" w:hAnsi="Times New Roman Regular" w:cs="Times New Roman Regular" w:eastAsiaTheme="minorEastAsia"/>
          <w:color w:val="auto"/>
          <w:sz w:val="24"/>
          <w:szCs w:val="24"/>
          <w:lang w:eastAsia="zh-Hans"/>
        </w:rPr>
      </w:pPr>
      <w:r>
        <w:rPr>
          <w:color w:val="auto"/>
          <w:vertAlign w:val="superscript"/>
        </w:rPr>
        <w:fldChar w:fldCharType="begin"/>
      </w:r>
      <w:r>
        <w:rPr>
          <w:color w:val="auto"/>
          <w:vertAlign w:val="superscript"/>
        </w:rPr>
        <w:instrText xml:space="preserve"> HYPERLINK "mailto:12105851@student.uwtsd.ac.uk," </w:instrText>
      </w:r>
      <w:r>
        <w:rPr>
          <w:color w:val="auto"/>
          <w:vertAlign w:val="superscript"/>
        </w:rPr>
        <w:fldChar w:fldCharType="separate"/>
      </w:r>
      <w:r>
        <w:rPr>
          <w:rStyle w:val="5"/>
          <w:color w:val="auto"/>
          <w:vertAlign w:val="superscript"/>
        </w:rPr>
        <w:t>1</w:t>
      </w:r>
      <w:r>
        <w:rPr>
          <w:rStyle w:val="5"/>
          <w:rFonts w:hint="default"/>
          <w:color w:val="auto"/>
        </w:rPr>
        <w:t>2105851@student.uwtsd.ac.uk,</w:t>
      </w:r>
      <w:r>
        <w:rPr>
          <w:color w:val="auto"/>
          <w:vertAlign w:val="superscript"/>
        </w:rPr>
        <w:fldChar w:fldCharType="end"/>
      </w:r>
      <w:r>
        <w:rPr>
          <w:rFonts w:hint="default"/>
          <w:color w:val="auto"/>
        </w:rPr>
        <w:t xml:space="preserve"> </w:t>
      </w:r>
      <w:r>
        <w:rPr>
          <w:rFonts w:hint="default" w:ascii="Times New Roman Regular" w:hAnsi="Times New Roman Regular" w:cs="Times New Roman Regular"/>
          <w:color w:val="auto"/>
          <w:sz w:val="24"/>
          <w:szCs w:val="24"/>
        </w:rPr>
        <w:t>Wales Institute of Science and Art</w:t>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lang w:val="en-US" w:eastAsia="zh-Hans"/>
        </w:rPr>
        <w:t>U</w:t>
      </w:r>
      <w:r>
        <w:rPr>
          <w:rFonts w:hint="default" w:ascii="Times New Roman Regular" w:hAnsi="Times New Roman Regular" w:cs="Times New Roman Regular"/>
          <w:color w:val="auto"/>
          <w:sz w:val="24"/>
          <w:szCs w:val="24"/>
          <w:lang w:eastAsia="zh-Hans"/>
        </w:rPr>
        <w:t>nited Kingdom</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u w:val="none"/>
          <w:lang w:eastAsia="zh-Hans"/>
        </w:rPr>
      </w:pPr>
      <w:r>
        <w:rPr>
          <w:rFonts w:hint="default" w:ascii="Times New Roman Bold" w:hAnsi="Times New Roman Bold" w:cs="Times New Roman Bold"/>
          <w:b/>
          <w:bCs/>
          <w:color w:val="auto"/>
          <w:sz w:val="24"/>
          <w:szCs w:val="24"/>
          <w:u w:val="none"/>
          <w:lang w:eastAsia="zh-Hans"/>
        </w:rPr>
        <w:t>Introduction</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u w:val="none"/>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This research focuses on the hybrid identities of artists who have experienced identity discontinuities in the globalisation era. The core of this research is to explore the possibility of how bricolage becomes a potential means of reconstructing their identities from 'discontinuities' to 'hybrid identities.' This research suggests that 'bricolage,' as a mode of art practice, can define a framework of hybrid identity for artists in the globalisation era by capturing, appropriating, remixing, and repurposing multicultural elements, helping them to gain a sense of belonging in their "discontinuous" identity conflicts.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Following the deepening process of globalisation (defined as beginning in the mid-1980s and continuing to the present), human mobility has constantly grown. The intercultural communication phenomenon is also occurring with increasing frequency. The impact of the globalisation era has thus gone beyond the economic and political spheres, involving changes at the cultural and identity levels and giving rise to a series of identity conflicts.</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val="en-US" w:eastAsia="zh-Hans"/>
        </w:rPr>
        <w:t>Hybrid identity, as one of the iconic outcomes of these conflicts, is a complex and contested phenomenon based on cultural studies. Research on it can be traced back to the Trinidadian theorist CLR James' book "The Black Jacobins" (1938). For decades, the study of hybrid identity is constantly evolving and adapting new perspectives and insights along with ongoing debates and struggles over issues of race, gender, and social justice. Especially in the context of post-colonial theory, hybrid identities have become increasingly crucial in cultural studies. Leading scholars, represented by Homi Bhabha, Stuart Hall, and Paul Gilroy, have actively explored new possibilities for hybrid identities in their research</w:t>
      </w:r>
      <w:r>
        <w:rPr>
          <w:rFonts w:hint="default" w:ascii="Times New Roman Regular" w:hAnsi="Times New Roman Regular" w:cs="Times New Roman Regular"/>
          <w:color w:val="auto"/>
          <w:sz w:val="24"/>
          <w:szCs w:val="24"/>
          <w:lang w:eastAsia="zh-Hans"/>
        </w:rPr>
        <w:t>: Bhabha's research focuses on the concept of the 'third space' as a culturally hybrid space, advocating  building a place that challenges traditional norms of cultural identity; Hall's work focuses on how dynamic hybrid identities can be constructed through elements from different social, cultural, and historical contexts; While Gilroy is particularly interested in the cultural and political dimensions of hybrid identities.</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However, there are apparent knowledge and methodological gaps in the existing research on hybrid identities:</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Firstly, there is very little relevant research in the art practice field. Existing research have focused on pedagogy (Esteban-Guitart, M., Lalueza, J.L., Zhang-Yu, C. and Llopart, M., 2019; Crozier, G., Reay, D. and Clayton, J., 2019; Caraballo, L., 2019; Lawrence, L. and Nagashima, Y., 2020), linguistics and literature (Yung, K.W.H. and Yuan, R., 2020; Mertania, Y. and Amelia, D., 2020; Torres, V., 2021), as well as management (Pan, N.D., Gruber, M. and Binder, J., 2019; Bernardi, R. and Exworthy, M., 2020; Cornelissen, J.P., Akemu, O., Jonkman, J.G. and Werner, M.D., 2021). </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Secondly, there is a lack of detailed discussion on how specific art practice becomes a potential means of constructing hybrid identities. Researchers tend to produce some general discussion about the hybrid identities of artists (Sabaté, F. ed., 2014; Emrali, R., 2017; Dávila, I.D.V. and Xavier, T., 2019; Ankori, G., 2020). They are mainly involved with the idea that art practices reflect hybrid identities (Adamek, M. and Lorenz, K., 2008; Vukić, F., 2009; Matelau, T. and Sagapolutele, U., 2023);</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eastAsiaTheme="minorEastAsia"/>
          <w:color w:val="auto"/>
          <w:kern w:val="2"/>
          <w:sz w:val="24"/>
          <w:szCs w:val="24"/>
          <w:lang w:val="en-US" w:eastAsia="zh-Hans" w:bidi="ar-SA"/>
        </w:rPr>
      </w:pPr>
      <w:r>
        <w:rPr>
          <w:rFonts w:hint="default" w:ascii="Times New Roman Regular" w:hAnsi="Times New Roman Regular" w:cs="Times New Roman Regular" w:eastAsiaTheme="minorEastAsia"/>
          <w:color w:val="auto"/>
          <w:kern w:val="2"/>
          <w:sz w:val="24"/>
          <w:szCs w:val="24"/>
          <w:lang w:val="en-US" w:eastAsia="zh-Hans" w:bidi="ar-SA"/>
        </w:rPr>
        <w:t>Thirdly, there is a lack of application for a broader range of research methods and an urgent need for a deep and adequate exploration of the relevance and role of methods within the research. In the recent literature cited by the researcher, qualitative research methods such as case studies and discourse analysis are frequently present. Meanwhile, few studies have empirically assessed how contemporary artists construct hybrid identities during their art practice. These research methods commonly used in the existing literature can yield a nuanced understanding of artworks related to hybrid identities. However, beyond general descriptions and analyses, it is often difficult to apply the findings to actual practice to illustrate a final argument, much less to draw a firm conclusion. This has resulted in a need for more sufficient empirical data for relevant studies.</w:t>
      </w:r>
    </w:p>
    <w:p>
      <w:pPr>
        <w:keepNext w:val="0"/>
        <w:keepLines w:val="0"/>
        <w:pageBreakBefore w:val="0"/>
        <w:widowControl w:val="0"/>
        <w:numPr>
          <w:ilvl w:val="0"/>
          <w:numId w:val="0"/>
        </w:numPr>
        <w:kinsoku/>
        <w:wordWrap/>
        <w:overflowPunct/>
        <w:topLinePunct w:val="0"/>
        <w:bidi w:val="0"/>
        <w:snapToGrid/>
        <w:jc w:val="both"/>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 xml:space="preserve">These gaps have led to widespread confusion among contemporary artists at the underlying logical level of their art practice. They have created further potential problems in their identity conflicts, which in turn have affected their art practice. It is, therefore, urgent to investigate how artists respond to the issue of identity conflicts through their specific art practices and reconstruct 'discontinuous identities' into 'hybrid identities' and how researchers can apply broader and more relevant methods in the process. </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val="en-US"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r>
        <w:rPr>
          <w:rFonts w:hint="default" w:ascii="Times New Roman Bold" w:hAnsi="Times New Roman Bold" w:cs="Times New Roman Bold"/>
          <w:b/>
          <w:bCs/>
          <w:color w:val="auto"/>
          <w:sz w:val="24"/>
          <w:szCs w:val="24"/>
          <w:highlight w:val="none"/>
        </w:rPr>
        <w:t>Research Design</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 xml:space="preserve">This is a </w:t>
      </w:r>
      <w:r>
        <w:rPr>
          <w:rFonts w:hint="default" w:ascii="Times New Roman Regular" w:hAnsi="Times New Roman Regular" w:cs="Times New Roman Regular"/>
          <w:color w:val="auto"/>
          <w:sz w:val="24"/>
          <w:szCs w:val="24"/>
          <w:lang w:val="en-US" w:eastAsia="zh-Hans"/>
        </w:rPr>
        <w:t>qualitative research</w:t>
      </w:r>
      <w:r>
        <w:rPr>
          <w:rFonts w:hint="default" w:ascii="Times New Roman Regular" w:hAnsi="Times New Roman Regular" w:cs="Times New Roman Regular"/>
          <w:color w:val="auto"/>
          <w:sz w:val="24"/>
          <w:szCs w:val="24"/>
          <w:lang w:val="en-US" w:eastAsia="zh-Hans"/>
        </w:rPr>
        <w:t xml:space="preserve"> based on the </w:t>
      </w:r>
      <w:r>
        <w:rPr>
          <w:rFonts w:hint="default" w:ascii="Times New Roman Regular" w:hAnsi="Times New Roman Regular" w:cs="Times New Roman Regular"/>
          <w:color w:val="auto"/>
          <w:sz w:val="24"/>
          <w:szCs w:val="24"/>
          <w:lang w:val="en-US" w:eastAsia="zh-Hans"/>
        </w:rPr>
        <w:t>ABR (Arts-Based Research) model</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w:t>
      </w:r>
      <w:r>
        <w:rPr>
          <w:rFonts w:hint="default" w:ascii="Times New Roman Regular" w:hAnsi="Times New Roman Regular" w:cs="Times New Roman Regular"/>
          <w:color w:val="auto"/>
          <w:sz w:val="24"/>
          <w:szCs w:val="24"/>
          <w:lang w:val="en-US" w:eastAsia="zh-Hans"/>
        </w:rPr>
        <w:t>Leavy P., 2020</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val="en-US" w:eastAsia="zh-Hans"/>
        </w:rPr>
        <w:t xml:space="preserve">with an emphasis on explaining and understanding the 'unclear connection between the hybrid identity of artists and the hybridity of their bricolage practice.' This research aims to explore the possibility of how bricolage becomes a potential means of reconstructing their identities from 'discontinuities' to 'hybrid identities.' </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p>
    <w:p>
      <w:pPr>
        <w:keepNext w:val="0"/>
        <w:keepLines w:val="0"/>
        <w:pageBreakBefore w:val="0"/>
        <w:widowControl w:val="0"/>
        <w:kinsoku/>
        <w:wordWrap/>
        <w:overflowPunct/>
        <w:topLinePunct w:val="0"/>
        <w:bidi w:val="0"/>
        <w:snapToGrid/>
        <w:jc w:val="center"/>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drawing>
          <wp:anchor distT="0" distB="0" distL="114300" distR="114300" simplePos="0" relativeHeight="251659264" behindDoc="0" locked="0" layoutInCell="1" allowOverlap="1">
            <wp:simplePos x="0" y="0"/>
            <wp:positionH relativeFrom="column">
              <wp:posOffset>1254760</wp:posOffset>
            </wp:positionH>
            <wp:positionV relativeFrom="paragraph">
              <wp:posOffset>38100</wp:posOffset>
            </wp:positionV>
            <wp:extent cx="3482975" cy="2412365"/>
            <wp:effectExtent l="0" t="0" r="22225" b="635"/>
            <wp:wrapTopAndBottom/>
            <wp:docPr id="4" name="图片 4" descr="截屏2023-05-16 21.0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截屏2023-05-16 21.06.23"/>
                    <pic:cNvPicPr>
                      <a:picLocks noChangeAspect="1"/>
                    </pic:cNvPicPr>
                  </pic:nvPicPr>
                  <pic:blipFill>
                    <a:blip r:embed="rId5"/>
                    <a:stretch>
                      <a:fillRect/>
                    </a:stretch>
                  </pic:blipFill>
                  <pic:spPr>
                    <a:xfrm>
                      <a:off x="0" y="0"/>
                      <a:ext cx="3482975" cy="2412365"/>
                    </a:xfrm>
                    <a:prstGeom prst="rect">
                      <a:avLst/>
                    </a:prstGeom>
                  </pic:spPr>
                </pic:pic>
              </a:graphicData>
            </a:graphic>
          </wp:anchor>
        </w:drawing>
      </w:r>
    </w:p>
    <w:p>
      <w:pPr>
        <w:keepNext w:val="0"/>
        <w:keepLines w:val="0"/>
        <w:pageBreakBefore w:val="0"/>
        <w:widowControl w:val="0"/>
        <w:kinsoku/>
        <w:wordWrap/>
        <w:overflowPunct/>
        <w:topLinePunct w:val="0"/>
        <w:bidi w:val="0"/>
        <w:snapToGrid/>
        <w:jc w:val="center"/>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Figure</w:t>
      </w:r>
      <w:r>
        <w:rPr>
          <w:rFonts w:hint="default" w:ascii="Times New Roman Regular" w:hAnsi="Times New Roman Regular" w:cs="Times New Roman Regular"/>
          <w:color w:val="auto"/>
          <w:sz w:val="24"/>
          <w:szCs w:val="24"/>
          <w:lang w:eastAsia="zh-Hans"/>
        </w:rPr>
        <w:t>1</w:t>
      </w:r>
      <w:r>
        <w:rPr>
          <w:rFonts w:hint="default" w:ascii="Times New Roman Regular" w:hAnsi="Times New Roman Regular" w:cs="Times New Roman Regular"/>
          <w:color w:val="auto"/>
          <w:sz w:val="24"/>
          <w:szCs w:val="24"/>
          <w:lang w:eastAsia="zh-Hans"/>
        </w:rPr>
        <w:t>: The Basic Elements of a Research Paradigm</w:t>
      </w:r>
    </w:p>
    <w:p>
      <w:pPr>
        <w:keepNext w:val="0"/>
        <w:keepLines w:val="0"/>
        <w:pageBreakBefore w:val="0"/>
        <w:widowControl w:val="0"/>
        <w:kinsoku/>
        <w:wordWrap/>
        <w:overflowPunct/>
        <w:topLinePunct w:val="0"/>
        <w:bidi w:val="0"/>
        <w:snapToGrid/>
        <w:jc w:val="center"/>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(Source: Guba and Lincoln, 2005; Henry and Macpherson, 2019)</w:t>
      </w:r>
    </w:p>
    <w:p>
      <w:pPr>
        <w:keepNext w:val="0"/>
        <w:keepLines w:val="0"/>
        <w:pageBreakBefore w:val="0"/>
        <w:widowControl w:val="0"/>
        <w:kinsoku/>
        <w:wordWrap/>
        <w:overflowPunct/>
        <w:topLinePunct w:val="0"/>
        <w:bidi w:val="0"/>
        <w:snapToGrid/>
        <w:jc w:val="center"/>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This research adopts a </w:t>
      </w:r>
      <w:r>
        <w:rPr>
          <w:rFonts w:hint="default" w:ascii="Times New Roman Regular" w:hAnsi="Times New Roman Regular" w:cs="Times New Roman Regular"/>
          <w:color w:val="auto"/>
          <w:sz w:val="24"/>
          <w:szCs w:val="24"/>
          <w:lang w:eastAsia="zh-Hans"/>
        </w:rPr>
        <w:t>constructivist paradigm</w:t>
      </w:r>
      <w:r>
        <w:rPr>
          <w:rFonts w:hint="default" w:ascii="Times New Roman Regular" w:hAnsi="Times New Roman Regular" w:cs="Times New Roman Regular"/>
          <w:color w:val="auto"/>
          <w:sz w:val="24"/>
          <w:szCs w:val="24"/>
          <w:lang w:eastAsia="zh-Hans"/>
        </w:rPr>
        <w:t xml:space="preserve">. According to this paradigm, the researcher guides the research by combining the </w:t>
      </w:r>
      <w:r>
        <w:rPr>
          <w:rFonts w:hint="default" w:ascii="Times New Roman Regular" w:hAnsi="Times New Roman Regular" w:cs="Times New Roman Regular"/>
          <w:color w:val="auto"/>
          <w:sz w:val="24"/>
          <w:szCs w:val="24"/>
          <w:lang w:eastAsia="zh-Hans"/>
        </w:rPr>
        <w:t>philosophical stance</w:t>
      </w:r>
      <w:r>
        <w:rPr>
          <w:rFonts w:hint="default" w:ascii="Times New Roman Regular" w:hAnsi="Times New Roman Regular" w:cs="Times New Roman Regular"/>
          <w:color w:val="auto"/>
          <w:sz w:val="24"/>
          <w:szCs w:val="24"/>
          <w:lang w:eastAsia="zh-Hans"/>
        </w:rPr>
        <w:t xml:space="preserve"> of constructivism, the</w:t>
      </w:r>
      <w:r>
        <w:rPr>
          <w:rFonts w:hint="default" w:ascii="Times New Roman Regular" w:hAnsi="Times New Roman Regular" w:cs="Times New Roman Regular"/>
          <w:color w:val="auto"/>
          <w:sz w:val="24"/>
          <w:szCs w:val="24"/>
          <w:lang w:eastAsia="zh-Hans"/>
        </w:rPr>
        <w:t xml:space="preserve"> ontology</w:t>
      </w:r>
      <w:r>
        <w:rPr>
          <w:rFonts w:hint="default" w:ascii="Times New Roman Regular" w:hAnsi="Times New Roman Regular" w:cs="Times New Roman Regular"/>
          <w:color w:val="auto"/>
          <w:sz w:val="24"/>
          <w:szCs w:val="24"/>
          <w:lang w:eastAsia="zh-Hans"/>
        </w:rPr>
        <w:t xml:space="preserve"> of relativism, the</w:t>
      </w:r>
      <w:r>
        <w:rPr>
          <w:rFonts w:hint="default" w:ascii="Times New Roman Regular" w:hAnsi="Times New Roman Regular" w:cs="Times New Roman Regular"/>
          <w:color w:val="auto"/>
          <w:sz w:val="24"/>
          <w:szCs w:val="24"/>
          <w:lang w:eastAsia="zh-Hans"/>
        </w:rPr>
        <w:t xml:space="preserve"> epistemology</w:t>
      </w:r>
      <w:r>
        <w:rPr>
          <w:rFonts w:hint="default" w:ascii="Times New Roman Regular" w:hAnsi="Times New Roman Regular" w:cs="Times New Roman Regular"/>
          <w:color w:val="auto"/>
          <w:sz w:val="24"/>
          <w:szCs w:val="24"/>
          <w:lang w:eastAsia="zh-Hans"/>
        </w:rPr>
        <w:t xml:space="preserve"> of social constructivism, and the </w:t>
      </w:r>
      <w:r>
        <w:rPr>
          <w:rFonts w:hint="default" w:ascii="Times New Roman Regular" w:hAnsi="Times New Roman Regular" w:cs="Times New Roman Regular"/>
          <w:color w:val="auto"/>
          <w:sz w:val="24"/>
          <w:szCs w:val="24"/>
          <w:lang w:eastAsia="zh-Hans"/>
        </w:rPr>
        <w:t>methodology</w:t>
      </w:r>
      <w:r>
        <w:rPr>
          <w:rFonts w:hint="default" w:ascii="Times New Roman Regular" w:hAnsi="Times New Roman Regular" w:cs="Times New Roman Regular"/>
          <w:color w:val="auto"/>
          <w:sz w:val="24"/>
          <w:szCs w:val="24"/>
          <w:lang w:eastAsia="zh-Hans"/>
        </w:rPr>
        <w:t xml:space="preserve"> of interpretive phenomenology. The researcher chooses the abduction approach as the </w:t>
      </w:r>
      <w:r>
        <w:rPr>
          <w:rFonts w:hint="default" w:ascii="Times New Roman Regular" w:hAnsi="Times New Roman Regular" w:cs="Times New Roman Regular"/>
          <w:color w:val="auto"/>
          <w:sz w:val="24"/>
          <w:szCs w:val="24"/>
          <w:lang w:eastAsia="zh-Hans"/>
        </w:rPr>
        <w:t>research approach</w:t>
      </w:r>
      <w:r>
        <w:rPr>
          <w:rFonts w:hint="default" w:ascii="Times New Roman Regular" w:hAnsi="Times New Roman Regular" w:cs="Times New Roman Regular"/>
          <w:color w:val="auto"/>
          <w:sz w:val="24"/>
          <w:szCs w:val="24"/>
          <w:lang w:eastAsia="zh-Hans"/>
        </w:rPr>
        <w:t>, which implies the flexible use of induction and deduction within the research process for generating and analysing data.</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The contextual character of qualitative research findings, which are elicited through a coconstruction between the participant and researcher, is highlighted by a constructivist paradigm.</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val="en-US" w:eastAsia="zh-Hans"/>
        </w:rPr>
        <w:t xml:space="preserve">According to this statement, "Realities are apprehended in the form of multiple, intangiblemental constructions, socially and experientially based, local and specific in nature(Guba &amp; Lincoln, 1994, p. 110)." </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Therefore, the constructivist paradigm and some of the related theories and stances it encompasses can be appropriately used to examine and explain the cultural phenomena and individual behaviours concerning this research. The constructivist paradigm focuses on how society and culture influence artists' perceptions, experiences, and behaviours by emphasising the construction and interpretation of reality in the artists' bricolage practice. By actively exploring the dynamic relationship between art practise and the socio-cultural context of the artist, it can provide a theoretical and methodological framework for research, aiding the researcher in developing a deeper understanding of the complexity of the research phenomenon, and provide richer and more detailed content for this research.</w:t>
      </w:r>
    </w:p>
    <w:p>
      <w:pPr>
        <w:keepNext w:val="0"/>
        <w:keepLines w:val="0"/>
        <w:pageBreakBefore w:val="0"/>
        <w:widowControl w:val="0"/>
        <w:kinsoku/>
        <w:wordWrap/>
        <w:overflowPunct/>
        <w:topLinePunct w:val="0"/>
        <w:bidi w:val="0"/>
        <w:snapToGrid/>
        <w:jc w:val="center"/>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r>
        <w:rPr>
          <w:rFonts w:hint="default" w:ascii="Times New Roman Regular" w:hAnsi="Times New Roman Regular" w:cs="Times New Roman Regular"/>
          <w:color w:val="auto"/>
          <w:sz w:val="24"/>
          <w:szCs w:val="24"/>
          <w:lang w:eastAsia="zh-Hans"/>
        </w:rPr>
        <w:t xml:space="preserve">Based on the qualitative research model of ABR, Three research </w:t>
      </w:r>
      <w:r>
        <w:rPr>
          <w:rFonts w:hint="default" w:ascii="Times New Roman Regular" w:hAnsi="Times New Roman Regular" w:cs="Times New Roman Regular"/>
          <w:color w:val="auto"/>
          <w:sz w:val="24"/>
          <w:szCs w:val="24"/>
          <w:lang w:eastAsia="zh-Hans"/>
        </w:rPr>
        <w:t>objectives</w:t>
      </w:r>
      <w:r>
        <w:rPr>
          <w:rFonts w:hint="default" w:ascii="Times New Roman Regular" w:hAnsi="Times New Roman Regular" w:cs="Times New Roman Regular"/>
          <w:color w:val="auto"/>
          <w:sz w:val="24"/>
          <w:szCs w:val="24"/>
          <w:lang w:eastAsia="zh-Hans"/>
        </w:rPr>
        <w:t xml:space="preserve"> were created for this </w:t>
      </w:r>
      <w:r>
        <w:rPr>
          <w:rFonts w:hint="default" w:ascii="Times New Roman Regular" w:hAnsi="Times New Roman Regular" w:cs="Times New Roman Regular"/>
          <w:color w:val="auto"/>
          <w:sz w:val="24"/>
          <w:szCs w:val="24"/>
          <w:lang w:eastAsia="zh-Hans"/>
        </w:rPr>
        <w:t>research</w:t>
      </w:r>
      <w:r>
        <w:rPr>
          <w:rFonts w:hint="default" w:ascii="Times New Roman Regular" w:hAnsi="Times New Roman Regular" w:cs="Times New Roman Regular"/>
          <w:color w:val="auto"/>
          <w:sz w:val="24"/>
          <w:szCs w:val="24"/>
          <w:lang w:eastAsia="zh-Hans"/>
        </w:rPr>
        <w:t xml:space="preserve">: data generation, analysis and interpretation, and representation. </w:t>
      </w:r>
      <w:r>
        <w:rPr>
          <w:rFonts w:hint="default" w:ascii="Times New Roman Regular" w:hAnsi="Times New Roman Regular" w:cs="Times New Roman Regular"/>
          <w:color w:val="auto"/>
          <w:sz w:val="24"/>
          <w:szCs w:val="24"/>
          <w:lang w:val="en-US" w:eastAsia="zh-Hans"/>
        </w:rPr>
        <w:t>Next, two research methodologies and two research methods will be critically analysed by the researcher. By interspersing a full discussion of the three research objectives, their characteristics, location, and purpose are made clear.</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yellow"/>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highlight w:val="none"/>
        </w:rPr>
        <w:t xml:space="preserve">Methodology </w:t>
      </w:r>
      <w:r>
        <w:rPr>
          <w:rFonts w:hint="default" w:ascii="Times New Roman Bold" w:hAnsi="Times New Roman Bold" w:cs="Times New Roman Bold"/>
          <w:b/>
          <w:bCs/>
          <w:color w:val="auto"/>
          <w:sz w:val="24"/>
          <w:szCs w:val="24"/>
          <w:highlight w:val="none"/>
        </w:rPr>
        <w:t>O</w:t>
      </w:r>
      <w:r>
        <w:rPr>
          <w:rFonts w:hint="default" w:ascii="Times New Roman Bold" w:hAnsi="Times New Roman Bold" w:cs="Times New Roman Bold"/>
          <w:b/>
          <w:bCs/>
          <w:color w:val="auto"/>
          <w:sz w:val="24"/>
          <w:szCs w:val="24"/>
          <w:highlight w:val="none"/>
        </w:rPr>
        <w:t>ne</w:t>
      </w:r>
      <w:r>
        <w:rPr>
          <w:rFonts w:hint="default" w:ascii="Times New Roman Bold" w:hAnsi="Times New Roman Bold" w:cs="Times New Roman Bold"/>
          <w:b/>
          <w:bCs/>
          <w:color w:val="auto"/>
          <w:sz w:val="24"/>
          <w:szCs w:val="24"/>
        </w:rPr>
        <w:t xml:space="preserve">: </w:t>
      </w:r>
      <w:r>
        <w:rPr>
          <w:rFonts w:hint="default" w:ascii="Times New Roman Bold" w:hAnsi="Times New Roman Bold" w:cs="Times New Roman Bold"/>
          <w:b/>
          <w:bCs/>
          <w:color w:val="auto"/>
          <w:sz w:val="24"/>
          <w:szCs w:val="24"/>
          <w:lang w:val="en-US" w:eastAsia="zh-Hans"/>
        </w:rPr>
        <w:t>I</w:t>
      </w:r>
      <w:r>
        <w:rPr>
          <w:rFonts w:hint="default" w:ascii="Times New Roman Bold" w:hAnsi="Times New Roman Bold" w:cs="Times New Roman Bold"/>
          <w:b/>
          <w:bCs/>
          <w:color w:val="auto"/>
          <w:sz w:val="24"/>
          <w:szCs w:val="24"/>
          <w:lang w:eastAsia="zh-Hans"/>
        </w:rPr>
        <w:t xml:space="preserve">nterpretive </w:t>
      </w:r>
      <w:r>
        <w:rPr>
          <w:rFonts w:hint="default" w:ascii="Times New Roman Bold" w:hAnsi="Times New Roman Bold" w:cs="Times New Roman Bold"/>
          <w:b/>
          <w:bCs/>
          <w:color w:val="auto"/>
          <w:sz w:val="24"/>
          <w:szCs w:val="24"/>
          <w:lang w:val="en-US" w:eastAsia="zh-Hans"/>
        </w:rPr>
        <w:t>P</w:t>
      </w:r>
      <w:r>
        <w:rPr>
          <w:rFonts w:hint="default" w:ascii="Times New Roman Bold" w:hAnsi="Times New Roman Bold" w:cs="Times New Roman Bold"/>
          <w:b/>
          <w:bCs/>
          <w:color w:val="auto"/>
          <w:sz w:val="24"/>
          <w:szCs w:val="24"/>
          <w:lang w:eastAsia="zh-Hans"/>
        </w:rPr>
        <w:t>henomenology</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In the first research objective, the data generation stage, the researcher uses </w:t>
      </w:r>
      <w:r>
        <w:rPr>
          <w:rFonts w:hint="default" w:ascii="Times New Roman Regular" w:hAnsi="Times New Roman Regular" w:cs="Times New Roman Regular"/>
          <w:color w:val="auto"/>
          <w:sz w:val="24"/>
          <w:szCs w:val="24"/>
          <w:lang w:eastAsia="zh-Hans"/>
        </w:rPr>
        <w:t xml:space="preserve">interpretive phenomenology </w:t>
      </w:r>
      <w:r>
        <w:rPr>
          <w:rFonts w:hint="default" w:ascii="Times New Roman Regular" w:hAnsi="Times New Roman Regular" w:cs="Times New Roman Regular"/>
          <w:color w:val="auto"/>
          <w:sz w:val="24"/>
          <w:szCs w:val="24"/>
          <w:lang w:eastAsia="zh-Hans"/>
        </w:rPr>
        <w:t xml:space="preserve">as a methodology. </w:t>
      </w:r>
      <w:r>
        <w:rPr>
          <w:rFonts w:hint="default" w:ascii="Times New Roman Regular" w:hAnsi="Times New Roman Regular" w:cs="Times New Roman Regular"/>
          <w:color w:val="auto"/>
          <w:sz w:val="24"/>
          <w:szCs w:val="24"/>
          <w:lang w:eastAsia="zh-Hans"/>
        </w:rPr>
        <w:t>Preliminary data</w:t>
      </w:r>
      <w:r>
        <w:rPr>
          <w:rFonts w:hint="default" w:ascii="Times New Roman Regular" w:hAnsi="Times New Roman Regular" w:cs="Times New Roman Regular"/>
          <w:color w:val="auto"/>
          <w:sz w:val="24"/>
          <w:szCs w:val="24"/>
          <w:lang w:eastAsia="zh-Hans"/>
        </w:rPr>
        <w:t xml:space="preserve"> is generated by selecting contemporary artists from different cultural backgrounds and collecting the parts of their bricolage art practice that involve hybrid identities.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Interpretive phenomenology is a methodology that delves into the meaning of human experience and phenomena (</w:t>
      </w:r>
      <w:r>
        <w:rPr>
          <w:rFonts w:hint="default" w:ascii="Times New Roman Regular" w:hAnsi="Times New Roman Regular" w:cs="Times New Roman Regular"/>
          <w:color w:val="auto"/>
          <w:sz w:val="24"/>
          <w:szCs w:val="24"/>
          <w:highlight w:val="none"/>
          <w:lang w:eastAsia="zh-Hans"/>
        </w:rPr>
        <w:t>Creswell, J.W. and Poth, C.N., 2016</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val="en-US" w:eastAsia="zh-Hans"/>
        </w:rPr>
        <w:t>It attempts to investigate in depth how individuals interpret their social and personal environments</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 xml:space="preserve">(Eatough, V. and Smith, J.A., 2017). The methodology developed later as a fusion of phenomenology and hermeneutics (Peat, G., Rodriguez, A. and Smith, J., 2019). It can be organised (in a series of phases) or less regimented, going in the path the experience suggests—a method focused on discovery. (Spiegelberg 1960; van Kaam 1966. Giorgi 1970. van der Zaim and Bergum 2000). </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highlight w:val="none"/>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highlight w:val="none"/>
          <w:lang w:eastAsia="zh-Hans"/>
        </w:rPr>
      </w:pPr>
      <w:r>
        <w:rPr>
          <w:rFonts w:hint="default" w:ascii="Times New Roman Regular" w:hAnsi="Times New Roman Regular" w:cs="Times New Roman Regular"/>
          <w:color w:val="auto"/>
          <w:sz w:val="24"/>
          <w:szCs w:val="24"/>
          <w:highlight w:val="none"/>
          <w:lang w:eastAsia="zh-Hans"/>
        </w:rPr>
        <w:t>Although applied in diverse ways, interpretive phenomenology, as a methodology, is associated with two main features: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One</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Interpretation</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Interpretive phenomenology places greater emphasis on the interpretation of subjective experience. Researchers using this methodology aim to interpret the meaning and structure of participants' subjective experiences in light of their cultural and social backgrounds.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This feature can be traced back to the basic ideas of phenomenology presented by Edmund Husserl in 'Ideas: General Introduction to Pure Phenomenology' (1913), in which Husserl emphasised the importance of subjective interpretation regarding lived experience. This assertion served as the cornerstone for the later growth of interpretative phenomenology.</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Later, in Martin Heidegger's phenomenological work "Being and Time" (1927), he emphasised the hermeneutic aspect of understanding existence in phenomenological research. Based on Heidegger, the interpretive process between researcher and participant was further enhanced (Peat, G., Rodriguez, A. and Smith, J., 2019). Many contemporary scholars have developed and extended this feature uniquely through subsequent research incorporating it into specific interpretive phenomenological methodological studies. For example, the Canadian scholar Max van Manen has extended the concept of interpretive phenomenology in the context of qualitative research. His work has contributed to applying interpretive phenomenology in various fields, such as education, nursing, and psychology, providing practical guidance for researchers (Smith, J.A. and Osborn, M., 2015).</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Guided by the interpretive phenomenological methodology, the feature of 'interpretation' plays an essential role in this research. Employing an interpretative Phenomenological Analysis (IPA) approach, the researcher will interview, observe and study the artist's bricolage practice process in the light of the artist's cultural and social background to identify the components of their bricolage practice processes.The interpretive analysis involved delving into the rich and nuanced aspects of the participants' lived experiences, motivations for bricolage practice, and the impact of bricolage artworks on their construction of hybrid identities in the research. The research thus yields preliminary data. The data can be visual (from artworks) or textual (from observations, interviews, documentation, etc.).</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val="en-US" w:eastAsia="zh-Hans"/>
        </w:rPr>
        <w:t>Two</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Reflexivity and Contextualisation</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Interpretive phenomenology also advocates the inclusion of reflexivity and contextualisation in research. Specifically, it refers to encouraging researchers to </w:t>
      </w:r>
      <w:r>
        <w:rPr>
          <w:rFonts w:hint="default" w:ascii="Times New Roman Regular" w:hAnsi="Times New Roman Regular" w:cs="Times New Roman Regular"/>
          <w:color w:val="auto"/>
          <w:sz w:val="24"/>
          <w:szCs w:val="24"/>
          <w:lang w:eastAsia="zh-Hans"/>
        </w:rPr>
        <w:t>reflect on their assumptions and biases in the process of interpretation</w:t>
      </w:r>
      <w:r>
        <w:rPr>
          <w:rFonts w:hint="default" w:ascii="Times New Roman Regular" w:hAnsi="Times New Roman Regular" w:cs="Times New Roman Regular"/>
          <w:color w:val="auto"/>
          <w:sz w:val="24"/>
          <w:szCs w:val="24"/>
          <w:lang w:eastAsia="zh-Hans"/>
        </w:rPr>
        <w:t>, while taking complete account of the broader sociocultural context that has influenced participants' subjective experiences.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Canadian scholar Max van Manen has actively explored this key feature in his book 'Phenomenology of Practice: Meaning-giving methods in phenomenological research and Writing' (2023). The book emphasizes the value of reflexivity and contextualisation in phenomenological research. It stresses that researchers must be conscious of their biases and preconceptions and locate their work within a larger social and cultural framework. Van Manen argues that phenomenology is not just a method, but a way of being in the world, and that researchers must be attuned to how their own experiences shape their understanding of the phenomena they are studying. </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 features of reflexivity and contextualisation are considered in the 'Research Ethics' section of this research. The researcher will discuss certain ethical difficulties, such as presumptions, biases, and self-awareness of the study viewpoint, that may have arisen throughout the research process in this part. This entails critically analysing how the researcher's cultural upbringing and life experiences affect how she or he perceives bricolage and hybrid identities and how they affect data gathering and theme analysis. The researcher's awareness of the underlying diversity and complexity of cultural identities is ensured by this reflexivity</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(Clancy, M., 2013; Olmos-Vega, F.M., Stalmeijer, R.E., Varpio, L. and Kahlke, R., 2023).</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As a bricolage artist, the researcher can draw on a consideration of this feature to explore the intersection of the artist's self and the scholar's self (Lam, A., 2018) and how this feature might influence their future work.</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vertAlign w:val="baseline"/>
        </w:rPr>
      </w:pPr>
      <w:r>
        <w:rPr>
          <w:rFonts w:hint="default" w:ascii="Times New Roman Bold" w:hAnsi="Times New Roman Bold" w:cs="Times New Roman Bold"/>
          <w:b/>
          <w:bCs/>
          <w:color w:val="auto"/>
          <w:sz w:val="24"/>
          <w:szCs w:val="24"/>
          <w:highlight w:val="none"/>
        </w:rPr>
        <w:t>Methodology two</w:t>
      </w:r>
      <w:r>
        <w:rPr>
          <w:rFonts w:hint="default" w:ascii="Times New Roman Bold" w:hAnsi="Times New Roman Bold" w:cs="Times New Roman Bold"/>
          <w:b/>
          <w:bCs/>
          <w:color w:val="auto"/>
          <w:sz w:val="24"/>
          <w:szCs w:val="24"/>
        </w:rPr>
        <w:t xml:space="preserve">: </w:t>
      </w:r>
      <w:r>
        <w:rPr>
          <w:rFonts w:hint="default" w:ascii="Times New Roman Bold" w:hAnsi="Times New Roman Bold" w:cs="Times New Roman Bold"/>
          <w:b/>
          <w:bCs/>
          <w:color w:val="auto"/>
          <w:sz w:val="24"/>
          <w:szCs w:val="24"/>
          <w:lang w:val="en-US" w:eastAsia="zh-Hans"/>
        </w:rPr>
        <w:t>Auto</w:t>
      </w:r>
      <w:r>
        <w:rPr>
          <w:rFonts w:hint="default" w:ascii="Times New Roman Bold" w:hAnsi="Times New Roman Bold" w:cs="Times New Roman Bold"/>
          <w:b/>
          <w:bCs/>
          <w:color w:val="auto"/>
          <w:sz w:val="24"/>
          <w:szCs w:val="24"/>
          <w:lang w:eastAsia="zh-Hans"/>
        </w:rPr>
        <w:t>-e</w:t>
      </w:r>
      <w:r>
        <w:rPr>
          <w:rFonts w:hint="default" w:ascii="Times New Roman Bold" w:hAnsi="Times New Roman Bold" w:cs="Times New Roman Bold"/>
          <w:b/>
          <w:bCs/>
          <w:color w:val="auto"/>
          <w:sz w:val="24"/>
          <w:szCs w:val="24"/>
          <w:highlight w:val="none"/>
          <w:vertAlign w:val="baseline"/>
        </w:rPr>
        <w:t>thnography</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Autoethnography is a research methodology that combines autobiography and ethnography. It connects personal experiences to broader cultural, political, and social meanings and understandings (Jones, S.H., Adams, T.E. and Ellis, C., 2016). This methodology can provide a deeper understanding of how bricolage art practice can transform an artist's identity and contribute to developing a hybrid identity (Roberts, L., 2018). The core focuses on questions of method, research ethics, and autoethnographic approaches, in particular, will be presented in this objective (Brogden, L.M., 2008).</w:t>
      </w: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the third objective of the research, 'presentation,' the researcher will use an autoethnographic methodology to create something more profound and liberating in the specific practice of bricolage, which allows the artist to become a subject in bricolage art practice, free from the control of linear research thinking over the process of practice, and to actively respond to and challenge the connections that are automatically made between the materials of practice.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Autoethnography as a methodology is associated with two main features: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One</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Personal Narrative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Autoethnography highlights the use of personal narratives as the primary source of data. Researchers use their experiences, reflections, and observations to explore cultural phenomena and understand their subjective meanings</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(Ellis, C., Adams, T.E. and Bochner, A.P., 2011; Poulos, C.N., 2021).</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val="en-US" w:eastAsia="zh-Hans"/>
        </w:rPr>
        <w:t>In "Performing Autoethnography: An Embodied Methodological Praxis" by Spry (2001), the author argues that, in contrast to traditional qualitative research methodologies, autoethnography places greater emphasis on the researcher introducing personal narratives into the research to convey and explain these experiences. Th</w:t>
      </w:r>
      <w:r>
        <w:rPr>
          <w:rFonts w:hint="default" w:ascii="Times New Roman Regular" w:hAnsi="Times New Roman Regular" w:cs="Times New Roman Regular"/>
          <w:color w:val="auto"/>
          <w:sz w:val="24"/>
          <w:szCs w:val="24"/>
          <w:lang w:eastAsia="zh-Hans"/>
        </w:rPr>
        <w:t>is</w:t>
      </w:r>
      <w:r>
        <w:rPr>
          <w:rFonts w:hint="default" w:ascii="Times New Roman Regular" w:hAnsi="Times New Roman Regular" w:cs="Times New Roman Regular"/>
          <w:color w:val="auto"/>
          <w:sz w:val="24"/>
          <w:szCs w:val="24"/>
          <w:lang w:val="en-US" w:eastAsia="zh-Hans"/>
        </w:rPr>
        <w:t xml:space="preserve"> feature of autoethnography, in turn, has the potential to develop into a personal, professional, and political method of inquiry and can lead to emancipatory results (Hokkanen, S., 2017).</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this research, the researcher can combine the personal narratives of the Scholar's Self and the art practices of the Artist's Self in a personal narrative that explores the encounter between hybrid identity and bricolage art. The feature of personal narrative allows the researcher to delve into the subjective experiences implicated in the process of art practice. It enables the researcher to provide valuable insights into how bricolage contributes to the construction of hybrid identities (Emerald, E. and Carpenter, L., 2017).</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val="en-US"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Two</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val="en-US" w:eastAsia="zh-Hans"/>
        </w:rPr>
        <w:t xml:space="preserve">Emotion and </w:t>
      </w:r>
      <w:r>
        <w:rPr>
          <w:rFonts w:hint="default" w:ascii="Times New Roman Bold" w:hAnsi="Times New Roman Bold" w:cs="Times New Roman Bold"/>
          <w:b/>
          <w:bCs/>
          <w:color w:val="auto"/>
          <w:sz w:val="24"/>
          <w:szCs w:val="24"/>
          <w:lang w:eastAsia="zh-Hans"/>
        </w:rPr>
        <w:t>E</w:t>
      </w:r>
      <w:r>
        <w:rPr>
          <w:rFonts w:hint="default" w:ascii="Times New Roman Bold" w:hAnsi="Times New Roman Bold" w:cs="Times New Roman Bold"/>
          <w:b/>
          <w:bCs/>
          <w:color w:val="auto"/>
          <w:sz w:val="24"/>
          <w:szCs w:val="24"/>
          <w:lang w:val="en-US" w:eastAsia="zh-Hans"/>
        </w:rPr>
        <w:t>mbodiment</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val="en-US"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Autoethnography recognises the importance of emotion and embodiment in understanding subjective experience and human culture. Researchers exploring cultural phenomena will come into contact with their own emotions, feelings, and bodily experiences, leading to a fuller understanding of lived experience. Autoethnography can be a suitable method for studying complex emotional experiences, and it helps to analyse emotions (Buzard, 2003; Anderson, 2006； Dauphinee, 2010； Tolich, 2010; Buckley, R., 2015; Akehurst, G. and Scott, S., 2023).</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val="en-US" w:eastAsia="zh-Hans"/>
        </w:rPr>
      </w:pPr>
      <w:r>
        <w:rPr>
          <w:rFonts w:hint="default" w:ascii="Times New Roman Regular" w:hAnsi="Times New Roman Regular" w:cs="Times New Roman Regular"/>
          <w:color w:val="auto"/>
          <w:sz w:val="24"/>
          <w:szCs w:val="24"/>
          <w:lang w:val="en-US" w:eastAsia="zh-Hans"/>
        </w:rPr>
        <w:t>Autoethnography is seen as a methodological practice that produces knowledge and invites readers and audiences to participate in the research through an embodied and emotional approach. The researcher's body is emphasised as a central aspect of the research process, becoming a site for experiencing and expressing lived experience (Spry, T., 2001).</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 emotional and embodied feature is of great value in autoethnographic research and has transformative qualities. By drawing on this feature, researchers can facilitate audience empathy and embody creativity with vulnerability and empathy. It can also provide audiences with a deeper understanding of personal narratives and their broader implications, and invite them to connect with the research on an emotional and embodied level, prompting them to consider why they think and feel that way (Fuller, C.M., 2019; Jordan, W., 2021).</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These two critical features of autoethnography can form the basis of this cultural study. In this study, the researcher will discuss how bricolage, as a mode of art practice, provokes the conflation of various emotions and engages the body in the creative process. Focusing on the emotional and embodied dimensions of bricolage, the researcher will explore their own emotional and bodily experiences as an artist and other artists' experiences to facilitate the construction and expression of hybrid identities.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Admittedly, autoethnography as a methodology can lead researchers to gain a richer understanding and more unique insights into the transformative potential of collage art and its connection to hybrid identities. However, it also has certain limitations and the inability to provide a comprehensive explanation of the subject of study in some areas.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Due to autoethnography's focus on personal experience, its findings may be difficult to generalise to a wider range of people or cultural contexts. The lack of other representative samples in the research will make statements about how bricolage reconstructs hybrid identities lacking persuasiveness and validity.</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At the same time, autoethnography as a methodology blurs the role boundaries between researcher and participant, and as a result, findings may be confounded by more personal motivations and potential influencing factors, raising questions of credibility and the limitations imposed by the lack of an external perspective.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acknowledging the methodological limitations of the research, researchers can enhance the generalisability of the research by critically reflecting on their research position and the potential biases arising from their cultural background. It is essential to address the target audience's concerns about the potential impact of self-ethnography-related self-presentation and the motivation for the research. Researchers can also help to mitigate the limitations imposed by autoethnography by incorporating other research methodologies, such as the theoretical framework of interpretive phenomenology,</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thereby increasing the breadth of research perspectives.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000000" w:themeColor="text1"/>
          <w:sz w:val="24"/>
          <w:szCs w:val="24"/>
          <w:lang w:eastAsia="zh-Hans"/>
          <w14:textFill>
            <w14:solidFill>
              <w14:schemeClr w14:val="tx1"/>
            </w14:solidFill>
          </w14:textFill>
        </w:rPr>
      </w:pPr>
      <w:r>
        <w:rPr>
          <w:rFonts w:hint="default" w:ascii="Times New Roman Bold" w:hAnsi="Times New Roman Bold" w:cs="Times New Roman Bold"/>
          <w:b/>
          <w:bCs/>
          <w:color w:val="000000" w:themeColor="text1"/>
          <w:sz w:val="24"/>
          <w:szCs w:val="24"/>
          <w:highlight w:val="none"/>
          <w14:textFill>
            <w14:solidFill>
              <w14:schemeClr w14:val="tx1"/>
            </w14:solidFill>
          </w14:textFill>
        </w:rPr>
        <w:t xml:space="preserve">Method </w:t>
      </w:r>
      <w:r>
        <w:rPr>
          <w:rFonts w:hint="default" w:ascii="Times New Roman Bold" w:hAnsi="Times New Roman Bold" w:cs="Times New Roman Bold"/>
          <w:b/>
          <w:bCs/>
          <w:color w:val="000000" w:themeColor="text1"/>
          <w:sz w:val="24"/>
          <w:szCs w:val="24"/>
          <w:highlight w:val="none"/>
          <w14:textFill>
            <w14:solidFill>
              <w14:schemeClr w14:val="tx1"/>
            </w14:solidFill>
          </w14:textFill>
        </w:rPr>
        <w:t>O</w:t>
      </w:r>
      <w:r>
        <w:rPr>
          <w:rFonts w:hint="default" w:ascii="Times New Roman Bold" w:hAnsi="Times New Roman Bold" w:cs="Times New Roman Bold"/>
          <w:b/>
          <w:bCs/>
          <w:color w:val="000000" w:themeColor="text1"/>
          <w:sz w:val="24"/>
          <w:szCs w:val="24"/>
          <w:highlight w:val="none"/>
          <w14:textFill>
            <w14:solidFill>
              <w14:schemeClr w14:val="tx1"/>
            </w14:solidFill>
          </w14:textFill>
        </w:rPr>
        <w:t>ne:</w:t>
      </w:r>
      <w:r>
        <w:rPr>
          <w:rFonts w:hint="default" w:ascii="Times New Roman Bold" w:hAnsi="Times New Roman Bold" w:cs="Times New Roman Bold"/>
          <w:b/>
          <w:bCs/>
          <w:color w:val="000000" w:themeColor="text1"/>
          <w:sz w:val="24"/>
          <w:szCs w:val="24"/>
          <w:highlight w:val="none"/>
          <w14:textFill>
            <w14:solidFill>
              <w14:schemeClr w14:val="tx1"/>
            </w14:solidFill>
          </w14:textFill>
        </w:rPr>
        <w:t xml:space="preserve"> </w:t>
      </w:r>
      <w:r>
        <w:rPr>
          <w:rFonts w:hint="default" w:ascii="Times New Roman Bold" w:hAnsi="Times New Roman Bold" w:cs="Times New Roman Bold"/>
          <w:b/>
          <w:bCs/>
          <w:color w:val="000000" w:themeColor="text1"/>
          <w:sz w:val="24"/>
          <w:szCs w:val="24"/>
          <w:lang w:eastAsia="zh-Hans"/>
          <w14:textFill>
            <w14:solidFill>
              <w14:schemeClr w14:val="tx1"/>
            </w14:solidFill>
          </w14:textFill>
        </w:rPr>
        <w:t xml:space="preserve">Case Study </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000000" w:themeColor="text1"/>
          <w:sz w:val="24"/>
          <w:szCs w:val="24"/>
          <w:lang w:eastAsia="zh-Hans"/>
          <w14:textFill>
            <w14:solidFill>
              <w14:schemeClr w14:val="tx1"/>
            </w14:solidFill>
          </w14:textFill>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 xml:space="preserve">A case study is a common research method in cultural studies that entails thoroughly examining and analysing a particular person, group, community, or phenomenon in a real-life context (Dunn, S.W., 1966; Alasuutari, P., 1996). </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pStyle w:val="6"/>
        <w:keepNext w:val="0"/>
        <w:keepLines w:val="0"/>
        <w:pageBreakBefore w:val="0"/>
        <w:widowControl w:val="0"/>
        <w:numPr>
          <w:ilvl w:val="0"/>
          <w:numId w:val="0"/>
        </w:numPr>
        <w:kinsoku/>
        <w:wordWrap/>
        <w:overflowPunct/>
        <w:topLinePunct w:val="0"/>
        <w:autoSpaceDE w:val="0"/>
        <w:autoSpaceDN w:val="0"/>
        <w:bidi w:val="0"/>
        <w:adjustRightInd w:val="0"/>
        <w:snapToGrid/>
        <w:contextualSpacing/>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research objective two, the analysis and interpretation stage, the researcher will introduce a case study method to investigate the influencing factors, motivations, and subjective experiences of artists involved in hybrid identities during their bricolage art practice to generate further data. The researcher seeks to identify and describe the hidden patterns embedded in the data.</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At this stage, the researcher suggests that more contemporary artworks could be considered bricolage art. This suggestion would allow the study of bricolage art to rely less on its traditional concepts and representations, and pay more attention to the phenomena and objects that it skewers in contemporary art practice.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Robert K. Yin (2009)’s bookcase study research: Design and Methods (Vol. 5)’, Yin devises a systematic and rigorous approach, principles, and technical references for case studies and highlights five key features of it: Detailed examination, Contextual analysis, Multiple data sources, Longitudinal or retrospective focus, and Theory building or theory testing.</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According to the research phenomenon and aim, this research is associated with two main features: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One</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 xml:space="preserve">Detailed </w:t>
      </w:r>
      <w:r>
        <w:rPr>
          <w:rFonts w:hint="default" w:ascii="Times New Roman Bold" w:hAnsi="Times New Roman Bold" w:cs="Times New Roman Bold"/>
          <w:b/>
          <w:bCs/>
          <w:color w:val="auto"/>
          <w:sz w:val="24"/>
          <w:szCs w:val="24"/>
          <w:lang w:eastAsia="zh-Hans"/>
        </w:rPr>
        <w:t>E</w:t>
      </w:r>
      <w:r>
        <w:rPr>
          <w:rFonts w:hint="default" w:ascii="Times New Roman Bold" w:hAnsi="Times New Roman Bold" w:cs="Times New Roman Bold"/>
          <w:b/>
          <w:bCs/>
          <w:color w:val="auto"/>
          <w:sz w:val="24"/>
          <w:szCs w:val="24"/>
          <w:lang w:eastAsia="zh-Hans"/>
        </w:rPr>
        <w:t>xamination</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Case studies involve a comprehensive and detailed investigation of one or more specific cases. The researcher collects rich and extensive data from various sources, including interviews, observations, documents, and artifacts, to comprehensively understand the subject and topic under study. The case study method enables a thorough, comprehensive examination of complicated topics in actual contexts (Baxter, P. and Jack, S., 2008; Yin, R.K., 2009; Crowe, S., Cresswell, K., Robertson, A., Huby, G., Avery, A. and Sheikh, A., 2011; Priya, A., 2021).</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this research, by detailed examining the possibilities of how 'bricolage' can be a means of reconstructing artists' hybrid identities, the researcher can fully explore the various aspects of the participants' art practices which involve hybrid identities, their components, and the impact of their processes on identity reconstruction. From this perspective, the researcher has reconceptualised the concepts of bricolage and hybrid identity in the context of art practice, to elucidate how these concepts help artists clarify their practice's underlying logic while providing more vivid data for cultural studies.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Two</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 xml:space="preserve">Contextual </w:t>
      </w:r>
      <w:r>
        <w:rPr>
          <w:rFonts w:hint="default" w:ascii="Times New Roman Bold" w:hAnsi="Times New Roman Bold" w:cs="Times New Roman Bold"/>
          <w:b/>
          <w:bCs/>
          <w:color w:val="auto"/>
          <w:sz w:val="24"/>
          <w:szCs w:val="24"/>
          <w:lang w:eastAsia="zh-Hans"/>
        </w:rPr>
        <w:t>A</w:t>
      </w:r>
      <w:r>
        <w:rPr>
          <w:rFonts w:hint="default" w:ascii="Times New Roman Bold" w:hAnsi="Times New Roman Bold" w:cs="Times New Roman Bold"/>
          <w:b/>
          <w:bCs/>
          <w:color w:val="auto"/>
          <w:sz w:val="24"/>
          <w:szCs w:val="24"/>
          <w:lang w:eastAsia="zh-Hans"/>
        </w:rPr>
        <w:t>nalysis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Contextual analysis is an essential feature of case studies. It emphasises the importance of studying cases in a real-life context, considering the socio-cultural, historical, and environmental factors that influence the case and its outcome (Crowe, S., Cresswell, K., Robertson, A., Huby, G., Avery, A. and Sheikh, A., 2011; Poulis, K., Poulis, E. and Plakoyiannaki, E., 2013; Svensson, L., 2021).</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Specifically, the researcher will select a group of contemporary artists from different cultural backgrounds who are representative and identity-typical of the industry, in order to be able to delve into specific contexts, behaviours, and experiences in their bricolage practice.</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They are:</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Sarah Sze</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Robert Rauschenberg</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Lorna Simpson</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Mona Hatoum</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 xml:space="preserve">Shiota Chiharu </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Shilpa Gupta</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Ghada Amer</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Wangechi Mutu</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Juliana Huxtable</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Cao Fei</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Xu Zhen</w:t>
      </w:r>
      <w:r>
        <w:rPr>
          <w:rFonts w:hint="default" w:ascii="Times New Roman Regular" w:hAnsi="Times New Roman Regular" w:cs="Times New Roman Regular"/>
          <w:color w:val="auto"/>
          <w:sz w:val="24"/>
          <w:szCs w:val="24"/>
          <w:lang w:eastAsia="zh-Hans"/>
        </w:rPr>
        <w:t xml:space="preserve">, and </w:t>
      </w:r>
      <w:r>
        <w:rPr>
          <w:rFonts w:hint="default" w:ascii="Times New Roman Regular" w:hAnsi="Times New Roman Regular" w:cs="Times New Roman Regular"/>
          <w:color w:val="auto"/>
          <w:sz w:val="24"/>
          <w:szCs w:val="24"/>
          <w:lang w:eastAsia="zh-Hans"/>
        </w:rPr>
        <w:t>Zheng Yuan</w:t>
      </w:r>
      <w:r>
        <w:rPr>
          <w:rFonts w:hint="default" w:ascii="Times New Roman Regular" w:hAnsi="Times New Roman Regular" w:cs="Times New Roman Regular"/>
          <w:color w:val="auto"/>
          <w:sz w:val="24"/>
          <w:szCs w:val="24"/>
          <w:lang w:eastAsia="zh-Hans"/>
        </w:rPr>
        <w:t>.</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There are three reasons for the selection of the above research subjects: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Firstly, there is a clear relationship between the selected artists as influences and influences, allowing for a comparative study. For example, Sze has confessed that her assemblage practice is directly influenced by Rauschenberg's 'process-driven, assemblage approach to image-making,' so the researcher will conduct a comparative study between Sze and Rauschenberg. Through their specific assemblage artworks, analyze how two artists of different generations, identities, and backgrounds, working on similar art practices in the same country, can express hybridity in their work from different perspectives and through different visual languages and reflect the tendency towards hybrid identities in their time;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Secondly, the researcher focused on selecting artists with a non-monocultural identity or cultural background. This move is intended to challenge fixed notions of cultural identity in order to respond to the fluidity and hybridity of contemporary cultural trends, thus pointing to the notion of hybrid identity;</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Thirdly, the researcher has paid particular attention to the tendency towards hybrid identities among contemporary Asian artists. In a context where research remains Western-focused, the existing literature is often limited to the interpretation and dissemination of the tendency toward hybrid identities in the work of Western artists. Few studies have focused on the tendency of Asian contemporary artists to hybridise their identities, or to contribute to the world's understanding of Asian contemporary art and culture. Such a phenomenon has the potential to limit the relevance of research and theory and deserves to draw the attention of researchers to non-Western cultural perspectives. This move is intended to allow the hybrid identities constructed by contemporary Asian artists in bricolage practice to be reassessed to challenge the narrative and discursive positioning of them by others in the field.</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Case studies are valuable for thoroughly exploring the complex cultural phenomenon of hybrid identities, but they also have limitations.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Firstly, case studies usually select a small sample and focus on one or several cases, preventing a comprehensive, large-scale study. This may result in the selected sample not capturing the full diversity and variability within the collage artist community, thus limiting the generalisability of the findings</w:t>
      </w:r>
      <w:r>
        <w:rPr>
          <w:rFonts w:hint="default" w:ascii="Times New Roman Regular" w:hAnsi="Times New Roman Regular" w:cs="Times New Roman Regular"/>
          <w:color w:val="auto"/>
          <w:sz w:val="24"/>
          <w:szCs w:val="24"/>
          <w:lang w:eastAsia="zh-Hans"/>
        </w:rPr>
        <w:t>.</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Next, there are limitations to the qualitative data analysis commonly used in case studies, which cannot generalise the results from quantitative analysis or statistical generalisation</w:t>
      </w:r>
      <w:r>
        <w:rPr>
          <w:rFonts w:hint="default" w:ascii="Times New Roman Regular" w:hAnsi="Times New Roman Regular" w:cs="Times New Roman Regular"/>
          <w:color w:val="auto"/>
          <w:sz w:val="24"/>
          <w:szCs w:val="24"/>
          <w:lang w:eastAsia="zh-Hans"/>
        </w:rPr>
        <w:t>.</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Furthermore, the case study process requires careful ethical consideration. Even if different types of information about the artist are obtained from multiple perspectives, it is important to ensure informed consent, privacy, and confidentiality to ensure that this study upholds ethical standards and protects the rights of the participants.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As a result of these limitations, researchers should improve the validity and reliability of case study findings through more rigorous research design and more reflective methods of data collection and analysis.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highlight w:val="none"/>
          <w:vertAlign w:val="baseline"/>
        </w:rPr>
      </w:pPr>
      <w:r>
        <w:rPr>
          <w:rFonts w:hint="default" w:ascii="Times New Roman Bold" w:hAnsi="Times New Roman Bold" w:cs="Times New Roman Bold"/>
          <w:b/>
          <w:bCs/>
          <w:color w:val="auto"/>
          <w:sz w:val="24"/>
          <w:szCs w:val="24"/>
          <w:highlight w:val="none"/>
        </w:rPr>
        <w:t xml:space="preserve">Method </w:t>
      </w:r>
      <w:r>
        <w:rPr>
          <w:rFonts w:hint="default" w:ascii="Times New Roman Bold" w:hAnsi="Times New Roman Bold" w:cs="Times New Roman Bold"/>
          <w:b/>
          <w:bCs/>
          <w:color w:val="auto"/>
          <w:sz w:val="24"/>
          <w:szCs w:val="24"/>
          <w:highlight w:val="none"/>
        </w:rPr>
        <w:t>T</w:t>
      </w:r>
      <w:r>
        <w:rPr>
          <w:rFonts w:hint="default" w:ascii="Times New Roman Bold" w:hAnsi="Times New Roman Bold" w:cs="Times New Roman Bold"/>
          <w:b/>
          <w:bCs/>
          <w:color w:val="auto"/>
          <w:sz w:val="24"/>
          <w:szCs w:val="24"/>
          <w:highlight w:val="none"/>
        </w:rPr>
        <w:t>wo:</w:t>
      </w:r>
      <w:r>
        <w:rPr>
          <w:rFonts w:hint="default" w:ascii="Times New Roman Bold" w:hAnsi="Times New Roman Bold" w:cs="Times New Roman Bold"/>
          <w:b/>
          <w:bCs/>
          <w:color w:val="auto"/>
          <w:sz w:val="24"/>
          <w:szCs w:val="24"/>
          <w:highlight w:val="none"/>
          <w:vertAlign w:val="baseline"/>
        </w:rPr>
        <w:t xml:space="preserve"> Mixed </w:t>
      </w:r>
      <w:r>
        <w:rPr>
          <w:rFonts w:hint="default" w:ascii="Times New Roman Bold" w:hAnsi="Times New Roman Bold" w:cs="Times New Roman Bold"/>
          <w:b/>
          <w:bCs/>
          <w:color w:val="auto"/>
          <w:sz w:val="24"/>
          <w:szCs w:val="24"/>
          <w:highlight w:val="none"/>
          <w:vertAlign w:val="baseline"/>
        </w:rPr>
        <w:t>M</w:t>
      </w:r>
      <w:r>
        <w:rPr>
          <w:rFonts w:hint="default" w:ascii="Times New Roman Bold" w:hAnsi="Times New Roman Bold" w:cs="Times New Roman Bold"/>
          <w:b/>
          <w:bCs/>
          <w:color w:val="auto"/>
          <w:sz w:val="24"/>
          <w:szCs w:val="24"/>
          <w:highlight w:val="none"/>
          <w:vertAlign w:val="baseline"/>
        </w:rPr>
        <w:t>ethods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highlight w:val="none"/>
          <w:vertAlign w:val="baseline"/>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 researcher formulated a mixed methods approach, conducting interviews and questionnaires to collect qualitative data, and then using statistical methods to analyse the values to obtain quantitative data. By integrating qualitative and quantitative data, the research investigates the influencing factors, motivations, and subjective experiences of contemporary artists involved in hybrid identities during their bricolage art practice, ultimately revealing the relationship between their hybrid identities and the hybridity of their art practice.</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The mixed methods approach combines qualitative and quantitative methods to understand the research subject comprehensively. It offers the benefits of both ways by integrating different data collection and analysis techniques. Mixed methods are beneficial when studying cross-cultural or cultural contexts, as they allow for both etic (i.e., intercultural) and emic (i.e., intracultural) perspectives (Karasz, A. and Singelis, T.M., 2009; Panda, A. and Gupta, R.K., 2013; Robinson, R.V., David, E.J.R. and Hill, M., 2016; Schrauf, R.W., 2018).</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One</w:t>
      </w:r>
      <w:r>
        <w:rPr>
          <w:rFonts w:hint="default" w:ascii="Times New Roman Bold" w:hAnsi="Times New Roman Bold" w:cs="Times New Roman Bold"/>
          <w:b/>
          <w:bCs/>
          <w:color w:val="auto"/>
          <w:sz w:val="24"/>
          <w:szCs w:val="24"/>
          <w:lang w:eastAsia="zh-Hans"/>
        </w:rPr>
        <w:t>: Integration of qualitative and quantitative data</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Mixed methods entail gathering and analysing data from both the qualitative and the quantitative perspectives.</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Qualitative methods, such as interviews, observation, and textual analysis, provide insight and understanding of cultural phenomena. Quantitative techniques like surveys and statistical analyses allow for generalisations and statistical relationships between variables. Mixed methods draw on the strengths of both qualitative and quantitative approaches. Qualitative methods provide rich, contextualised data to explore meaning and experience, while quantitative methods provide statistical analysis and generalisation (Karasz, A. and Singelis, T.M., 2009; Panda, A. and Gupta, R.K., 2013; Robinson, R.V., David, E.J.R. and Hill, M., 2016; Doucerain, M., Vargas, S. and Ryder, A.G., 2016</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Schrauf, R.W., 2018).</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In this research, the researcher will collect qualitative data utilizing interviews with relevant artists, making observations, and referencing their narratives to understand their subjective experiences. These qualitative data could be the artists' bricolage practice process, their challenges, and their insights into their hybrid identities.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On the other hand, the researcher will also reach out to the target group on mainstream social media by designing surveys and questionnaires to collect quantitative data on topics such as the frequency, motivation, and impact of their bricolage art practice, their satisfaction with their current cultural identity, and their perceptions of their hybrid identity.</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r>
        <w:rPr>
          <w:rFonts w:hint="default" w:ascii="Times New Roman Bold" w:hAnsi="Times New Roman Bold" w:cs="Times New Roman Bold"/>
          <w:b/>
          <w:bCs/>
          <w:color w:val="auto"/>
          <w:sz w:val="24"/>
          <w:szCs w:val="24"/>
          <w:lang w:eastAsia="zh-Hans"/>
        </w:rPr>
        <w:t xml:space="preserve">Feature </w:t>
      </w:r>
      <w:r>
        <w:rPr>
          <w:rFonts w:hint="default" w:ascii="Times New Roman Bold" w:hAnsi="Times New Roman Bold" w:cs="Times New Roman Bold"/>
          <w:b/>
          <w:bCs/>
          <w:color w:val="auto"/>
          <w:sz w:val="24"/>
          <w:szCs w:val="24"/>
          <w:lang w:eastAsia="zh-Hans"/>
        </w:rPr>
        <w:t>Two</w:t>
      </w:r>
      <w:r>
        <w:rPr>
          <w:rFonts w:hint="default" w:ascii="Times New Roman Bold" w:hAnsi="Times New Roman Bold" w:cs="Times New Roman Bold"/>
          <w:b/>
          <w:bCs/>
          <w:color w:val="auto"/>
          <w:sz w:val="24"/>
          <w:szCs w:val="24"/>
          <w:lang w:eastAsia="zh-Hans"/>
        </w:rPr>
        <w:t>:</w:t>
      </w:r>
      <w:r>
        <w:rPr>
          <w:rFonts w:hint="default" w:ascii="Times New Roman Bold" w:hAnsi="Times New Roman Bold" w:cs="Times New Roman Bold"/>
          <w:b/>
          <w:bCs/>
          <w:color w:val="auto"/>
          <w:sz w:val="24"/>
          <w:szCs w:val="24"/>
          <w:lang w:eastAsia="zh-Hans"/>
        </w:rPr>
        <w:t xml:space="preserve"> </w:t>
      </w:r>
      <w:r>
        <w:rPr>
          <w:rFonts w:hint="default" w:ascii="Times New Roman Bold" w:hAnsi="Times New Roman Bold" w:cs="Times New Roman Bold"/>
          <w:b/>
          <w:bCs/>
          <w:color w:val="auto"/>
          <w:sz w:val="24"/>
          <w:szCs w:val="24"/>
          <w:lang w:eastAsia="zh-Hans"/>
        </w:rPr>
        <w:t>Triangulation</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Bold" w:hAnsi="Times New Roman Bold" w:cs="Times New Roman Bold"/>
          <w:b/>
          <w:bCs/>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Triangulation is a key feature of mixed methods. It refers to using multiple data collection methods to observe numerous participants in the study of the same phenomenon, or introducing multiple theories into a study for investigation. In particular, triangulation is commonly used in mixed methods designs in intercultural comparative research. By doing so, researchers hope to overcome limitations or problems that may result from a single method, a single participant, or a single theoretical perspective</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color w:val="auto"/>
          <w:sz w:val="24"/>
          <w:szCs w:val="24"/>
          <w:lang w:eastAsia="zh-Hans"/>
        </w:rPr>
        <w:t>(Bogdan, R.C. and Biklen, S.K., 2006; Tonkin-Crine, S., Anthierens, S., Hood, K., Yardley, L., Cals, J.W., Francis, N.A., Coenen, S., van der Velden, A.W., Godycki-Cwirko, M., Llor, C. and Butler, C.C., 2015; Flick, U., 2018).</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Building on this, the researcher will collect data from art institutions and artists from different regions, or for the same artist, from different perspectives on bricolage and the reconstruction of hybrid identities. This will identify the commonalities and differences between other groups to ensure cross-cutting and mutually comparable findings and understandings of the phenomenon.</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While the use of mixed methods has some advantages in this research, the limitations of its use and the potential challenges it may present are acknowledged by the researcher.</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For example, conducting a mixed-methods survey in a time-constrained doctoral study can take considerable time, effort, and budgetary constraints. It is not only necessary to manage and analyse the qualitative and quantitative data collected in a disaggregated manner, but also to combine data from different sources to form the findings. Integrating different data may also present challenges in compatibility and integrated understanding, and generating results requires consistency of intent in the integration process.</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r>
        <w:rPr>
          <w:rFonts w:hint="default" w:ascii="Times New Roman Regular" w:hAnsi="Times New Roman Regular" w:cs="Times New Roman Regular"/>
          <w:color w:val="auto"/>
          <w:sz w:val="24"/>
          <w:szCs w:val="24"/>
          <w:lang w:eastAsia="zh-Hans"/>
        </w:rPr>
        <w:t>During the data analysis, the researcher may not fully understand the participants' perspectives due to personal limitations in education and cultural background, or may lack the expertise in quantitative analysis techniques to extract the underlying meanings and nuances from the data fully. When faced with such a situation, the researcher must consider potential complementary or alternative solutions to the problem.</w:t>
      </w: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numPr>
          <w:ilvl w:val="0"/>
          <w:numId w:val="0"/>
        </w:numPr>
        <w:kinsoku/>
        <w:wordWrap/>
        <w:overflowPunct/>
        <w:topLinePunct w:val="0"/>
        <w:bidi w:val="0"/>
        <w:snapToGrid/>
        <w:textAlignment w:val="auto"/>
        <w:rPr>
          <w:rFonts w:hint="default" w:ascii="Times New Roman Regular" w:hAnsi="Times New Roman Regular" w:cs="Times New Roman Regular"/>
          <w:color w:val="auto"/>
          <w:sz w:val="24"/>
          <w:szCs w:val="24"/>
          <w:lang w:eastAsia="zh-Hans"/>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r>
        <w:rPr>
          <w:rFonts w:hint="default" w:ascii="Times New Roman Bold" w:hAnsi="Times New Roman Bold" w:cs="Times New Roman Bold"/>
          <w:b/>
          <w:bCs/>
          <w:color w:val="auto"/>
          <w:sz w:val="24"/>
          <w:szCs w:val="24"/>
          <w:highlight w:val="none"/>
        </w:rPr>
        <w:t>Conclusion</w:t>
      </w: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T</w:t>
      </w:r>
      <w:r>
        <w:rPr>
          <w:rFonts w:hint="default" w:ascii="Times New Roman Regular" w:hAnsi="Times New Roman Regular" w:cs="Times New Roman Regular"/>
          <w:color w:val="auto"/>
          <w:sz w:val="24"/>
          <w:szCs w:val="24"/>
          <w:highlight w:val="none"/>
        </w:rPr>
        <w:t>his research discusses how 'bricolage,' as a mode of art practice, becomes a potential means of reconstructing artists' identities from 'discontinuities' to 'hybrid identities.' First, in order to generate preliminary data, the researcher uses phenomenological methodology as a guide to collect the parts of bricolage art practices by contemporary artists from different cultural backgrounds who involve hybrid identities; The researcher then adopts a mixed methods, conducting interviews and questionnaires to collect qualitative data, followed by using statistical methods to analyze the values in order to obtain quantitative data. Through integrating qualitative and quantitative data, the researcher investigates the influencing factors, motivations, and subjective experiences of contemporary artists involved in bricolage art, aiming to reveal the relationship between their hybrid identity and the hybridity of their art practice; Next, a case study method will be used to comprehensively analyze and understand the data collected, identifying and describing the hidden patterns in the data in an attempt to uncover the mechanisms of hybrid identity formation; Finally, by taking personal art practice as an example, the researcher uses an autoethnographic methodology to present how bricolage, as an effective model of art practice, can be a potential means of reconstructing artists' identities from 'discontinuity' to 'hybrid identity.'</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Bold" w:hAnsi="Times New Roman Bold" w:cs="Times New Roman Bold"/>
          <w:b/>
          <w:bCs/>
          <w:color w:val="auto"/>
          <w:sz w:val="24"/>
          <w:szCs w:val="24"/>
          <w:highlight w:val="none"/>
        </w:rPr>
      </w:pPr>
      <w:r>
        <w:rPr>
          <w:rFonts w:hint="default" w:ascii="Times New Roman Bold" w:hAnsi="Times New Roman Bold" w:cs="Times New Roman Bold"/>
          <w:b/>
          <w:bCs/>
          <w:color w:val="auto"/>
          <w:sz w:val="24"/>
          <w:szCs w:val="24"/>
          <w:highlight w:val="none"/>
        </w:rPr>
        <w:t>Bib</w:t>
      </w:r>
      <w:r>
        <w:rPr>
          <w:rFonts w:hint="default" w:ascii="Times New Roman Bold" w:hAnsi="Times New Roman Bold" w:cs="Times New Roman Bold"/>
          <w:b/>
          <w:bCs/>
          <w:color w:val="auto"/>
          <w:sz w:val="24"/>
          <w:szCs w:val="24"/>
          <w:highlight w:val="none"/>
        </w:rPr>
        <w:t>liography</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Akehurst, G. and Scott, S., 2023. Out of the blue and into it: Autoethnography, emotions and complicated grief. Qualitative Research, 23(2), pp.434-450.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Alasuutari, P., 1996. Theorizing in qualitative research: A cultural studies perspective. Qualitative inquiry, 2(4), pp.371-384.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Baxter, P. and Jack, S., 2008. Qualitative case study methodology: Study design and implementation for novice researchers. The qualitative report, 13(4), pp.544-559.</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Berger, P.L. and Luckmann, T., 1967. The social construction of reality: A treatise in the sociology of knowledge. Anchor.</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 xml:space="preserve">Bernardi, R. and Exworthy, M., 2020. </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Clinical managers' identity at the crossroad of multiple institutional logics in it innovation: The case study of a health care organization in England. Information Systems Journal, 30(3), pp.566-595.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Bogdan, R.C. and Biklen, S.K., 2006. Qualitative research in (validation) and qualitative (inquiry) studies. It is a method-appropriate education: An introduction to theory and methods.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Brogden, L.M., 2008. Art· I/f/act· ology: Curricular artifacts in autoethnographic research. Qualitative Inquiry, 14(6), pp.851-864.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Buckley, R., 2015. Autoethnography helps analyse emotions. Frontiers in Psychology, 6, p.209.</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Caraballo, L., 2019. Being “loud”: Identities-in-practice in a figured world of achievement. American Educational Research Journal, 56(4), pp.1281-1317.</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Clancy, M., 2013. Is reflexivity the key to minimising problems of interpretation in phenomenological research?. Nurse researcher, 20(6).</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Cornelissen, J.P., Akemu, O., Jonkman, J.G. and Werner, M.D., 2021. Building character: The formation of a hybrid organizational identity in a social enterprise. Journal of Management Studies, 58(5), pp.1294-1330.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Creswell, J.W. and Poth, C.N., 2016. Qualitative inquiry and research design: Choosing among five approaches. Sage publications.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Crowe, S., Cresswell, K., Robertson, A., Huby, G., Avery, A. and Sheikh, A., 2011. The case study approach. BMC medical research methodology, 11(1), pp.1-9.</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Crozier, G., Reay, D. and Clayton, J., 2019. Working the Borderlands: working-class students constructing hybrid identities and asserting their place in higher education. British Journal of Sociology of Education, 40(7), pp.922-937.</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Dunn, S.W., 1966. The case study approach in cross-cultural research. Journal of Marketing Research, 3(1), pp.26-31.</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Eatough, V. and Smith, J.A., 2017. Interpretative phenomenological analysis. The Sage handbook of qualitative research in psychology, pp.193-209.</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Ellis, C., Adams, T.E. and Bochner, A.P., 2011. Autoethnography: an overview. Historical social research/Historische sozialforschung, pp.273-290.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Emerald, E. and Carpenter, L., 2017. Autoethnography: Is My Own Story Narrative Research?. Narrative research in practice: Stories from the field, pp.27-46.</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Esteban-Guitart, M., Lalueza, J.L., Zhang-Yu, C. and Llopart, M., 2019. Sustaining students’ cultures and identities. A qualitative study based on the funds of knowledge and identity approaches. Sustainability, 11(12), p.3400.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Flick, U., 2018. Why triangulation and mixed methods in qualitative research. Qualitative Research kit: Doing triangulation and mixed methods, pp.1-10.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Flood, A., 2010. Understanding phenomenology. Nurse researcher, 17(2).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Frechette, J., Bitzas, V., Aubry, M., Kilpatrick, K. and Lavoie-Tremblay, M., 2020. Capturing lived experience: Methodological considerations for interpretive phenomenological inquiry. International Journal of Qualitative Methods, 19, p.1609406920907254.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Fuller, C.M., 2019. Embodied Autoethnography.</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Giorgi, A., 1975. An application of phenomenological method in psychology. Duquesne studies in phenomenological psychology, 2, pp.82-103.</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Gorichanaz, T., 2017. Auto-hermeneutics: A phenomenological approach to information experience. Library &amp; Information Science Research, 39(1), pp.1-7.</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Heidegger, M., Macquarrie, J. and Robinson, E., 1962. Being and time.</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Hokkanen, S., 2017. Analyzing personal embodied experiences: Autoethnography, feelings, and fieldwork. Translation &amp; Interpreting, The, 9(1), pp.24-35.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Jones, S.H., Adams, T.E. and Ellis, C., 2016. Handbook of autoethnography. Routledge.</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Jordan, W., 2021. Foregrounding the Racialized Body through Autoethnographic Reflections: Embodied Experience~ a Foundation for Self-Reflective Academic Inquiry (Doctoral dissertation, Union Institute and University).</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Karasz, A. and Singelis, T.M., 2009. Qualitative and mixed methods research in cross-cultural psychology. Journal of cross-cultural psychology, 40(6), pp.909-916.</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Koch, T., 1995. Interpretive approaches in nursing research: The influence of Husserl and Heidegger. Journal of advanced nursing, 21(5), pp.827-836.</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Lam, A., 2018. Boundary-crossing careers and the ‘third space of hybridity’: Career actors as knowledge brokers between creative arts and academia. Environment and Planning A: Economy and Space, 50(8), pp.1716-1741.</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Lawrence, L. and Nagashima, Y., 2020. The intersectionality of gender, sexuality, race, and native-speakerness: Investigating ELT teacher identity through duoethnography. Journal of Language, Identity &amp; Education, 19(1), pp.42-55.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Leavy, P., 2020. Method meets art: Arts-based research practice. Guilford Publications.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Leonard, V.W., 1999. A Heideggarian phenomenological perception on the concept of the person. Perspectives on Philosophy of Science in Nursing: An Historical and Contemporary Anthology. Lippincott, Philadelphia PA, pp.263-272.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Lopez, K.A. and Willis, D.G., 2004. Descriptive versus interpretive phenomenology: Their contributions to nursing knowledge. Qualitative health research, 14(5), pp.726-735.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Maggs‐Rapport, F., 2000. Combining methodological approaches in research: ethnography and interpretive phenomenology. Journal of advanced nursing, 31(1), pp.219-225.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Mertania, Y. and Amelia, D., 2020. Black Skin White Mask: Hybrid identity of the main character as depicted in Tagore's The Home and The World. Linguistics and Literature Journal, 1(1), pp.7-12.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Miller, R.M., Chan, C.D. and Farmer, L.B., 2018. Interpretative phenomenological analysis: A contemporary qualitative approach. Counselor Education and Supervision, 57(4), pp.240-254.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Noon, E.J., 2018. Interpretive phenomenological analysis: An appropriate methodology for educational research. Journal of Perspectives in Applied Academic Practice, 6(1).</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Olmos-Vega, F.M., Stalmeijer, R.E., Varpio, L. and Kahlke, R., 2023. A practical guide to reflexivity in qualitative research: AMEE Guide No. 149. Medical teacher, 45(3), pp.241-251.</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Pan, N.D., Gruber, M. and Binder, J., 2019. Painting with all the colors: The value of social identity theory for understanding social entrepreneurship. Academy of Management Review, 44(1), pp.213-215.</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Peat, G., Rodriguez, A. and Smith, J., 2019. Interpretive phenomenological analysis applied to healthcare research. Evidence-Based Nursing, 22(1), pp.7-9.</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Phillimore, J., Humphries, R., Klaas, F. and Knecht, M., 2016. Bricolage: potential as a conceptual tool for understanding access to welfare in superdiverse neighbourhoods. IRiS Working Paper Series, 14.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Pitard, J., 2019. Autoethnography as a phenomenological tool: Connecting the personal to the cultural.</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Poulis, K., Poulis, E. and Plakoyiannaki, E., 2013. The role of context in case study selection: An international business perspective. International Business Review, 22(1), pp.304-314.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Poulos, C.N., 2021. Essentials of autoethnography.</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Priya, A., 2021. Case study methodology of qualitative research: Key attributes and navigating the conundrums in its application. Sociological Bulletin, 70(1), pp.94-110.</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Reed-Danahay, D. ed., 2021. Auto/ethnography: Rewriting the self and the social. Routledge.</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Roberts, L., 2018. Spatial bricolage: The art of poetically making do. Humanities, 7(2), p.43.</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Robinson, R.V., David, E.J.R. and Hill, M., 2016. Participatory mixed methods research across cultures. Handbook of methodological approaches to community-based research: Qualitative, quantitative and mixed methods.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Roth, W.M., 2008. Bricolage, métissage, hybridity, heterogeneity, diaspora: Concepts for thinking science education in the 21st century. Cultural Studies of Science Education, 3, pp.891-916.</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Sadala, M.L.A. and Adorno, R.D.C.F., 2002. Phenomenology as a method to investigate the experience lived: a perspective from Husserl and Merleau Ponty's thought. Journal of advanced nursing, 37(3), pp.282-293.</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Schrauf, R.W., 2018. Mixed methods designs for making cross-cultural comparisons. Journal of Mixed Methods Research, 12(4), pp.477-494.</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Smith, J.A. and Osborn, M., 2015. Interpretative phenomenological analysis as a useful methodology for research on the lived experience of pain. British journal of pain, 9(1), pp.41-42.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Spry, T., 2001. Performing autoethnography: An embodied methodological praxis. Qualitative inquiry, 7(6), pp.706-732.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Strathern, A. and Stewart, P.J., 2008. Embodiment theory in performance and performativity. Journal of Ritual Studies, 22(1), pp.67-71.</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Svensson, L., 2021. Contextual analysis: A research methodology and research approach.</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Tonkin-Crine, S., Anthierens, S., Hood, K., Yardley, L., Cals, J.W., Francis, N.A., Coenen, S., van der Velden, A.W., Godycki-Cwirko, M., Llor, C. and Butler, C.C., 2015. Discrepancies between qualitative and quantitative evaluation of randomised controlled trial results: achieving clarity through mixed methods triangulation. Implementation Science, 11(1), pp.1-8.</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Torres, V., 2021. Hybrid Identities: Mexico and the Middle East in Memoria de Líbano by Carlos Martínez Assad and Casa Damasco by Maruan Soto Antaki. Cultural and Literary Dialogues Between Asia and Latin America, pp.53-73.</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Tuffour, I., 2017. A critical overview of interpretative phenomenological analysis: A contemporary qualitative research approach. Journal of healthcare communications, 2(4), p.52.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Van Manen, M., 2023. Phenomenology of practice: Meaning-giving methods in phenomenological research and writing. Taylor &amp; Francis.</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Visscher, K., Heusinkveld, S. and O'Mahoney, J., 2018. Bricolage and identity work. British journal of management, 29(2), pp.356-372.</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Yin, R.K., 2009. Case study research: Design and methods (Vol. 5). sage.</w:t>
      </w:r>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bookmarkStart w:id="0" w:name="_GoBack"/>
      <w:bookmarkEnd w:id="0"/>
    </w:p>
    <w:p>
      <w:pPr>
        <w:keepNext w:val="0"/>
        <w:keepLines w:val="0"/>
        <w:pageBreakBefore w:val="0"/>
        <w:widowControl w:val="0"/>
        <w:kinsoku/>
        <w:wordWrap/>
        <w:overflowPunct/>
        <w:topLinePunct w:val="0"/>
        <w:bidi w:val="0"/>
        <w:snapToGrid/>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Yung, K.W.H. and Yuan, R., 2020. ‘The most popular star-tutor of English’: Discursive construction of tutor identities in shadow education. Discourse: Studies in the Cultural Politics of Education, 41(1), pp.153-168.</w:t>
      </w:r>
    </w:p>
    <w:sectPr>
      <w:pgSz w:w="11906" w:h="16838"/>
      <w:pgMar w:top="1417" w:right="1417" w:bottom="1417" w:left="1417" w:header="720" w:footer="720" w:gutter="0"/>
      <w:cols w:space="0" w:num="1"/>
      <w:rtlGutter w:val="0"/>
      <w:docGrid w:type="linesAndChars" w:linePitch="368" w:charSpace="72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rial Italic">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embedSystemFonts/>
  <w:bordersDoNotSurroundHeader w:val="0"/>
  <w:bordersDoNotSurroundFooter w:val="0"/>
  <w:documentProtection w:enforcement="0"/>
  <w:defaultTabStop w:val="420"/>
  <w:drawingGridHorizontalSpacing w:val="123"/>
  <w:drawingGridVerticalSpacing w:val="184"/>
  <w:displayHorizontalDrawingGridEvery w:val="2"/>
  <w:displayVerticalDrawingGridEvery w:val="2"/>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FFC477A"/>
    <w:rsid w:val="07FFDC9A"/>
    <w:rsid w:val="09E676A4"/>
    <w:rsid w:val="0AD62624"/>
    <w:rsid w:val="0B5E79F6"/>
    <w:rsid w:val="0DDF884F"/>
    <w:rsid w:val="0FEA87E6"/>
    <w:rsid w:val="0FEEFC1A"/>
    <w:rsid w:val="0FFF69EC"/>
    <w:rsid w:val="1357E264"/>
    <w:rsid w:val="1373FAAF"/>
    <w:rsid w:val="16FD8E5B"/>
    <w:rsid w:val="177CE7FB"/>
    <w:rsid w:val="17F7353C"/>
    <w:rsid w:val="17FFF39E"/>
    <w:rsid w:val="1975A710"/>
    <w:rsid w:val="19A52C53"/>
    <w:rsid w:val="19FF860E"/>
    <w:rsid w:val="1A7B32BD"/>
    <w:rsid w:val="1ABF06A0"/>
    <w:rsid w:val="1AF5BD51"/>
    <w:rsid w:val="1B3B511C"/>
    <w:rsid w:val="1BB0C277"/>
    <w:rsid w:val="1BDC51D3"/>
    <w:rsid w:val="1D3E24CD"/>
    <w:rsid w:val="1DFF9750"/>
    <w:rsid w:val="1EFFB139"/>
    <w:rsid w:val="1F75D0B1"/>
    <w:rsid w:val="1F7F2095"/>
    <w:rsid w:val="1F981567"/>
    <w:rsid w:val="1FBDCA01"/>
    <w:rsid w:val="1FC73368"/>
    <w:rsid w:val="1FEE5118"/>
    <w:rsid w:val="1FFA468E"/>
    <w:rsid w:val="1FFBA152"/>
    <w:rsid w:val="1FFF1AD7"/>
    <w:rsid w:val="1FFF3F4E"/>
    <w:rsid w:val="1FFF7DB9"/>
    <w:rsid w:val="1FFFC489"/>
    <w:rsid w:val="26FF2CB5"/>
    <w:rsid w:val="27CFA62A"/>
    <w:rsid w:val="27F5F5A5"/>
    <w:rsid w:val="27FB4E4B"/>
    <w:rsid w:val="2C4F3858"/>
    <w:rsid w:val="2CB9A1A4"/>
    <w:rsid w:val="2DEFBBFA"/>
    <w:rsid w:val="2E65B643"/>
    <w:rsid w:val="2EBFA8FF"/>
    <w:rsid w:val="2EDE3CBF"/>
    <w:rsid w:val="2F3FB261"/>
    <w:rsid w:val="2F4BC384"/>
    <w:rsid w:val="2F7FFBFB"/>
    <w:rsid w:val="2FBF483B"/>
    <w:rsid w:val="2FE984C7"/>
    <w:rsid w:val="2FF1753D"/>
    <w:rsid w:val="2FF676AC"/>
    <w:rsid w:val="2FFF923A"/>
    <w:rsid w:val="32BEED50"/>
    <w:rsid w:val="3376053A"/>
    <w:rsid w:val="33A55535"/>
    <w:rsid w:val="33BB5A25"/>
    <w:rsid w:val="36FCCF46"/>
    <w:rsid w:val="36FE0FF7"/>
    <w:rsid w:val="377FA2E3"/>
    <w:rsid w:val="379FBE4A"/>
    <w:rsid w:val="397F9BDE"/>
    <w:rsid w:val="39F87318"/>
    <w:rsid w:val="3A1E5985"/>
    <w:rsid w:val="3ADB1299"/>
    <w:rsid w:val="3B7E44E9"/>
    <w:rsid w:val="3B7F703B"/>
    <w:rsid w:val="3BAD79E2"/>
    <w:rsid w:val="3BCD0062"/>
    <w:rsid w:val="3BDF9375"/>
    <w:rsid w:val="3BF7F1E5"/>
    <w:rsid w:val="3CFDCFEE"/>
    <w:rsid w:val="3D8656A4"/>
    <w:rsid w:val="3DD44372"/>
    <w:rsid w:val="3DEE6E63"/>
    <w:rsid w:val="3DFF8446"/>
    <w:rsid w:val="3E0EFD8C"/>
    <w:rsid w:val="3E6F86C6"/>
    <w:rsid w:val="3E7F857E"/>
    <w:rsid w:val="3EE8B27D"/>
    <w:rsid w:val="3EFBD7AF"/>
    <w:rsid w:val="3F2FD853"/>
    <w:rsid w:val="3F6C7259"/>
    <w:rsid w:val="3F7E7AE0"/>
    <w:rsid w:val="3F7F6367"/>
    <w:rsid w:val="3F7F6530"/>
    <w:rsid w:val="3F9F8838"/>
    <w:rsid w:val="3FB5D98B"/>
    <w:rsid w:val="3FB63C27"/>
    <w:rsid w:val="3FBFE63F"/>
    <w:rsid w:val="3FDF1263"/>
    <w:rsid w:val="3FDF3F4A"/>
    <w:rsid w:val="3FF74AB6"/>
    <w:rsid w:val="3FFDBD69"/>
    <w:rsid w:val="3FFF679C"/>
    <w:rsid w:val="3FFF9712"/>
    <w:rsid w:val="44EFA7A5"/>
    <w:rsid w:val="47B201C1"/>
    <w:rsid w:val="47FB4AF8"/>
    <w:rsid w:val="4973122D"/>
    <w:rsid w:val="49F321AD"/>
    <w:rsid w:val="49FD0BAC"/>
    <w:rsid w:val="49FF7203"/>
    <w:rsid w:val="4AE7AFA8"/>
    <w:rsid w:val="4B7F38C2"/>
    <w:rsid w:val="4B9FB2C2"/>
    <w:rsid w:val="4D891B54"/>
    <w:rsid w:val="4F5D53FE"/>
    <w:rsid w:val="4F6E23CF"/>
    <w:rsid w:val="4FAEE32E"/>
    <w:rsid w:val="4FD27F1D"/>
    <w:rsid w:val="4FEB3DD0"/>
    <w:rsid w:val="4FF6F422"/>
    <w:rsid w:val="4FF74B11"/>
    <w:rsid w:val="4FF795DD"/>
    <w:rsid w:val="4FFFB5D2"/>
    <w:rsid w:val="51D8BFD5"/>
    <w:rsid w:val="52C9F819"/>
    <w:rsid w:val="53FB9866"/>
    <w:rsid w:val="53FDFF9A"/>
    <w:rsid w:val="54F7B769"/>
    <w:rsid w:val="557F9C3F"/>
    <w:rsid w:val="56231DE6"/>
    <w:rsid w:val="56E551AD"/>
    <w:rsid w:val="5777DAF6"/>
    <w:rsid w:val="577A8F46"/>
    <w:rsid w:val="57AFADEA"/>
    <w:rsid w:val="57DFE93E"/>
    <w:rsid w:val="57FE2F47"/>
    <w:rsid w:val="58BB5B1F"/>
    <w:rsid w:val="59EEE1CD"/>
    <w:rsid w:val="5AFF9963"/>
    <w:rsid w:val="5B7FB062"/>
    <w:rsid w:val="5B9B76C4"/>
    <w:rsid w:val="5BDD47F8"/>
    <w:rsid w:val="5BF928CF"/>
    <w:rsid w:val="5BFBAAEB"/>
    <w:rsid w:val="5BFC14F5"/>
    <w:rsid w:val="5BFFC816"/>
    <w:rsid w:val="5C9F79C8"/>
    <w:rsid w:val="5D0E0252"/>
    <w:rsid w:val="5D2C187E"/>
    <w:rsid w:val="5D7F6AFA"/>
    <w:rsid w:val="5DF50E4B"/>
    <w:rsid w:val="5DF79D19"/>
    <w:rsid w:val="5DF95725"/>
    <w:rsid w:val="5DFBDF4C"/>
    <w:rsid w:val="5DFF53E3"/>
    <w:rsid w:val="5DFFD9C2"/>
    <w:rsid w:val="5DFFE22A"/>
    <w:rsid w:val="5DFFEE8B"/>
    <w:rsid w:val="5E392A0F"/>
    <w:rsid w:val="5E3BD26E"/>
    <w:rsid w:val="5E49FA81"/>
    <w:rsid w:val="5E670CB0"/>
    <w:rsid w:val="5E6D6BE4"/>
    <w:rsid w:val="5ECF67CF"/>
    <w:rsid w:val="5F5F05C7"/>
    <w:rsid w:val="5F5FD99B"/>
    <w:rsid w:val="5F65F275"/>
    <w:rsid w:val="5F6F4810"/>
    <w:rsid w:val="5F71AB58"/>
    <w:rsid w:val="5F7E3388"/>
    <w:rsid w:val="5F7E6641"/>
    <w:rsid w:val="5FCD73D2"/>
    <w:rsid w:val="5FDA5B42"/>
    <w:rsid w:val="5FDEA775"/>
    <w:rsid w:val="5FDF7B2B"/>
    <w:rsid w:val="5FED85B8"/>
    <w:rsid w:val="5FF6ECEB"/>
    <w:rsid w:val="5FF73DFA"/>
    <w:rsid w:val="5FF7A727"/>
    <w:rsid w:val="5FF7E384"/>
    <w:rsid w:val="5FFE6FDE"/>
    <w:rsid w:val="5FFF127F"/>
    <w:rsid w:val="611E71BD"/>
    <w:rsid w:val="62EFEC08"/>
    <w:rsid w:val="63578258"/>
    <w:rsid w:val="637B3B59"/>
    <w:rsid w:val="63E63D77"/>
    <w:rsid w:val="63F212F4"/>
    <w:rsid w:val="65A7C4A5"/>
    <w:rsid w:val="65D7ED6F"/>
    <w:rsid w:val="65FF55E8"/>
    <w:rsid w:val="669E4886"/>
    <w:rsid w:val="66AD09C5"/>
    <w:rsid w:val="675FC35C"/>
    <w:rsid w:val="676D699A"/>
    <w:rsid w:val="677BD03D"/>
    <w:rsid w:val="67FDD9FB"/>
    <w:rsid w:val="67FFB0C3"/>
    <w:rsid w:val="694557A1"/>
    <w:rsid w:val="697BB1E8"/>
    <w:rsid w:val="69FC1C0C"/>
    <w:rsid w:val="6ABFFE3C"/>
    <w:rsid w:val="6B7EFE7A"/>
    <w:rsid w:val="6BAEF038"/>
    <w:rsid w:val="6BB890D7"/>
    <w:rsid w:val="6BBE670C"/>
    <w:rsid w:val="6BD2190C"/>
    <w:rsid w:val="6BEF37B4"/>
    <w:rsid w:val="6BF22B3F"/>
    <w:rsid w:val="6BF82826"/>
    <w:rsid w:val="6BFDB890"/>
    <w:rsid w:val="6D37812B"/>
    <w:rsid w:val="6D3DCDA2"/>
    <w:rsid w:val="6D7F4B86"/>
    <w:rsid w:val="6DB7078B"/>
    <w:rsid w:val="6DBE5186"/>
    <w:rsid w:val="6DEB531E"/>
    <w:rsid w:val="6DF25FA5"/>
    <w:rsid w:val="6DF6207E"/>
    <w:rsid w:val="6E5D30B7"/>
    <w:rsid w:val="6EAF7672"/>
    <w:rsid w:val="6EDFCB61"/>
    <w:rsid w:val="6EEA064E"/>
    <w:rsid w:val="6EFB4B86"/>
    <w:rsid w:val="6F3B44C1"/>
    <w:rsid w:val="6F3F3987"/>
    <w:rsid w:val="6F759A2D"/>
    <w:rsid w:val="6F77153F"/>
    <w:rsid w:val="6F969ECC"/>
    <w:rsid w:val="6F9E0B13"/>
    <w:rsid w:val="6FA97482"/>
    <w:rsid w:val="6FBF2C25"/>
    <w:rsid w:val="6FBFB1D5"/>
    <w:rsid w:val="6FD2927B"/>
    <w:rsid w:val="6FE7856A"/>
    <w:rsid w:val="6FEEE897"/>
    <w:rsid w:val="6FEFBDAC"/>
    <w:rsid w:val="6FF6B86A"/>
    <w:rsid w:val="6FF7EE0F"/>
    <w:rsid w:val="6FF811CF"/>
    <w:rsid w:val="6FFF6CED"/>
    <w:rsid w:val="707EA191"/>
    <w:rsid w:val="71FF34EF"/>
    <w:rsid w:val="72BF88E7"/>
    <w:rsid w:val="72FF3F3F"/>
    <w:rsid w:val="72FFBF6A"/>
    <w:rsid w:val="733EB7FC"/>
    <w:rsid w:val="735D0682"/>
    <w:rsid w:val="737E9D2B"/>
    <w:rsid w:val="737FABDC"/>
    <w:rsid w:val="738F1C5E"/>
    <w:rsid w:val="739F7600"/>
    <w:rsid w:val="73D70FF2"/>
    <w:rsid w:val="73E7E2AB"/>
    <w:rsid w:val="73F7D8F3"/>
    <w:rsid w:val="73FB6B24"/>
    <w:rsid w:val="73FB79C8"/>
    <w:rsid w:val="73FE3437"/>
    <w:rsid w:val="73FF3E96"/>
    <w:rsid w:val="749FC3D3"/>
    <w:rsid w:val="75732025"/>
    <w:rsid w:val="75D718F0"/>
    <w:rsid w:val="75DF18FC"/>
    <w:rsid w:val="75DFF9C6"/>
    <w:rsid w:val="75F64BDA"/>
    <w:rsid w:val="75FCAA1D"/>
    <w:rsid w:val="766B1FE1"/>
    <w:rsid w:val="76774488"/>
    <w:rsid w:val="7693A541"/>
    <w:rsid w:val="76F72703"/>
    <w:rsid w:val="76FBB982"/>
    <w:rsid w:val="76FD1007"/>
    <w:rsid w:val="76FE4D13"/>
    <w:rsid w:val="775EB7BE"/>
    <w:rsid w:val="775FB8D8"/>
    <w:rsid w:val="777F0F1C"/>
    <w:rsid w:val="77AF779F"/>
    <w:rsid w:val="77AF94C2"/>
    <w:rsid w:val="77C98090"/>
    <w:rsid w:val="77CEFF07"/>
    <w:rsid w:val="77D73F78"/>
    <w:rsid w:val="77DF36D5"/>
    <w:rsid w:val="77DF4584"/>
    <w:rsid w:val="77EA64AB"/>
    <w:rsid w:val="77EBF445"/>
    <w:rsid w:val="77EC68B5"/>
    <w:rsid w:val="77ED1BE7"/>
    <w:rsid w:val="77F2C574"/>
    <w:rsid w:val="77F58418"/>
    <w:rsid w:val="77F5A559"/>
    <w:rsid w:val="77F9DCE0"/>
    <w:rsid w:val="77FD8EC2"/>
    <w:rsid w:val="77FF6EFC"/>
    <w:rsid w:val="78FE04A9"/>
    <w:rsid w:val="79ABB948"/>
    <w:rsid w:val="79CB2C30"/>
    <w:rsid w:val="79DC0992"/>
    <w:rsid w:val="79DF00D2"/>
    <w:rsid w:val="79FCBC5B"/>
    <w:rsid w:val="79FE7AB1"/>
    <w:rsid w:val="79FF6FD1"/>
    <w:rsid w:val="7A7FC5FB"/>
    <w:rsid w:val="7ABB438B"/>
    <w:rsid w:val="7AD57158"/>
    <w:rsid w:val="7AFB054E"/>
    <w:rsid w:val="7AFD75BE"/>
    <w:rsid w:val="7AFFE83E"/>
    <w:rsid w:val="7B6F55FD"/>
    <w:rsid w:val="7B7F2668"/>
    <w:rsid w:val="7BBF0A31"/>
    <w:rsid w:val="7BD740C0"/>
    <w:rsid w:val="7BE36247"/>
    <w:rsid w:val="7BEE9856"/>
    <w:rsid w:val="7BF7D4A4"/>
    <w:rsid w:val="7BF9B246"/>
    <w:rsid w:val="7BFE4F69"/>
    <w:rsid w:val="7BFF40FB"/>
    <w:rsid w:val="7BFF7BF5"/>
    <w:rsid w:val="7BFFF092"/>
    <w:rsid w:val="7BFFF32E"/>
    <w:rsid w:val="7C7FB3D9"/>
    <w:rsid w:val="7C8F469A"/>
    <w:rsid w:val="7C9ED22B"/>
    <w:rsid w:val="7CD9A525"/>
    <w:rsid w:val="7D2E46AD"/>
    <w:rsid w:val="7D33C45B"/>
    <w:rsid w:val="7D3E88C9"/>
    <w:rsid w:val="7D774DB4"/>
    <w:rsid w:val="7D77A2C6"/>
    <w:rsid w:val="7D7F9066"/>
    <w:rsid w:val="7D9515D1"/>
    <w:rsid w:val="7DAB9FB0"/>
    <w:rsid w:val="7DABCE68"/>
    <w:rsid w:val="7DAD2602"/>
    <w:rsid w:val="7DAD7C67"/>
    <w:rsid w:val="7DD602AA"/>
    <w:rsid w:val="7DE3DF5D"/>
    <w:rsid w:val="7DEE47B6"/>
    <w:rsid w:val="7DF52145"/>
    <w:rsid w:val="7DF712B6"/>
    <w:rsid w:val="7DF7718E"/>
    <w:rsid w:val="7DFB6B92"/>
    <w:rsid w:val="7DFD7E90"/>
    <w:rsid w:val="7DFF1F1F"/>
    <w:rsid w:val="7DFF39B7"/>
    <w:rsid w:val="7DFFA9AA"/>
    <w:rsid w:val="7E0F5E0C"/>
    <w:rsid w:val="7E2C1685"/>
    <w:rsid w:val="7E6EB37B"/>
    <w:rsid w:val="7E75DAC7"/>
    <w:rsid w:val="7E7B3D5C"/>
    <w:rsid w:val="7E7FAA5D"/>
    <w:rsid w:val="7E8D0E81"/>
    <w:rsid w:val="7EAB70F3"/>
    <w:rsid w:val="7EAFE3E2"/>
    <w:rsid w:val="7EB66162"/>
    <w:rsid w:val="7EBF0765"/>
    <w:rsid w:val="7EBF4041"/>
    <w:rsid w:val="7ED7DC58"/>
    <w:rsid w:val="7EE6DD27"/>
    <w:rsid w:val="7EEC2555"/>
    <w:rsid w:val="7EEDACA7"/>
    <w:rsid w:val="7EEF5FFF"/>
    <w:rsid w:val="7EEF84AB"/>
    <w:rsid w:val="7EEFE3B8"/>
    <w:rsid w:val="7EFF1F95"/>
    <w:rsid w:val="7EFF3316"/>
    <w:rsid w:val="7EFFDE73"/>
    <w:rsid w:val="7F1B39F2"/>
    <w:rsid w:val="7F23E1AD"/>
    <w:rsid w:val="7F378A66"/>
    <w:rsid w:val="7F3DA69A"/>
    <w:rsid w:val="7F3F4556"/>
    <w:rsid w:val="7F6BC78A"/>
    <w:rsid w:val="7F7D7310"/>
    <w:rsid w:val="7F7DF64E"/>
    <w:rsid w:val="7F7F243D"/>
    <w:rsid w:val="7F7F4D66"/>
    <w:rsid w:val="7F7FF848"/>
    <w:rsid w:val="7F93F57E"/>
    <w:rsid w:val="7F9B0C75"/>
    <w:rsid w:val="7F9B5E2F"/>
    <w:rsid w:val="7F9DD2C8"/>
    <w:rsid w:val="7F9E3728"/>
    <w:rsid w:val="7FA75269"/>
    <w:rsid w:val="7FA7CA92"/>
    <w:rsid w:val="7FAE47BA"/>
    <w:rsid w:val="7FAF13AB"/>
    <w:rsid w:val="7FB1938A"/>
    <w:rsid w:val="7FB37508"/>
    <w:rsid w:val="7FB550EA"/>
    <w:rsid w:val="7FB61A77"/>
    <w:rsid w:val="7FB73DFC"/>
    <w:rsid w:val="7FB73E73"/>
    <w:rsid w:val="7FB792FC"/>
    <w:rsid w:val="7FB9401C"/>
    <w:rsid w:val="7FBB0A67"/>
    <w:rsid w:val="7FBF3839"/>
    <w:rsid w:val="7FBF6FD4"/>
    <w:rsid w:val="7FBF75CF"/>
    <w:rsid w:val="7FCB37A6"/>
    <w:rsid w:val="7FCC3D5B"/>
    <w:rsid w:val="7FCC9D5C"/>
    <w:rsid w:val="7FCE0C0E"/>
    <w:rsid w:val="7FCEAA4F"/>
    <w:rsid w:val="7FCEB4DD"/>
    <w:rsid w:val="7FCF5962"/>
    <w:rsid w:val="7FD7783A"/>
    <w:rsid w:val="7FD7F001"/>
    <w:rsid w:val="7FD9E8E6"/>
    <w:rsid w:val="7FDF6B45"/>
    <w:rsid w:val="7FDFABB5"/>
    <w:rsid w:val="7FDFF886"/>
    <w:rsid w:val="7FE75AF4"/>
    <w:rsid w:val="7FEBBF4D"/>
    <w:rsid w:val="7FED69F0"/>
    <w:rsid w:val="7FEF269A"/>
    <w:rsid w:val="7FEFF4FA"/>
    <w:rsid w:val="7FF24C77"/>
    <w:rsid w:val="7FF5C010"/>
    <w:rsid w:val="7FF6251C"/>
    <w:rsid w:val="7FFA34FE"/>
    <w:rsid w:val="7FFA5ACD"/>
    <w:rsid w:val="7FFC2691"/>
    <w:rsid w:val="7FFC3D8D"/>
    <w:rsid w:val="7FFC99D0"/>
    <w:rsid w:val="7FFDB42E"/>
    <w:rsid w:val="7FFE6034"/>
    <w:rsid w:val="7FFEFE03"/>
    <w:rsid w:val="7FFF2C76"/>
    <w:rsid w:val="7FFF6AC4"/>
    <w:rsid w:val="7FFF9F9A"/>
    <w:rsid w:val="7FFFB0D5"/>
    <w:rsid w:val="7FFFE4A5"/>
    <w:rsid w:val="7FFFEB12"/>
    <w:rsid w:val="80FF37AE"/>
    <w:rsid w:val="83740E38"/>
    <w:rsid w:val="87F715F1"/>
    <w:rsid w:val="89F7E063"/>
    <w:rsid w:val="8A767D23"/>
    <w:rsid w:val="8D7FD361"/>
    <w:rsid w:val="8DFFF21A"/>
    <w:rsid w:val="8EA7A7C9"/>
    <w:rsid w:val="8FA6C334"/>
    <w:rsid w:val="8FDD529C"/>
    <w:rsid w:val="8FE831F4"/>
    <w:rsid w:val="939AE751"/>
    <w:rsid w:val="97363E0C"/>
    <w:rsid w:val="97FB3E04"/>
    <w:rsid w:val="9BB760D2"/>
    <w:rsid w:val="9BDC9A89"/>
    <w:rsid w:val="9CEFA58C"/>
    <w:rsid w:val="9D5F6D63"/>
    <w:rsid w:val="9DFE9A37"/>
    <w:rsid w:val="9DFF8BB7"/>
    <w:rsid w:val="9EF70BD4"/>
    <w:rsid w:val="9EFF433E"/>
    <w:rsid w:val="9F6C47B8"/>
    <w:rsid w:val="9FBB50FB"/>
    <w:rsid w:val="9FE67599"/>
    <w:rsid w:val="9FEBB2C1"/>
    <w:rsid w:val="9FEE6D8A"/>
    <w:rsid w:val="9FF8A7FC"/>
    <w:rsid w:val="9FF8FEAF"/>
    <w:rsid w:val="A2430788"/>
    <w:rsid w:val="A389B404"/>
    <w:rsid w:val="A6FF7C58"/>
    <w:rsid w:val="A73EF0FD"/>
    <w:rsid w:val="A7E70218"/>
    <w:rsid w:val="AA3A7B38"/>
    <w:rsid w:val="AABFE272"/>
    <w:rsid w:val="AAD9A362"/>
    <w:rsid w:val="ABF526CE"/>
    <w:rsid w:val="ABFFE9E4"/>
    <w:rsid w:val="ACD79651"/>
    <w:rsid w:val="ADCCF694"/>
    <w:rsid w:val="ADFB30FA"/>
    <w:rsid w:val="AE5F47A1"/>
    <w:rsid w:val="AED343A7"/>
    <w:rsid w:val="AF3CE2B8"/>
    <w:rsid w:val="AF6B0048"/>
    <w:rsid w:val="AF9792D0"/>
    <w:rsid w:val="AFAB627B"/>
    <w:rsid w:val="AFB52EF0"/>
    <w:rsid w:val="AFBF4946"/>
    <w:rsid w:val="AFEE6669"/>
    <w:rsid w:val="AFEF731D"/>
    <w:rsid w:val="AFF294B3"/>
    <w:rsid w:val="AFF467A1"/>
    <w:rsid w:val="AFF51681"/>
    <w:rsid w:val="AFFE9BF7"/>
    <w:rsid w:val="AFFEE461"/>
    <w:rsid w:val="B1FD92B4"/>
    <w:rsid w:val="B29BA44C"/>
    <w:rsid w:val="B3EDDDAD"/>
    <w:rsid w:val="B4B7224C"/>
    <w:rsid w:val="B59D284C"/>
    <w:rsid w:val="B5D4602A"/>
    <w:rsid w:val="B68D4F0C"/>
    <w:rsid w:val="B6BC6918"/>
    <w:rsid w:val="B6FA528D"/>
    <w:rsid w:val="B72BFE0B"/>
    <w:rsid w:val="B7F59387"/>
    <w:rsid w:val="B7F7B420"/>
    <w:rsid w:val="B7FD7BD4"/>
    <w:rsid w:val="B7FE0B4B"/>
    <w:rsid w:val="B7FEC030"/>
    <w:rsid w:val="B7FFE6E8"/>
    <w:rsid w:val="B9FE190D"/>
    <w:rsid w:val="B9FECEDF"/>
    <w:rsid w:val="BB6E6046"/>
    <w:rsid w:val="BBCFCE37"/>
    <w:rsid w:val="BBEA9CC2"/>
    <w:rsid w:val="BBF58046"/>
    <w:rsid w:val="BBFD3D88"/>
    <w:rsid w:val="BCB3958E"/>
    <w:rsid w:val="BCE65823"/>
    <w:rsid w:val="BCF2AA87"/>
    <w:rsid w:val="BD4EB466"/>
    <w:rsid w:val="BDBB73AD"/>
    <w:rsid w:val="BDF566E6"/>
    <w:rsid w:val="BDF5AB9C"/>
    <w:rsid w:val="BE794300"/>
    <w:rsid w:val="BEE859FC"/>
    <w:rsid w:val="BEEBD58F"/>
    <w:rsid w:val="BEFE8381"/>
    <w:rsid w:val="BF170302"/>
    <w:rsid w:val="BF2767DC"/>
    <w:rsid w:val="BF3D3FD1"/>
    <w:rsid w:val="BF3FA574"/>
    <w:rsid w:val="BF7F2521"/>
    <w:rsid w:val="BF8FD346"/>
    <w:rsid w:val="BFBDEBB5"/>
    <w:rsid w:val="BFBE0EA2"/>
    <w:rsid w:val="BFBE1D7F"/>
    <w:rsid w:val="BFCFF864"/>
    <w:rsid w:val="BFDEBF52"/>
    <w:rsid w:val="BFDF6BC2"/>
    <w:rsid w:val="BFEEB9EA"/>
    <w:rsid w:val="BFEF0048"/>
    <w:rsid w:val="BFEF0ACB"/>
    <w:rsid w:val="BFEF6235"/>
    <w:rsid w:val="BFF66C89"/>
    <w:rsid w:val="BFF732E2"/>
    <w:rsid w:val="BFF771E5"/>
    <w:rsid w:val="BFFB7658"/>
    <w:rsid w:val="BFFBE885"/>
    <w:rsid w:val="BFFBEA08"/>
    <w:rsid w:val="BFFC477A"/>
    <w:rsid w:val="BFFCAD60"/>
    <w:rsid w:val="BFFE5C0A"/>
    <w:rsid w:val="BFFF8EF9"/>
    <w:rsid w:val="BFFFBB12"/>
    <w:rsid w:val="BFFFFA7F"/>
    <w:rsid w:val="C1EE8BE1"/>
    <w:rsid w:val="C3DB2124"/>
    <w:rsid w:val="C7FFEE63"/>
    <w:rsid w:val="CC4D0FBB"/>
    <w:rsid w:val="CCC57B8A"/>
    <w:rsid w:val="CCFB5EF2"/>
    <w:rsid w:val="CD7300FC"/>
    <w:rsid w:val="CDFFFFA5"/>
    <w:rsid w:val="CEBF46F6"/>
    <w:rsid w:val="CEFD5BFF"/>
    <w:rsid w:val="CFEDBA0D"/>
    <w:rsid w:val="CFF5B094"/>
    <w:rsid w:val="CFFF15BB"/>
    <w:rsid w:val="D16F1722"/>
    <w:rsid w:val="D2EDBBA7"/>
    <w:rsid w:val="D33F14DD"/>
    <w:rsid w:val="D3AA5126"/>
    <w:rsid w:val="D3D390C2"/>
    <w:rsid w:val="D4EF4997"/>
    <w:rsid w:val="D4FC7515"/>
    <w:rsid w:val="D5D3F6DF"/>
    <w:rsid w:val="D5FF54F1"/>
    <w:rsid w:val="D633ED9B"/>
    <w:rsid w:val="D77B0674"/>
    <w:rsid w:val="D77F769B"/>
    <w:rsid w:val="D7BBD904"/>
    <w:rsid w:val="D7DB76F9"/>
    <w:rsid w:val="D7DCB55C"/>
    <w:rsid w:val="D7E21B91"/>
    <w:rsid w:val="D7EFDEF0"/>
    <w:rsid w:val="D91F4EDE"/>
    <w:rsid w:val="D97BB228"/>
    <w:rsid w:val="D99B845B"/>
    <w:rsid w:val="D9F2DB0B"/>
    <w:rsid w:val="D9F4D173"/>
    <w:rsid w:val="D9F7F50F"/>
    <w:rsid w:val="D9FA67FE"/>
    <w:rsid w:val="DA4B95E3"/>
    <w:rsid w:val="DAF90012"/>
    <w:rsid w:val="DB751D51"/>
    <w:rsid w:val="DB9BD1D4"/>
    <w:rsid w:val="DB9EFE70"/>
    <w:rsid w:val="DBBEBBD8"/>
    <w:rsid w:val="DBDB1B70"/>
    <w:rsid w:val="DBE07E4B"/>
    <w:rsid w:val="DBF79418"/>
    <w:rsid w:val="DBFDBA44"/>
    <w:rsid w:val="DCB79E86"/>
    <w:rsid w:val="DCDFBAA4"/>
    <w:rsid w:val="DD4C2769"/>
    <w:rsid w:val="DD7721B4"/>
    <w:rsid w:val="DD9C3210"/>
    <w:rsid w:val="DDB2FF7E"/>
    <w:rsid w:val="DDBF94AC"/>
    <w:rsid w:val="DDE979FD"/>
    <w:rsid w:val="DDF7BEC6"/>
    <w:rsid w:val="DE758085"/>
    <w:rsid w:val="DE7A52DA"/>
    <w:rsid w:val="DE8F974B"/>
    <w:rsid w:val="DE9F48C5"/>
    <w:rsid w:val="DED7CFD9"/>
    <w:rsid w:val="DEF3AA17"/>
    <w:rsid w:val="DEFF29E1"/>
    <w:rsid w:val="DF3FF9EA"/>
    <w:rsid w:val="DF5E60CE"/>
    <w:rsid w:val="DF5F35F6"/>
    <w:rsid w:val="DF6B817F"/>
    <w:rsid w:val="DF753AA6"/>
    <w:rsid w:val="DF7B69D3"/>
    <w:rsid w:val="DF7DF23E"/>
    <w:rsid w:val="DF7F8745"/>
    <w:rsid w:val="DF9CE326"/>
    <w:rsid w:val="DFAF204D"/>
    <w:rsid w:val="DFBAB5F3"/>
    <w:rsid w:val="DFBAFE71"/>
    <w:rsid w:val="DFBBBE77"/>
    <w:rsid w:val="DFBEA251"/>
    <w:rsid w:val="DFC6F976"/>
    <w:rsid w:val="DFDB350C"/>
    <w:rsid w:val="DFE1FC52"/>
    <w:rsid w:val="DFF549A8"/>
    <w:rsid w:val="DFF7637C"/>
    <w:rsid w:val="DFF7E0E4"/>
    <w:rsid w:val="DFFC85F6"/>
    <w:rsid w:val="DFFE2CBF"/>
    <w:rsid w:val="DFFE785E"/>
    <w:rsid w:val="DFFF8372"/>
    <w:rsid w:val="E3B8415B"/>
    <w:rsid w:val="E4FBB124"/>
    <w:rsid w:val="E5BF88B4"/>
    <w:rsid w:val="E5FDE895"/>
    <w:rsid w:val="E67EB7A5"/>
    <w:rsid w:val="E6A7AA7C"/>
    <w:rsid w:val="E6DF98F0"/>
    <w:rsid w:val="E75F4134"/>
    <w:rsid w:val="E76DE200"/>
    <w:rsid w:val="E7AFF1EF"/>
    <w:rsid w:val="E7B5CD6D"/>
    <w:rsid w:val="E7EE5A91"/>
    <w:rsid w:val="E7F3B29B"/>
    <w:rsid w:val="EAF734ED"/>
    <w:rsid w:val="EB71CD43"/>
    <w:rsid w:val="EB7AB36D"/>
    <w:rsid w:val="EB7F4F4E"/>
    <w:rsid w:val="EB8E36B9"/>
    <w:rsid w:val="EB978644"/>
    <w:rsid w:val="EBB89B4B"/>
    <w:rsid w:val="EBEF9EEB"/>
    <w:rsid w:val="ECA2AA31"/>
    <w:rsid w:val="ECDFC4F5"/>
    <w:rsid w:val="ECFBF703"/>
    <w:rsid w:val="ED2FA981"/>
    <w:rsid w:val="ED6776F5"/>
    <w:rsid w:val="ED68C459"/>
    <w:rsid w:val="ED9B621B"/>
    <w:rsid w:val="EDCF1761"/>
    <w:rsid w:val="EDD70984"/>
    <w:rsid w:val="EDF5C3BD"/>
    <w:rsid w:val="EDF7E858"/>
    <w:rsid w:val="EDF88451"/>
    <w:rsid w:val="EDFC2C8B"/>
    <w:rsid w:val="EDFF553F"/>
    <w:rsid w:val="EEBF56AD"/>
    <w:rsid w:val="EECE850C"/>
    <w:rsid w:val="EED78614"/>
    <w:rsid w:val="EEF306F5"/>
    <w:rsid w:val="EEFF69A4"/>
    <w:rsid w:val="EEFF9A05"/>
    <w:rsid w:val="EF3FE40F"/>
    <w:rsid w:val="EF5FB89A"/>
    <w:rsid w:val="EF64A11A"/>
    <w:rsid w:val="EF6DEB10"/>
    <w:rsid w:val="EF6FC752"/>
    <w:rsid w:val="EF7BE299"/>
    <w:rsid w:val="EF9DB0E5"/>
    <w:rsid w:val="EF9F6102"/>
    <w:rsid w:val="EFAFB3DE"/>
    <w:rsid w:val="EFB23FA7"/>
    <w:rsid w:val="EFBE45CE"/>
    <w:rsid w:val="EFBEE18F"/>
    <w:rsid w:val="EFBF7D90"/>
    <w:rsid w:val="EFBFBA4A"/>
    <w:rsid w:val="EFCB92C8"/>
    <w:rsid w:val="EFE71F76"/>
    <w:rsid w:val="EFE73E96"/>
    <w:rsid w:val="EFEA8EDE"/>
    <w:rsid w:val="EFEBD2CD"/>
    <w:rsid w:val="EFF1A5E3"/>
    <w:rsid w:val="EFF38504"/>
    <w:rsid w:val="EFF61FAA"/>
    <w:rsid w:val="EFF71258"/>
    <w:rsid w:val="EFF7834F"/>
    <w:rsid w:val="EFF7DDD7"/>
    <w:rsid w:val="EFFB24B7"/>
    <w:rsid w:val="EFFBCE21"/>
    <w:rsid w:val="EFFCAE36"/>
    <w:rsid w:val="EFFD1AD2"/>
    <w:rsid w:val="EFFE37A0"/>
    <w:rsid w:val="EFFEA05E"/>
    <w:rsid w:val="EFFFA145"/>
    <w:rsid w:val="EFFFFE36"/>
    <w:rsid w:val="F0BE6005"/>
    <w:rsid w:val="F0FA7CF4"/>
    <w:rsid w:val="F1D64DC0"/>
    <w:rsid w:val="F1EFEE0D"/>
    <w:rsid w:val="F1F6AE78"/>
    <w:rsid w:val="F1FF7F8C"/>
    <w:rsid w:val="F2AF994A"/>
    <w:rsid w:val="F2DBC8FB"/>
    <w:rsid w:val="F33B0CAC"/>
    <w:rsid w:val="F34F5CB2"/>
    <w:rsid w:val="F39D3B40"/>
    <w:rsid w:val="F3DFD1C8"/>
    <w:rsid w:val="F3F51F31"/>
    <w:rsid w:val="F3FB2B8F"/>
    <w:rsid w:val="F474BA4F"/>
    <w:rsid w:val="F47FF8DD"/>
    <w:rsid w:val="F51F0CC7"/>
    <w:rsid w:val="F54E4128"/>
    <w:rsid w:val="F57FE0AA"/>
    <w:rsid w:val="F5BB4428"/>
    <w:rsid w:val="F5EDFA1D"/>
    <w:rsid w:val="F5FF8938"/>
    <w:rsid w:val="F5FF9D3A"/>
    <w:rsid w:val="F63F2F27"/>
    <w:rsid w:val="F65FEDAC"/>
    <w:rsid w:val="F67D96E5"/>
    <w:rsid w:val="F6CFAC1D"/>
    <w:rsid w:val="F6F63833"/>
    <w:rsid w:val="F6FF527D"/>
    <w:rsid w:val="F6FFB98F"/>
    <w:rsid w:val="F737CEF6"/>
    <w:rsid w:val="F75B9DF9"/>
    <w:rsid w:val="F75F3203"/>
    <w:rsid w:val="F777A8DE"/>
    <w:rsid w:val="F77A6D99"/>
    <w:rsid w:val="F77E336E"/>
    <w:rsid w:val="F7AF2ACB"/>
    <w:rsid w:val="F7B70B41"/>
    <w:rsid w:val="F7BE1052"/>
    <w:rsid w:val="F7BE3354"/>
    <w:rsid w:val="F7BEDB92"/>
    <w:rsid w:val="F7BF5FFD"/>
    <w:rsid w:val="F7DF1395"/>
    <w:rsid w:val="F7E93767"/>
    <w:rsid w:val="F7FFCDB8"/>
    <w:rsid w:val="F7FFDE58"/>
    <w:rsid w:val="F8AFA32F"/>
    <w:rsid w:val="F8B1E6EB"/>
    <w:rsid w:val="F8C7917E"/>
    <w:rsid w:val="F8F77194"/>
    <w:rsid w:val="F97FDE03"/>
    <w:rsid w:val="F9EE965D"/>
    <w:rsid w:val="F9F53F54"/>
    <w:rsid w:val="F9F60BB0"/>
    <w:rsid w:val="FA2A0D4F"/>
    <w:rsid w:val="FA4EAE79"/>
    <w:rsid w:val="FA7EA444"/>
    <w:rsid w:val="FAEFB333"/>
    <w:rsid w:val="FAFFD69D"/>
    <w:rsid w:val="FB3D694B"/>
    <w:rsid w:val="FB7275C1"/>
    <w:rsid w:val="FB7E4926"/>
    <w:rsid w:val="FB7FE5F2"/>
    <w:rsid w:val="FBAE5524"/>
    <w:rsid w:val="FBB5DFD0"/>
    <w:rsid w:val="FBBFE19F"/>
    <w:rsid w:val="FBCD9B92"/>
    <w:rsid w:val="FBDFC194"/>
    <w:rsid w:val="FBE7A246"/>
    <w:rsid w:val="FBEF1524"/>
    <w:rsid w:val="FBFBC569"/>
    <w:rsid w:val="FBFC11CE"/>
    <w:rsid w:val="FBFD8C75"/>
    <w:rsid w:val="FBFFC30D"/>
    <w:rsid w:val="FC0AAC35"/>
    <w:rsid w:val="FC3C491E"/>
    <w:rsid w:val="FCAD5D37"/>
    <w:rsid w:val="FCAFE70B"/>
    <w:rsid w:val="FCB07178"/>
    <w:rsid w:val="FCBC2971"/>
    <w:rsid w:val="FCBDC469"/>
    <w:rsid w:val="FCDF10A2"/>
    <w:rsid w:val="FCEFC81D"/>
    <w:rsid w:val="FCFD6A2C"/>
    <w:rsid w:val="FCFD8681"/>
    <w:rsid w:val="FCFF694C"/>
    <w:rsid w:val="FD5210CC"/>
    <w:rsid w:val="FD7F1053"/>
    <w:rsid w:val="FD7F934E"/>
    <w:rsid w:val="FD8FA268"/>
    <w:rsid w:val="FDAB9253"/>
    <w:rsid w:val="FDBF0D75"/>
    <w:rsid w:val="FDC9E9AF"/>
    <w:rsid w:val="FDE62ED6"/>
    <w:rsid w:val="FDEADB98"/>
    <w:rsid w:val="FDEDE91A"/>
    <w:rsid w:val="FDF3EEC0"/>
    <w:rsid w:val="FDFD48B5"/>
    <w:rsid w:val="FDFF5306"/>
    <w:rsid w:val="FE13BBCA"/>
    <w:rsid w:val="FE3F08B9"/>
    <w:rsid w:val="FE452659"/>
    <w:rsid w:val="FE4663F6"/>
    <w:rsid w:val="FE5B380D"/>
    <w:rsid w:val="FE6C6FEF"/>
    <w:rsid w:val="FE99221D"/>
    <w:rsid w:val="FEBAC983"/>
    <w:rsid w:val="FEC71237"/>
    <w:rsid w:val="FEC74792"/>
    <w:rsid w:val="FECFA347"/>
    <w:rsid w:val="FED77E83"/>
    <w:rsid w:val="FEDBC5A7"/>
    <w:rsid w:val="FEDE84D4"/>
    <w:rsid w:val="FEDEF49A"/>
    <w:rsid w:val="FEDF423D"/>
    <w:rsid w:val="FEDF5BA0"/>
    <w:rsid w:val="FEDFBADB"/>
    <w:rsid w:val="FEF7361D"/>
    <w:rsid w:val="FEFA47F4"/>
    <w:rsid w:val="FEFB30EC"/>
    <w:rsid w:val="FEFE2A1D"/>
    <w:rsid w:val="FEFEDAF7"/>
    <w:rsid w:val="FEFFFEF6"/>
    <w:rsid w:val="FF1F72AD"/>
    <w:rsid w:val="FF3F464D"/>
    <w:rsid w:val="FF5B73A2"/>
    <w:rsid w:val="FF5ED611"/>
    <w:rsid w:val="FF6926F8"/>
    <w:rsid w:val="FF6D0B38"/>
    <w:rsid w:val="FF7D69F1"/>
    <w:rsid w:val="FF7ED08D"/>
    <w:rsid w:val="FF7FE82C"/>
    <w:rsid w:val="FF99134C"/>
    <w:rsid w:val="FF9B0358"/>
    <w:rsid w:val="FFA4580D"/>
    <w:rsid w:val="FFAB4BBE"/>
    <w:rsid w:val="FFB7CC49"/>
    <w:rsid w:val="FFBA268D"/>
    <w:rsid w:val="FFBDE1B3"/>
    <w:rsid w:val="FFBF1C91"/>
    <w:rsid w:val="FFBF88BB"/>
    <w:rsid w:val="FFBFC232"/>
    <w:rsid w:val="FFBFF9C0"/>
    <w:rsid w:val="FFC6E804"/>
    <w:rsid w:val="FFCF7E37"/>
    <w:rsid w:val="FFD78977"/>
    <w:rsid w:val="FFD7A5D3"/>
    <w:rsid w:val="FFD8F102"/>
    <w:rsid w:val="FFDB4CB7"/>
    <w:rsid w:val="FFDCCD64"/>
    <w:rsid w:val="FFDEB156"/>
    <w:rsid w:val="FFDF53F0"/>
    <w:rsid w:val="FFE2ABDB"/>
    <w:rsid w:val="FFF49C36"/>
    <w:rsid w:val="FFF6C13A"/>
    <w:rsid w:val="FFF72A86"/>
    <w:rsid w:val="FFF73265"/>
    <w:rsid w:val="FFF79C79"/>
    <w:rsid w:val="FFFB355B"/>
    <w:rsid w:val="FFFC8DE6"/>
    <w:rsid w:val="FFFC952C"/>
    <w:rsid w:val="FFFE0349"/>
    <w:rsid w:val="FFFE3155"/>
    <w:rsid w:val="FFFEBB7C"/>
    <w:rsid w:val="FFFF05AE"/>
    <w:rsid w:val="FFFF634B"/>
    <w:rsid w:val="FFFF6BD5"/>
    <w:rsid w:val="FFFF6CC1"/>
    <w:rsid w:val="FFFF7110"/>
    <w:rsid w:val="FFFF98C9"/>
    <w:rsid w:val="FFFFB8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qFormat/>
    <w:uiPriority w:val="0"/>
    <w:rPr>
      <w:color w:val="0000FF"/>
      <w:u w:val="single"/>
    </w:rPr>
  </w:style>
  <w:style w:type="paragraph" w:styleId="6">
    <w:name w:val="List Paragraph"/>
    <w:basedOn w:val="1"/>
    <w:qFormat/>
    <w:uiPriority w:val="99"/>
    <w:pPr>
      <w:ind w:left="72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85</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2023-05-02T00:07:00Z</dcterms:created>
  <dc:creator>BOYBLUE</dc:creator>
  <cp:lastModifiedBy>BOYBLUE</cp:lastModifiedBy>
  <dcterms:modified xsi:type="dcterms:W3CDTF">2023-05-23T00:07:34Z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AB83200819E757A5C0F14F6421DA9181</vt:lpwstr>
  </property>
</Properties>
</file>