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Arsinoë III, queen of the Ptolemaic Empire, sister and wife to Ptolemy VI, had many different duties to carry out within her role as the female head of the empire. These were things she attempted to fulfill in the days after her father's untimely death, and which were ultimately foiled by her sister, Berenice III. In what may have been a shirking of her duties, she planned to ascend to the Ptolemaic throne, without her brother, to become sole leader of the empire, with her mother’s blessing. This was something that never came to fruition, but the groundwork of a plan had been laid, one which Berenice III never made use of, regardless of Alexandria’s backing behind Arsinoë, regardless of how they had helped each other in the concoction of their plan. Berenice III engineered her own plan, one which lead to the deaths of Arsinoe, her mother, and her brother, and ended with Berenice on the throne, completely alone, the entire empire at her disposal.</w:t>
      </w:r>
    </w:p>
    <w:p w:rsidR="00000000" w:rsidDel="00000000" w:rsidP="00000000" w:rsidRDefault="00000000" w:rsidRPr="00000000" w14:paraId="00000001">
      <w:pPr>
        <w:spacing w:line="48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2">
      <w:pPr>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Ptolemy III’s death lead to a shift in power, one that made the traditional move in handing power down from one king to his son. Cilicia announced that they were to host a festival for the king, and sent their regards to the remaining royal family, while wishing Ptolemy IV’s ascendence to the throne and his rule would be a happy one. This loss lead to Berenice II, Arsinoe’s mother, moving to build a temple to commemorate his successful life, to celebrate his legacy, and this was her main intention, to remain in Edfu and oversee the construction and worship at the new temple. Unfortunately, there is some precedent for killing off the family ties so that a usurper can keep a throne without being contested, and that’s something that Berenice III was very aware of, and personally made sure to carry out.</w:t>
      </w:r>
      <w:r w:rsidDel="00000000" w:rsidR="00000000" w:rsidRPr="00000000">
        <w:rPr>
          <w:rFonts w:ascii="Times New Roman" w:cs="Times New Roman" w:eastAsia="Times New Roman" w:hAnsi="Times New Roman"/>
          <w:sz w:val="24"/>
          <w:szCs w:val="24"/>
          <w:vertAlign w:val="superscript"/>
        </w:rPr>
        <w:footnoteReference w:customMarkFollows="0" w:id="0"/>
      </w:r>
      <w:r w:rsidDel="00000000" w:rsidR="00000000" w:rsidRPr="00000000">
        <w:rPr>
          <w:rFonts w:ascii="Times New Roman" w:cs="Times New Roman" w:eastAsia="Times New Roman" w:hAnsi="Times New Roman"/>
          <w:sz w:val="24"/>
          <w:szCs w:val="24"/>
          <w:rtl w:val="0"/>
        </w:rPr>
        <w:t xml:space="preserve"> Due to this, Arsinoe III attended the festival on behalf of her mother, as she chose to spend the mourning period overseeing things at Edfu, where she felt that she could do the most and best work. Usually, when she wasn’t showing face at festivals and events for her mother, she resided within the royal court at Alexandria, (occasionally she stopped off for a party in Salamis on her return from a festival, but that was neither here nor there).</w:t>
      </w:r>
      <w:r w:rsidDel="00000000" w:rsidR="00000000" w:rsidRPr="00000000">
        <w:rPr>
          <w:rFonts w:ascii="Times New Roman" w:cs="Times New Roman" w:eastAsia="Times New Roman" w:hAnsi="Times New Roman"/>
          <w:sz w:val="24"/>
          <w:szCs w:val="24"/>
          <w:vertAlign w:val="superscript"/>
        </w:rPr>
        <w:footnoteReference w:customMarkFollows="0" w:id="1"/>
      </w:r>
      <w:r w:rsidDel="00000000" w:rsidR="00000000" w:rsidRPr="00000000">
        <w:rPr>
          <w:rtl w:val="0"/>
        </w:rPr>
      </w:r>
    </w:p>
    <w:p w:rsidR="00000000" w:rsidDel="00000000" w:rsidP="00000000" w:rsidRDefault="00000000" w:rsidRPr="00000000" w14:paraId="00000003">
      <w:pPr>
        <w:spacing w:line="48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4">
      <w:pPr>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Berenice III was matched to a prince from Pergamon, to solidify ties between the Ptolemaic Empire and Pergamon, the marriage going ahead after the mourning period for the last pharaoh had been observed. This marriage, it’s intention to draw together two powers in a truce, was one that had been carried out in many different forms throughout history, but a contemporary example would be that of Ptolemy II and Lysimachus’ daughter Arsinoe.</w:t>
      </w:r>
      <w:r w:rsidDel="00000000" w:rsidR="00000000" w:rsidRPr="00000000">
        <w:rPr>
          <w:rFonts w:ascii="Times New Roman" w:cs="Times New Roman" w:eastAsia="Times New Roman" w:hAnsi="Times New Roman"/>
          <w:sz w:val="24"/>
          <w:szCs w:val="24"/>
          <w:vertAlign w:val="superscript"/>
        </w:rPr>
        <w:footnoteReference w:customMarkFollows="0" w:id="2"/>
      </w:r>
      <w:r w:rsidDel="00000000" w:rsidR="00000000" w:rsidRPr="00000000">
        <w:rPr>
          <w:rFonts w:ascii="Times New Roman" w:cs="Times New Roman" w:eastAsia="Times New Roman" w:hAnsi="Times New Roman"/>
          <w:sz w:val="24"/>
          <w:szCs w:val="24"/>
          <w:rtl w:val="0"/>
        </w:rPr>
        <w:t xml:space="preserve"> This marriage was purely to strengthen the Ptolemaic Empire, and had been arranged by Ptolemy IV before his father had even died. Arsinoe had been visiting with her mother, seeing the temple progress at Edfu, but she returned for the wedding, and then to take up her mantle of her new position within the court, that of something more than princess, something less than ruler.</w:t>
      </w:r>
    </w:p>
    <w:p w:rsidR="00000000" w:rsidDel="00000000" w:rsidP="00000000" w:rsidRDefault="00000000" w:rsidRPr="00000000" w14:paraId="00000005">
      <w:pPr>
        <w:spacing w:line="48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6">
      <w:pPr>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Arsinoe had previous examples of women that had more of the power within the marriage, and those women are who she wished to emulate.</w:t>
      </w:r>
      <w:r w:rsidDel="00000000" w:rsidR="00000000" w:rsidRPr="00000000">
        <w:rPr>
          <w:rFonts w:ascii="Times New Roman" w:cs="Times New Roman" w:eastAsia="Times New Roman" w:hAnsi="Times New Roman"/>
          <w:sz w:val="24"/>
          <w:szCs w:val="24"/>
          <w:vertAlign w:val="superscript"/>
        </w:rPr>
        <w:footnoteReference w:customMarkFollows="0" w:id="3"/>
      </w:r>
      <w:r w:rsidDel="00000000" w:rsidR="00000000" w:rsidRPr="00000000">
        <w:rPr>
          <w:rFonts w:ascii="Times New Roman" w:cs="Times New Roman" w:eastAsia="Times New Roman" w:hAnsi="Times New Roman"/>
          <w:sz w:val="24"/>
          <w:szCs w:val="24"/>
          <w:rtl w:val="0"/>
        </w:rPr>
        <w:t xml:space="preserve"> She wished to wrench the power from her brother and husband, wishing to usurp him before he could carry out the assassination that she felt was coming, but which it turns out she should have expected from her sister instead. From her place within the court at Alexandria, and in her place as appointed Regent while her brother-husband journeyed to war, Arsinoe had a brief time within the seat of power, ruling Alexandria with the council that was seated there, such as Cleomenes once ruled in Alexandria for Alexander.</w:t>
      </w:r>
      <w:r w:rsidDel="00000000" w:rsidR="00000000" w:rsidRPr="00000000">
        <w:rPr>
          <w:rFonts w:ascii="Times New Roman" w:cs="Times New Roman" w:eastAsia="Times New Roman" w:hAnsi="Times New Roman"/>
          <w:sz w:val="24"/>
          <w:szCs w:val="24"/>
          <w:vertAlign w:val="superscript"/>
        </w:rPr>
        <w:footnoteReference w:customMarkFollows="0" w:id="4"/>
      </w:r>
      <w:r w:rsidDel="00000000" w:rsidR="00000000" w:rsidRPr="00000000">
        <w:rPr>
          <w:rFonts w:ascii="Times New Roman" w:cs="Times New Roman" w:eastAsia="Times New Roman" w:hAnsi="Times New Roman"/>
          <w:sz w:val="24"/>
          <w:szCs w:val="24"/>
          <w:rtl w:val="0"/>
        </w:rPr>
        <w:t xml:space="preserve"> Within this time her and the council formed a bond, especially between her and the High Priestess, and in time, plans were whispered in the dark of night, made over cups of wine, and schemes began to take root.</w:t>
      </w:r>
    </w:p>
    <w:p w:rsidR="00000000" w:rsidDel="00000000" w:rsidP="00000000" w:rsidRDefault="00000000" w:rsidRPr="00000000" w14:paraId="00000007">
      <w:pPr>
        <w:spacing w:line="48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Since the first Ptolemy had been gifted the satrapy of Egypt, Alexandria had been the base of the royal court, and this was no less true in the case of Arsinoe’s brief flirtation with power.</w:t>
      </w:r>
      <w:r w:rsidDel="00000000" w:rsidR="00000000" w:rsidRPr="00000000">
        <w:rPr>
          <w:rFonts w:ascii="Times New Roman" w:cs="Times New Roman" w:eastAsia="Times New Roman" w:hAnsi="Times New Roman"/>
          <w:sz w:val="24"/>
          <w:szCs w:val="24"/>
          <w:vertAlign w:val="superscript"/>
        </w:rPr>
        <w:footnoteReference w:customMarkFollows="0" w:id="5"/>
      </w:r>
      <w:r w:rsidDel="00000000" w:rsidR="00000000" w:rsidRPr="00000000">
        <w:rPr>
          <w:rFonts w:ascii="Times New Roman" w:cs="Times New Roman" w:eastAsia="Times New Roman" w:hAnsi="Times New Roman"/>
          <w:sz w:val="24"/>
          <w:szCs w:val="24"/>
          <w:rtl w:val="0"/>
        </w:rPr>
        <w:t xml:space="preserve"> Part of the reason why Arsinoe was so loyal to Alexandria came in the form of the way in which this great city invited knowledge, science, art, it invited those who truly flourished in those areas to take up their positions, to share their smarts, both with each other and those of the upper classes.</w:t>
      </w:r>
      <w:r w:rsidDel="00000000" w:rsidR="00000000" w:rsidRPr="00000000">
        <w:rPr>
          <w:rFonts w:ascii="Times New Roman" w:cs="Times New Roman" w:eastAsia="Times New Roman" w:hAnsi="Times New Roman"/>
          <w:sz w:val="24"/>
          <w:szCs w:val="24"/>
          <w:vertAlign w:val="superscript"/>
        </w:rPr>
        <w:footnoteReference w:customMarkFollows="0" w:id="6"/>
      </w:r>
      <w:r w:rsidDel="00000000" w:rsidR="00000000" w:rsidRPr="00000000">
        <w:rPr>
          <w:rFonts w:ascii="Times New Roman" w:cs="Times New Roman" w:eastAsia="Times New Roman" w:hAnsi="Times New Roman"/>
          <w:sz w:val="24"/>
          <w:szCs w:val="24"/>
          <w:rtl w:val="0"/>
        </w:rPr>
        <w:t xml:space="preserve"> Alexandria, and Ptolemy I himself, had much to do with the development of the arts, with the furthering and sharing of knowledge, and this was something that Arsinoe flourished within.</w:t>
      </w:r>
      <w:r w:rsidDel="00000000" w:rsidR="00000000" w:rsidRPr="00000000">
        <w:rPr>
          <w:rFonts w:ascii="Times New Roman" w:cs="Times New Roman" w:eastAsia="Times New Roman" w:hAnsi="Times New Roman"/>
          <w:sz w:val="24"/>
          <w:szCs w:val="24"/>
          <w:vertAlign w:val="superscript"/>
        </w:rPr>
        <w:footnoteReference w:customMarkFollows="0" w:id="7"/>
      </w:r>
      <w:r w:rsidDel="00000000" w:rsidR="00000000" w:rsidRPr="00000000">
        <w:rPr>
          <w:rFonts w:ascii="Times New Roman" w:cs="Times New Roman" w:eastAsia="Times New Roman" w:hAnsi="Times New Roman"/>
          <w:sz w:val="24"/>
          <w:szCs w:val="24"/>
          <w:rtl w:val="0"/>
        </w:rPr>
        <w:t xml:space="preserve"> While Memphis held a past with the pharaohs, Alexandria held their future, and this is something that Arsinoe profoundly believed in. This interest stemmed from many places, including but not limited to her interest of freedom in expression, but largely she remembered hot summers peeking through doors to where her brother was studying, where he was being taught, by tutor after tutor, by some of the best minds in the world at this time.</w:t>
      </w:r>
      <w:r w:rsidDel="00000000" w:rsidR="00000000" w:rsidRPr="00000000">
        <w:rPr>
          <w:rFonts w:ascii="Times New Roman" w:cs="Times New Roman" w:eastAsia="Times New Roman" w:hAnsi="Times New Roman"/>
          <w:sz w:val="24"/>
          <w:szCs w:val="24"/>
          <w:vertAlign w:val="superscript"/>
        </w:rPr>
        <w:footnoteReference w:customMarkFollows="0" w:id="8"/>
      </w:r>
      <w:r w:rsidDel="00000000" w:rsidR="00000000" w:rsidRPr="00000000">
        <w:rPr>
          <w:rtl w:val="0"/>
        </w:rPr>
      </w:r>
    </w:p>
    <w:p w:rsidR="00000000" w:rsidDel="00000000" w:rsidP="00000000" w:rsidRDefault="00000000" w:rsidRPr="00000000" w14:paraId="00000009">
      <w:pPr>
        <w:spacing w:line="48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A">
      <w:pPr>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Alexandria was one of Arsinoe’s first loves, and her and her council scheme to take it, to steal it from her brother’s greedy hands, while he rode into battle attempting to secure some far off place, while he tried to live up to the glory of Alexander, which he ultimately failed to do. In the wake of the changes that Alexandria had brought to this corner of the Empire, it became necessary to introduce some kind of religious middle ground, and through this the Serapis cult was born, as something for the Greeks within Egypt to worship.</w:t>
      </w:r>
      <w:r w:rsidDel="00000000" w:rsidR="00000000" w:rsidRPr="00000000">
        <w:rPr>
          <w:rFonts w:ascii="Times New Roman" w:cs="Times New Roman" w:eastAsia="Times New Roman" w:hAnsi="Times New Roman"/>
          <w:sz w:val="24"/>
          <w:szCs w:val="24"/>
          <w:vertAlign w:val="superscript"/>
        </w:rPr>
        <w:footnoteReference w:customMarkFollows="0" w:id="9"/>
      </w:r>
      <w:r w:rsidDel="00000000" w:rsidR="00000000" w:rsidRPr="00000000">
        <w:rPr>
          <w:rFonts w:ascii="Times New Roman" w:cs="Times New Roman" w:eastAsia="Times New Roman" w:hAnsi="Times New Roman"/>
          <w:sz w:val="24"/>
          <w:szCs w:val="24"/>
          <w:rtl w:val="0"/>
        </w:rPr>
        <w:t xml:space="preserve"> Alongside this there was a plot, a coup, brewing. Those in power, the High Priestess of Alexandria and the Satrap, felt as though Ptolemy IV could not offer them the support that was needed, they felt as though they needed to support the claim of another. Through this, through nighttime scheming and the bonding that was apt to happen, the Alexandrians, and Arsinoe, who felt as though she was an Alexandrian herself, made a plan. A plan that took into account the changing religious landscape of the area, that took into account the large amount of immigrants, that paid attention to detail, and which took advantage of the powers that existed through gaining the loyalty of the High Priestess.</w:t>
      </w:r>
    </w:p>
    <w:p w:rsidR="00000000" w:rsidDel="00000000" w:rsidP="00000000" w:rsidRDefault="00000000" w:rsidRPr="00000000" w14:paraId="0000000B">
      <w:pPr>
        <w:spacing w:line="48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C">
      <w:pPr>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Strabo, within his </w:t>
      </w:r>
      <w:r w:rsidDel="00000000" w:rsidR="00000000" w:rsidRPr="00000000">
        <w:rPr>
          <w:rFonts w:ascii="Times New Roman" w:cs="Times New Roman" w:eastAsia="Times New Roman" w:hAnsi="Times New Roman"/>
          <w:i w:val="1"/>
          <w:sz w:val="24"/>
          <w:szCs w:val="24"/>
          <w:rtl w:val="0"/>
        </w:rPr>
        <w:t xml:space="preserve">Geography</w:t>
      </w:r>
      <w:r w:rsidDel="00000000" w:rsidR="00000000" w:rsidRPr="00000000">
        <w:rPr>
          <w:rFonts w:ascii="Times New Roman" w:cs="Times New Roman" w:eastAsia="Times New Roman" w:hAnsi="Times New Roman"/>
          <w:sz w:val="24"/>
          <w:szCs w:val="24"/>
          <w:rtl w:val="0"/>
        </w:rPr>
        <w:t xml:space="preserve">, cites the existence of the crocodile cult, primarily within Crocodilopolis; so named for the creature which they worshipped (some may wonder whether the change of the name of the city to Arsinoe was some form of divine providence).</w:t>
      </w:r>
      <w:r w:rsidDel="00000000" w:rsidR="00000000" w:rsidRPr="00000000">
        <w:rPr>
          <w:rFonts w:ascii="Times New Roman" w:cs="Times New Roman" w:eastAsia="Times New Roman" w:hAnsi="Times New Roman"/>
          <w:sz w:val="24"/>
          <w:szCs w:val="24"/>
          <w:vertAlign w:val="superscript"/>
        </w:rPr>
        <w:footnoteReference w:customMarkFollows="0" w:id="10"/>
      </w:r>
      <w:r w:rsidDel="00000000" w:rsidR="00000000" w:rsidRPr="00000000">
        <w:rPr>
          <w:rFonts w:ascii="Times New Roman" w:cs="Times New Roman" w:eastAsia="Times New Roman" w:hAnsi="Times New Roman"/>
          <w:sz w:val="24"/>
          <w:szCs w:val="24"/>
          <w:rtl w:val="0"/>
        </w:rPr>
        <w:t xml:space="preserve"> Sobek, the Egyptian crocodile god, was worshipped throughout the Fayum, and this was something which the council of Alexandria wished to take advantage of.</w:t>
      </w:r>
      <w:r w:rsidDel="00000000" w:rsidR="00000000" w:rsidRPr="00000000">
        <w:rPr>
          <w:rFonts w:ascii="Times New Roman" w:cs="Times New Roman" w:eastAsia="Times New Roman" w:hAnsi="Times New Roman"/>
          <w:sz w:val="24"/>
          <w:szCs w:val="24"/>
          <w:vertAlign w:val="superscript"/>
        </w:rPr>
        <w:footnoteReference w:customMarkFollows="0" w:id="11"/>
      </w:r>
      <w:r w:rsidDel="00000000" w:rsidR="00000000" w:rsidRPr="00000000">
        <w:rPr>
          <w:rFonts w:ascii="Times New Roman" w:cs="Times New Roman" w:eastAsia="Times New Roman" w:hAnsi="Times New Roman"/>
          <w:sz w:val="24"/>
          <w:szCs w:val="24"/>
          <w:rtl w:val="0"/>
        </w:rPr>
        <w:t xml:space="preserve"> The Ptolemies adopting popular Egyptian gods could only be good for their reputation, and would increase their dwindling popularity with the people of their Empire. The plan, then; convince Ptolemy IV to indulge in an act of worship for the crocodile god, Sobek. With the High Priestess’s help introduce it quickly and forcefully within the court and the city of Alexandria, so that when/if he returns from the war, he’ll be forced into an act of worship, and this act of worship, they schemed, would lead to his death. For Sobek was not always a merciful god, and if a god were to carry out the action then there could be no blame, not even if Arsinoe had fed her brother to a crocodile herself.</w:t>
      </w:r>
    </w:p>
    <w:p w:rsidR="00000000" w:rsidDel="00000000" w:rsidP="00000000" w:rsidRDefault="00000000" w:rsidRPr="00000000" w14:paraId="0000000D">
      <w:pPr>
        <w:spacing w:line="48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face of this plan victory seemed inevitable, undeniable, but alas, Berenice III watched, and waited, and chose the perfect time, and Arsinoe fell to her weapons, to her words, and Berenice ascended the throne alone, without her sister by her side, without anyone but herself, and potentially her Pergamon prince.</w:t>
      </w:r>
    </w:p>
    <w:p w:rsidR="00000000" w:rsidDel="00000000" w:rsidP="00000000" w:rsidRDefault="00000000" w:rsidRPr="00000000" w14:paraId="0000000F">
      <w:pPr>
        <w:spacing w:line="48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Following the destruction of Arsinoe’s plans and her untimely death, Alexandra of Bactria, once an honorary advisor, but more of just someone that the queen, Ada, had appreciated, had loved. Eventually, the two had married, and Alexandra had risen up to take her place beside her wife, her fellow queen. They ruled with a fair, caring hand, wishing for nothing more than a quiet, prosperous rule, one in which their people could have good and healthy lives, and they could love each other in peace, that their people could grow to love them, that they would see that they only ever did the best for them.</w:t>
      </w:r>
    </w:p>
    <w:p w:rsidR="00000000" w:rsidDel="00000000" w:rsidP="00000000" w:rsidRDefault="00000000" w:rsidRPr="00000000" w14:paraId="00000011">
      <w:pPr>
        <w:spacing w:line="48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2">
      <w:pPr>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wake of their promises they had made, both to each other and to their people, they sought a peace treaty with those of Media and Persia. Both councils were prepared to sit down with them, to send envoys, to promise troops, to build upon the peace that they believed could be a reality. Ada continued to have an interest in local religions, to have an interest in local culture, to nurture those around her, and Alexandra mostly had an interest in supporting and loving her wife, prepared to follow her wherever she went, prepared to do whatever would make her wife happy.</w:t>
      </w:r>
    </w:p>
    <w:p w:rsidR="00000000" w:rsidDel="00000000" w:rsidP="00000000" w:rsidRDefault="00000000" w:rsidRPr="00000000" w14:paraId="00000013">
      <w:pPr>
        <w:spacing w:line="48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4">
      <w:pPr>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treaty that followed was about sharing resources, sharing information, improving their people’s quality of life. 218BC saw a peace treaty and a trade deal with Persia and Media, and the happiness of their regents. The treaty detailed what each kingdom wanted, and these things were resources, and elephants, and knowledge. Persia offered protection, silk, pistachios, and 20 learned engineers to set up an irrigation system, to share their agricultural knowledge with those of Bactria, to make farming, to make living, even, easier for all those involved.</w:t>
      </w:r>
      <w:r w:rsidDel="00000000" w:rsidR="00000000" w:rsidRPr="00000000">
        <w:rPr>
          <w:rFonts w:ascii="Times New Roman" w:cs="Times New Roman" w:eastAsia="Times New Roman" w:hAnsi="Times New Roman"/>
          <w:sz w:val="24"/>
          <w:szCs w:val="24"/>
          <w:vertAlign w:val="superscript"/>
        </w:rPr>
        <w:footnoteReference w:customMarkFollows="0" w:id="12"/>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5">
      <w:pPr>
        <w:spacing w:line="48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6">
      <w:pPr>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spite of all of this, in spite of their attempts to live their peaceful, happy lives, those from afar, those from Parthia, laid their eyes upon this land. The King of Parthia had previously warned Ada that his armies would be moving towards Bactrian land, but that he didn’t have any intentions with regards to her own lands, and in response to this Ada sent forth emergency envoys, called upon an emergency council, and with Persia and Media collected they called forth their men, called forth their defenses, prepared to defend themselves should they need to.</w:t>
      </w:r>
    </w:p>
    <w:p w:rsidR="00000000" w:rsidDel="00000000" w:rsidP="00000000" w:rsidRDefault="00000000" w:rsidRPr="00000000" w14:paraId="00000017">
      <w:pPr>
        <w:spacing w:line="48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men were brave and the King of Parthia was a coward, striking when he had previously spoken of treaties, of trade, of peace, and the Persian men fell, the Bactrian men fell, and the queens were captured, were forced to renounce their throne, were thrown away to the side. They hadn’t expected it, had not been ready, were not alongside their men as they should have been, Alexandra taking up her position with the cavalry as she once would have done, urgent business having called them away. The two women were merely captured when they returned home, when they returned to see their lands pillaged and their people murdered. They were allowed by the King of Parthia to remain in Parthia, to seek refuge within the temples and shady groves where Ada had always found her home, with the people she had once been in a position to help, but now she was merely one of them, merely someone who suffered under the rule of a king who just wished to expand his empire. They hid as priestesses, not thinking of their royal claims, not able to seek out the support that they would need to rise again, that they would need to stage a revolution. They sat back in the shadows, far from those who wielded any power, heard whispers, rumours, of a treaty between Persia, their former ally, and the King of Parthia, the one that had ruined their lands, the one that had hurt their people, destroyed the peace that they longed for, that they had fought to preserve, and they stayed in the shadows. They sought one day to take their throne back, to return Bactria to the peaceful, prosperous land it had once been.</w:t>
      </w:r>
      <w:r w:rsidDel="00000000" w:rsidR="00000000" w:rsidRPr="00000000">
        <w:br w:type="page"/>
      </w:r>
      <w:r w:rsidDel="00000000" w:rsidR="00000000" w:rsidRPr="00000000">
        <w:rPr>
          <w:rtl w:val="0"/>
        </w:rPr>
      </w:r>
    </w:p>
    <w:p w:rsidR="00000000" w:rsidDel="00000000" w:rsidP="00000000" w:rsidRDefault="00000000" w:rsidRPr="00000000" w14:paraId="00000019">
      <w:pPr>
        <w:spacing w:line="480" w:lineRule="auto"/>
        <w:contextualSpacing w:val="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Bibliography</w:t>
      </w:r>
      <w:r w:rsidDel="00000000" w:rsidR="00000000" w:rsidRPr="00000000">
        <w:rPr>
          <w:rtl w:val="0"/>
        </w:rPr>
      </w:r>
    </w:p>
    <w:p w:rsidR="00000000" w:rsidDel="00000000" w:rsidP="00000000" w:rsidRDefault="00000000" w:rsidRPr="00000000" w14:paraId="0000001A">
      <w:pPr>
        <w:spacing w:line="480" w:lineRule="auto"/>
        <w:contextualSpacing w:val="0"/>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1B">
      <w:pPr>
        <w:spacing w:line="480" w:lineRule="auto"/>
        <w:contextualSpacing w:val="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Ancient Sources</w:t>
      </w:r>
    </w:p>
    <w:p w:rsidR="00000000" w:rsidDel="00000000" w:rsidP="00000000" w:rsidRDefault="00000000" w:rsidRPr="00000000" w14:paraId="0000001C">
      <w:pPr>
        <w:spacing w:line="48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D">
      <w:pPr>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Strabo, </w:t>
      </w:r>
      <w:r w:rsidDel="00000000" w:rsidR="00000000" w:rsidRPr="00000000">
        <w:rPr>
          <w:rFonts w:ascii="Times New Roman" w:cs="Times New Roman" w:eastAsia="Times New Roman" w:hAnsi="Times New Roman"/>
          <w:i w:val="1"/>
          <w:sz w:val="24"/>
          <w:szCs w:val="24"/>
          <w:rtl w:val="0"/>
        </w:rPr>
        <w:t xml:space="preserve">Geography</w:t>
      </w:r>
      <w:r w:rsidDel="00000000" w:rsidR="00000000" w:rsidRPr="00000000">
        <w:rPr>
          <w:rFonts w:ascii="Times New Roman" w:cs="Times New Roman" w:eastAsia="Times New Roman" w:hAnsi="Times New Roman"/>
          <w:sz w:val="24"/>
          <w:szCs w:val="24"/>
          <w:rtl w:val="0"/>
        </w:rPr>
        <w:t xml:space="preserve">. H. C. Hamilton (trans.), W. Falconer (trans.). 1903. London: George Bell &amp; Sons.</w:t>
      </w:r>
    </w:p>
    <w:p w:rsidR="00000000" w:rsidDel="00000000" w:rsidP="00000000" w:rsidRDefault="00000000" w:rsidRPr="00000000" w14:paraId="0000001E">
      <w:pPr>
        <w:spacing w:line="48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F">
      <w:pPr>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Scholarship</w:t>
      </w:r>
      <w:r w:rsidDel="00000000" w:rsidR="00000000" w:rsidRPr="00000000">
        <w:rPr>
          <w:rtl w:val="0"/>
        </w:rPr>
      </w:r>
    </w:p>
    <w:p w:rsidR="00000000" w:rsidDel="00000000" w:rsidP="00000000" w:rsidRDefault="00000000" w:rsidRPr="00000000" w14:paraId="00000020">
      <w:pPr>
        <w:spacing w:line="48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1">
      <w:pPr>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Shenkar, M. (2007). Temple Architecture in the Iranian World before the Macedonian Conquest. </w:t>
      </w:r>
      <w:r w:rsidDel="00000000" w:rsidR="00000000" w:rsidRPr="00000000">
        <w:rPr>
          <w:rFonts w:ascii="Times New Roman" w:cs="Times New Roman" w:eastAsia="Times New Roman" w:hAnsi="Times New Roman"/>
          <w:i w:val="1"/>
          <w:sz w:val="24"/>
          <w:szCs w:val="24"/>
          <w:rtl w:val="0"/>
        </w:rPr>
        <w:t xml:space="preserve">Iran and the Caucasus</w:t>
      </w:r>
      <w:r w:rsidDel="00000000" w:rsidR="00000000" w:rsidRPr="00000000">
        <w:rPr>
          <w:rFonts w:ascii="Times New Roman" w:cs="Times New Roman" w:eastAsia="Times New Roman" w:hAnsi="Times New Roman"/>
          <w:sz w:val="24"/>
          <w:szCs w:val="24"/>
          <w:rtl w:val="0"/>
        </w:rPr>
        <w:t xml:space="preserve">, 11(2), pp.169-194.</w:t>
      </w:r>
    </w:p>
    <w:p w:rsidR="00000000" w:rsidDel="00000000" w:rsidP="00000000" w:rsidRDefault="00000000" w:rsidRPr="00000000" w14:paraId="00000022">
      <w:pPr>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Molcho, M. (2014). Crocodile Breeding in the Crocodile Cults of the Graeco-Roman Fayum*. </w:t>
      </w:r>
      <w:r w:rsidDel="00000000" w:rsidR="00000000" w:rsidRPr="00000000">
        <w:rPr>
          <w:rFonts w:ascii="Times New Roman" w:cs="Times New Roman" w:eastAsia="Times New Roman" w:hAnsi="Times New Roman"/>
          <w:i w:val="1"/>
          <w:sz w:val="24"/>
          <w:szCs w:val="24"/>
          <w:rtl w:val="0"/>
        </w:rPr>
        <w:t xml:space="preserve">The Journal of Egyptian Archaeology</w:t>
      </w:r>
      <w:r w:rsidDel="00000000" w:rsidR="00000000" w:rsidRPr="00000000">
        <w:rPr>
          <w:rFonts w:ascii="Times New Roman" w:cs="Times New Roman" w:eastAsia="Times New Roman" w:hAnsi="Times New Roman"/>
          <w:sz w:val="24"/>
          <w:szCs w:val="24"/>
          <w:rtl w:val="0"/>
        </w:rPr>
        <w:t xml:space="preserve">, 100(1), pp.181-193.</w:t>
      </w:r>
    </w:p>
    <w:p w:rsidR="00000000" w:rsidDel="00000000" w:rsidP="00000000" w:rsidRDefault="00000000" w:rsidRPr="00000000" w14:paraId="00000023">
      <w:pPr>
        <w:spacing w:line="480" w:lineRule="auto"/>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Tunny, J. (2000). Ptolemy "The Son" Reconsidered: Are There Too Many Ptolemies?. </w:t>
      </w:r>
      <w:r w:rsidDel="00000000" w:rsidR="00000000" w:rsidRPr="00000000">
        <w:rPr>
          <w:rFonts w:ascii="Times New Roman" w:cs="Times New Roman" w:eastAsia="Times New Roman" w:hAnsi="Times New Roman"/>
          <w:i w:val="1"/>
          <w:sz w:val="24"/>
          <w:szCs w:val="24"/>
          <w:highlight w:val="white"/>
          <w:rtl w:val="0"/>
        </w:rPr>
        <w:t xml:space="preserve">Zeitschrift für Papyrologie und Epigraphik</w:t>
      </w:r>
      <w:r w:rsidDel="00000000" w:rsidR="00000000" w:rsidRPr="00000000">
        <w:rPr>
          <w:rFonts w:ascii="Times New Roman" w:cs="Times New Roman" w:eastAsia="Times New Roman" w:hAnsi="Times New Roman"/>
          <w:sz w:val="24"/>
          <w:szCs w:val="24"/>
          <w:highlight w:val="white"/>
          <w:rtl w:val="0"/>
        </w:rPr>
        <w:t xml:space="preserve">, 131, pp.83-92.</w:t>
      </w:r>
    </w:p>
    <w:p w:rsidR="00000000" w:rsidDel="00000000" w:rsidP="00000000" w:rsidRDefault="00000000" w:rsidRPr="00000000" w14:paraId="00000024">
      <w:pPr>
        <w:spacing w:line="480" w:lineRule="auto"/>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Moyer, I. (2011). Court, "Chora", and Culture in Late Ptolemaic Egypt. </w:t>
      </w:r>
      <w:r w:rsidDel="00000000" w:rsidR="00000000" w:rsidRPr="00000000">
        <w:rPr>
          <w:rFonts w:ascii="Times New Roman" w:cs="Times New Roman" w:eastAsia="Times New Roman" w:hAnsi="Times New Roman"/>
          <w:i w:val="1"/>
          <w:sz w:val="24"/>
          <w:szCs w:val="24"/>
          <w:highlight w:val="white"/>
          <w:rtl w:val="0"/>
        </w:rPr>
        <w:t xml:space="preserve">The American Journal of Philology</w:t>
      </w:r>
      <w:r w:rsidDel="00000000" w:rsidR="00000000" w:rsidRPr="00000000">
        <w:rPr>
          <w:rFonts w:ascii="Times New Roman" w:cs="Times New Roman" w:eastAsia="Times New Roman" w:hAnsi="Times New Roman"/>
          <w:sz w:val="24"/>
          <w:szCs w:val="24"/>
          <w:highlight w:val="white"/>
          <w:rtl w:val="0"/>
        </w:rPr>
        <w:t xml:space="preserve">, 132(1), pp.15-44.</w:t>
      </w:r>
    </w:p>
    <w:p w:rsidR="00000000" w:rsidDel="00000000" w:rsidP="00000000" w:rsidRDefault="00000000" w:rsidRPr="00000000" w14:paraId="00000025">
      <w:pPr>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Green, P. (1985). The Politics of Royal Patronage: Early Ptolemaic Alexandria. </w:t>
      </w:r>
      <w:r w:rsidDel="00000000" w:rsidR="00000000" w:rsidRPr="00000000">
        <w:rPr>
          <w:rFonts w:ascii="Times New Roman" w:cs="Times New Roman" w:eastAsia="Times New Roman" w:hAnsi="Times New Roman"/>
          <w:i w:val="1"/>
          <w:sz w:val="24"/>
          <w:szCs w:val="24"/>
          <w:rtl w:val="0"/>
        </w:rPr>
        <w:t xml:space="preserve">Grand Street</w:t>
      </w:r>
      <w:r w:rsidDel="00000000" w:rsidR="00000000" w:rsidRPr="00000000">
        <w:rPr>
          <w:rFonts w:ascii="Times New Roman" w:cs="Times New Roman" w:eastAsia="Times New Roman" w:hAnsi="Times New Roman"/>
          <w:sz w:val="24"/>
          <w:szCs w:val="24"/>
          <w:rtl w:val="0"/>
        </w:rPr>
        <w:t xml:space="preserve">, 5(1), p.151.</w:t>
      </w:r>
    </w:p>
    <w:p w:rsidR="00000000" w:rsidDel="00000000" w:rsidP="00000000" w:rsidRDefault="00000000" w:rsidRPr="00000000" w14:paraId="00000026">
      <w:pPr>
        <w:spacing w:line="480" w:lineRule="auto"/>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Hallock, R. (1969). </w:t>
      </w:r>
      <w:r w:rsidDel="00000000" w:rsidR="00000000" w:rsidRPr="00000000">
        <w:rPr>
          <w:rFonts w:ascii="Times New Roman" w:cs="Times New Roman" w:eastAsia="Times New Roman" w:hAnsi="Times New Roman"/>
          <w:i w:val="1"/>
          <w:sz w:val="24"/>
          <w:szCs w:val="24"/>
          <w:highlight w:val="white"/>
          <w:rtl w:val="0"/>
        </w:rPr>
        <w:t xml:space="preserve">Persepolis Fortification Tablets</w:t>
      </w:r>
      <w:r w:rsidDel="00000000" w:rsidR="00000000" w:rsidRPr="00000000">
        <w:rPr>
          <w:rFonts w:ascii="Times New Roman" w:cs="Times New Roman" w:eastAsia="Times New Roman" w:hAnsi="Times New Roman"/>
          <w:sz w:val="24"/>
          <w:szCs w:val="24"/>
          <w:highlight w:val="white"/>
          <w:rtl w:val="0"/>
        </w:rPr>
        <w:t xml:space="preserve">. Chicago: University of Chicago Oriental Institute Publications.</w:t>
      </w:r>
    </w:p>
    <w:p w:rsidR="00000000" w:rsidDel="00000000" w:rsidP="00000000" w:rsidRDefault="00000000" w:rsidRPr="00000000" w14:paraId="00000027">
      <w:pPr>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Daneshmir, R. and Spiridonoff, C. (2012). Subterranean Landscape: The Far-Reaching Influence of the Underground Qanat Network in Ancient and Present-Day Iran. </w:t>
      </w:r>
      <w:r w:rsidDel="00000000" w:rsidR="00000000" w:rsidRPr="00000000">
        <w:rPr>
          <w:rFonts w:ascii="Times New Roman" w:cs="Times New Roman" w:eastAsia="Times New Roman" w:hAnsi="Times New Roman"/>
          <w:i w:val="1"/>
          <w:sz w:val="24"/>
          <w:szCs w:val="24"/>
          <w:rtl w:val="0"/>
        </w:rPr>
        <w:t xml:space="preserve">Architectural Design</w:t>
      </w:r>
      <w:r w:rsidDel="00000000" w:rsidR="00000000" w:rsidRPr="00000000">
        <w:rPr>
          <w:rFonts w:ascii="Times New Roman" w:cs="Times New Roman" w:eastAsia="Times New Roman" w:hAnsi="Times New Roman"/>
          <w:sz w:val="24"/>
          <w:szCs w:val="24"/>
          <w:rtl w:val="0"/>
        </w:rPr>
        <w:t xml:space="preserve">, 82(3), pp.62-69.</w:t>
      </w:r>
      <w:r w:rsidDel="00000000" w:rsidR="00000000" w:rsidRPr="00000000">
        <w:rPr>
          <w:rtl w:val="0"/>
        </w:rPr>
      </w:r>
    </w:p>
    <w:p w:rsidR="00000000" w:rsidDel="00000000" w:rsidP="00000000" w:rsidRDefault="00000000" w:rsidRPr="00000000" w14:paraId="00000028">
      <w:pPr>
        <w:spacing w:line="480" w:lineRule="auto"/>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29">
      <w:pPr>
        <w:spacing w:line="480" w:lineRule="auto"/>
        <w:contextualSpacing w:val="0"/>
        <w:rPr>
          <w:rFonts w:ascii="Times New Roman" w:cs="Times New Roman" w:eastAsia="Times New Roman" w:hAnsi="Times New Roman"/>
          <w:sz w:val="24"/>
          <w:szCs w:val="24"/>
        </w:rPr>
      </w:pPr>
      <w:r w:rsidDel="00000000" w:rsidR="00000000" w:rsidRPr="00000000">
        <w:rPr>
          <w:rtl w:val="0"/>
        </w:rPr>
      </w:r>
    </w:p>
    <w:sectPr>
      <w:pgSz w:h="16834" w:w="11909"/>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3">
    <w:p w:rsidR="00000000" w:rsidDel="00000000" w:rsidP="00000000" w:rsidRDefault="00000000" w:rsidRPr="00000000" w14:paraId="0000002A">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Pomeroy 1990:17</w:t>
      </w:r>
    </w:p>
  </w:footnote>
  <w:footnote w:id="0">
    <w:p w:rsidR="00000000" w:rsidDel="00000000" w:rsidP="00000000" w:rsidRDefault="00000000" w:rsidRPr="00000000" w14:paraId="0000002B">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Rowlandson 2003:33</w:t>
      </w:r>
    </w:p>
  </w:footnote>
  <w:footnote w:id="2">
    <w:p w:rsidR="00000000" w:rsidDel="00000000" w:rsidP="00000000" w:rsidRDefault="00000000" w:rsidRPr="00000000" w14:paraId="0000002C">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Tunny 2000:83</w:t>
      </w:r>
    </w:p>
  </w:footnote>
  <w:footnote w:id="1">
    <w:p w:rsidR="00000000" w:rsidDel="00000000" w:rsidP="00000000" w:rsidRDefault="00000000" w:rsidRPr="00000000" w14:paraId="0000002D">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Moyer 2011:15</w:t>
      </w:r>
    </w:p>
  </w:footnote>
  <w:footnote w:id="4">
    <w:p w:rsidR="00000000" w:rsidDel="00000000" w:rsidP="00000000" w:rsidRDefault="00000000" w:rsidRPr="00000000" w14:paraId="0000002E">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Green 1985:154</w:t>
      </w:r>
    </w:p>
  </w:footnote>
  <w:footnote w:id="5">
    <w:p w:rsidR="00000000" w:rsidDel="00000000" w:rsidP="00000000" w:rsidRDefault="00000000" w:rsidRPr="00000000" w14:paraId="0000002F">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Green 1985:155</w:t>
      </w:r>
    </w:p>
  </w:footnote>
  <w:footnote w:id="6">
    <w:p w:rsidR="00000000" w:rsidDel="00000000" w:rsidP="00000000" w:rsidRDefault="00000000" w:rsidRPr="00000000" w14:paraId="0000003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Green 1985:155</w:t>
      </w:r>
    </w:p>
  </w:footnote>
  <w:footnote w:id="7">
    <w:p w:rsidR="00000000" w:rsidDel="00000000" w:rsidP="00000000" w:rsidRDefault="00000000" w:rsidRPr="00000000" w14:paraId="00000031">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Green 1985:156</w:t>
      </w:r>
    </w:p>
  </w:footnote>
  <w:footnote w:id="8">
    <w:p w:rsidR="00000000" w:rsidDel="00000000" w:rsidP="00000000" w:rsidRDefault="00000000" w:rsidRPr="00000000" w14:paraId="00000032">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Green 1985:157</w:t>
      </w:r>
    </w:p>
  </w:footnote>
  <w:footnote w:id="9">
    <w:p w:rsidR="00000000" w:rsidDel="00000000" w:rsidP="00000000" w:rsidRDefault="00000000" w:rsidRPr="00000000" w14:paraId="00000033">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Green 1985:157</w:t>
      </w:r>
    </w:p>
  </w:footnote>
  <w:footnote w:id="10">
    <w:p w:rsidR="00000000" w:rsidDel="00000000" w:rsidP="00000000" w:rsidRDefault="00000000" w:rsidRPr="00000000" w14:paraId="00000034">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Strab. 17.1.38</w:t>
      </w:r>
    </w:p>
  </w:footnote>
  <w:footnote w:id="11">
    <w:p w:rsidR="00000000" w:rsidDel="00000000" w:rsidP="00000000" w:rsidRDefault="00000000" w:rsidRPr="00000000" w14:paraId="00000035">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Molcho 2014:182</w:t>
      </w:r>
    </w:p>
  </w:footnote>
  <w:footnote w:id="12">
    <w:p w:rsidR="00000000" w:rsidDel="00000000" w:rsidP="00000000" w:rsidRDefault="00000000" w:rsidRPr="00000000" w14:paraId="00000036">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Daneshmir and Spiridonoff 2012, Hallock 1969:355</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