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ED3D1A" w14:textId="444F7225" w:rsidR="004071EE" w:rsidRDefault="00A66456">
      <w:pPr>
        <w:pStyle w:val="TOCHeading"/>
        <w:rPr>
          <w:rFonts w:asciiTheme="minorHAnsi" w:eastAsiaTheme="minorHAnsi" w:hAnsiTheme="minorHAnsi" w:cstheme="minorBidi"/>
          <w:b w:val="0"/>
          <w:bCs w:val="0"/>
          <w:color w:val="auto"/>
          <w:kern w:val="2"/>
          <w:sz w:val="24"/>
          <w:szCs w:val="24"/>
          <w:lang w:val="en-GB"/>
          <w14:ligatures w14:val="standardContextual"/>
        </w:rPr>
      </w:pPr>
      <w:r>
        <w:rPr>
          <w:rFonts w:asciiTheme="minorHAnsi" w:eastAsiaTheme="minorHAnsi" w:hAnsiTheme="minorHAnsi" w:cstheme="minorBidi"/>
          <w:b w:val="0"/>
          <w:bCs w:val="0"/>
          <w:noProof/>
          <w:color w:val="auto"/>
          <w:kern w:val="2"/>
          <w:sz w:val="24"/>
          <w:szCs w:val="24"/>
          <w:lang w:val="en-GB"/>
          <w14:ligatures w14:val="standardContextual"/>
        </w:rPr>
        <w:drawing>
          <wp:inline distT="0" distB="0" distL="0" distR="0" wp14:anchorId="36DACDEF" wp14:editId="406E0260">
            <wp:extent cx="5715000" cy="3175000"/>
            <wp:effectExtent l="0" t="0" r="0" b="0"/>
            <wp:docPr id="1040128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28891" name="Picture 1040128891"/>
                    <pic:cNvPicPr/>
                  </pic:nvPicPr>
                  <pic:blipFill>
                    <a:blip r:embed="rId8">
                      <a:extLst>
                        <a:ext uri="{28A0092B-C50C-407E-A947-70E740481C1C}">
                          <a14:useLocalDpi xmlns:a14="http://schemas.microsoft.com/office/drawing/2010/main" val="0"/>
                        </a:ext>
                      </a:extLst>
                    </a:blip>
                    <a:stretch>
                      <a:fillRect/>
                    </a:stretch>
                  </pic:blipFill>
                  <pic:spPr>
                    <a:xfrm>
                      <a:off x="0" y="0"/>
                      <a:ext cx="5715000" cy="3175000"/>
                    </a:xfrm>
                    <a:prstGeom prst="rect">
                      <a:avLst/>
                    </a:prstGeom>
                  </pic:spPr>
                </pic:pic>
              </a:graphicData>
            </a:graphic>
          </wp:inline>
        </w:drawing>
      </w:r>
    </w:p>
    <w:p w14:paraId="3AF8018C" w14:textId="77777777" w:rsidR="00F5768F" w:rsidRDefault="00F5768F" w:rsidP="00F576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rPr>
      </w:pPr>
    </w:p>
    <w:p w14:paraId="1EECA262" w14:textId="77777777" w:rsidR="00F5768F" w:rsidRDefault="00F5768F" w:rsidP="00F576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rPr>
      </w:pPr>
    </w:p>
    <w:p w14:paraId="14604BD0" w14:textId="57602808"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Programme</w:t>
      </w:r>
      <w:r w:rsidRPr="00D745B3">
        <w:rPr>
          <w:rFonts w:ascii="Arial" w:hAnsi="Arial" w:cs="Arial"/>
          <w:color w:val="000000" w:themeColor="text1"/>
          <w:kern w:val="0"/>
          <w:sz w:val="36"/>
          <w:szCs w:val="36"/>
        </w:rPr>
        <w:t>: Master of Business Administration</w:t>
      </w:r>
    </w:p>
    <w:p w14:paraId="4D4926BB" w14:textId="35173D31"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Module</w:t>
      </w:r>
      <w:r w:rsidRPr="00D745B3">
        <w:rPr>
          <w:rFonts w:ascii="Arial" w:hAnsi="Arial" w:cs="Arial"/>
          <w:color w:val="000000" w:themeColor="text1"/>
          <w:kern w:val="0"/>
          <w:sz w:val="36"/>
          <w:szCs w:val="36"/>
        </w:rPr>
        <w:t xml:space="preserve">: </w:t>
      </w:r>
      <w:r w:rsidR="00030A3D" w:rsidRPr="00D745B3">
        <w:rPr>
          <w:rFonts w:ascii="Arial" w:hAnsi="Arial" w:cs="Arial"/>
          <w:color w:val="000000" w:themeColor="text1"/>
          <w:kern w:val="0"/>
          <w:sz w:val="36"/>
          <w:szCs w:val="36"/>
        </w:rPr>
        <w:t>st</w:t>
      </w:r>
      <w:r w:rsidR="00374652" w:rsidRPr="00D745B3">
        <w:rPr>
          <w:rFonts w:ascii="Arial" w:hAnsi="Arial" w:cs="Arial"/>
          <w:color w:val="000000" w:themeColor="text1"/>
          <w:kern w:val="0"/>
          <w:sz w:val="36"/>
          <w:szCs w:val="36"/>
        </w:rPr>
        <w:t xml:space="preserve">rategic management </w:t>
      </w:r>
    </w:p>
    <w:p w14:paraId="0A5FA84E" w14:textId="59320904" w:rsidR="00F5768F"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Module code</w:t>
      </w:r>
      <w:r w:rsidRPr="00D745B3">
        <w:rPr>
          <w:rFonts w:ascii="Arial" w:hAnsi="Arial" w:cs="Arial"/>
          <w:color w:val="000000" w:themeColor="text1"/>
          <w:kern w:val="0"/>
          <w:sz w:val="36"/>
          <w:szCs w:val="36"/>
        </w:rPr>
        <w:t>: LCMB7</w:t>
      </w:r>
      <w:r w:rsidR="00374652" w:rsidRPr="00D745B3">
        <w:rPr>
          <w:rFonts w:ascii="Arial" w:hAnsi="Arial" w:cs="Arial"/>
          <w:color w:val="000000" w:themeColor="text1"/>
          <w:kern w:val="0"/>
          <w:sz w:val="36"/>
          <w:szCs w:val="36"/>
        </w:rPr>
        <w:t>003_LON</w:t>
      </w:r>
    </w:p>
    <w:p w14:paraId="22776F28" w14:textId="3AF3A513" w:rsidR="007D032F" w:rsidRPr="009A0CA8" w:rsidRDefault="009A0CA8"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b/>
          <w:bCs/>
          <w:color w:val="000000" w:themeColor="text1"/>
          <w:kern w:val="0"/>
          <w:sz w:val="36"/>
          <w:szCs w:val="36"/>
        </w:rPr>
      </w:pPr>
      <w:r w:rsidRPr="009A0CA8">
        <w:rPr>
          <w:rFonts w:ascii="Arial" w:hAnsi="Arial" w:cs="Arial"/>
          <w:b/>
          <w:bCs/>
          <w:color w:val="000000" w:themeColor="text1"/>
          <w:kern w:val="0"/>
          <w:sz w:val="36"/>
          <w:szCs w:val="36"/>
        </w:rPr>
        <w:t>Submission title:</w:t>
      </w:r>
      <w:r w:rsidR="002B1C67">
        <w:rPr>
          <w:rFonts w:ascii="Arial" w:hAnsi="Arial" w:cs="Arial"/>
          <w:b/>
          <w:bCs/>
          <w:color w:val="000000" w:themeColor="text1"/>
          <w:kern w:val="0"/>
          <w:sz w:val="36"/>
          <w:szCs w:val="36"/>
        </w:rPr>
        <w:t xml:space="preserve"> </w:t>
      </w:r>
      <w:r w:rsidR="00F60D4F" w:rsidRPr="00AF7664">
        <w:rPr>
          <w:rFonts w:ascii="Arial" w:hAnsi="Arial" w:cs="Arial"/>
          <w:sz w:val="36"/>
          <w:szCs w:val="36"/>
        </w:rPr>
        <w:t>Assessment component - Individual report</w:t>
      </w:r>
    </w:p>
    <w:p w14:paraId="12C8800C" w14:textId="6310F894" w:rsidR="00F5768F"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Word count</w:t>
      </w:r>
      <w:r w:rsidRPr="00D745B3">
        <w:rPr>
          <w:rFonts w:ascii="Arial" w:hAnsi="Arial" w:cs="Arial"/>
          <w:color w:val="000000" w:themeColor="text1"/>
          <w:kern w:val="0"/>
          <w:sz w:val="36"/>
          <w:szCs w:val="36"/>
        </w:rPr>
        <w:t>:</w:t>
      </w:r>
      <w:r w:rsidR="00123820" w:rsidRPr="00D745B3">
        <w:rPr>
          <w:rFonts w:ascii="Arial" w:hAnsi="Arial" w:cs="Arial"/>
          <w:color w:val="000000" w:themeColor="text1"/>
          <w:kern w:val="0"/>
          <w:sz w:val="36"/>
          <w:szCs w:val="36"/>
        </w:rPr>
        <w:t xml:space="preserve"> </w:t>
      </w:r>
      <w:r w:rsidR="0046648B">
        <w:rPr>
          <w:rFonts w:ascii="Arial" w:hAnsi="Arial" w:cs="Arial"/>
          <w:color w:val="000000" w:themeColor="text1"/>
          <w:kern w:val="0"/>
          <w:sz w:val="36"/>
          <w:szCs w:val="36"/>
        </w:rPr>
        <w:t>5196</w:t>
      </w:r>
    </w:p>
    <w:p w14:paraId="36E96AD3" w14:textId="1F255213" w:rsidR="003B15CD" w:rsidRPr="00634228" w:rsidRDefault="009A0CA8"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Pr>
          <w:rFonts w:ascii="Arial" w:hAnsi="Arial" w:cs="Arial"/>
          <w:b/>
          <w:bCs/>
          <w:color w:val="000000" w:themeColor="text1"/>
          <w:kern w:val="0"/>
          <w:sz w:val="36"/>
          <w:szCs w:val="36"/>
        </w:rPr>
        <w:t>S</w:t>
      </w:r>
      <w:r w:rsidR="003B15CD" w:rsidRPr="003B15CD">
        <w:rPr>
          <w:rFonts w:ascii="Arial" w:hAnsi="Arial" w:cs="Arial"/>
          <w:b/>
          <w:bCs/>
          <w:color w:val="000000" w:themeColor="text1"/>
          <w:kern w:val="0"/>
          <w:sz w:val="36"/>
          <w:szCs w:val="36"/>
        </w:rPr>
        <w:t xml:space="preserve">ubmission date: </w:t>
      </w:r>
      <w:r w:rsidR="00634228" w:rsidRPr="00634228">
        <w:rPr>
          <w:rFonts w:ascii="Arial" w:hAnsi="Arial" w:cs="Arial"/>
          <w:color w:val="000000" w:themeColor="text1"/>
          <w:kern w:val="0"/>
          <w:sz w:val="36"/>
          <w:szCs w:val="36"/>
        </w:rPr>
        <w:t>11</w:t>
      </w:r>
      <w:r w:rsidR="00634228" w:rsidRPr="00634228">
        <w:rPr>
          <w:rFonts w:ascii="Arial" w:hAnsi="Arial" w:cs="Arial"/>
          <w:color w:val="000000" w:themeColor="text1"/>
          <w:kern w:val="0"/>
          <w:sz w:val="36"/>
          <w:szCs w:val="36"/>
          <w:vertAlign w:val="superscript"/>
        </w:rPr>
        <w:t>th</w:t>
      </w:r>
      <w:r w:rsidR="00634228" w:rsidRPr="00634228">
        <w:rPr>
          <w:rFonts w:ascii="Arial" w:hAnsi="Arial" w:cs="Arial"/>
          <w:color w:val="000000" w:themeColor="text1"/>
          <w:kern w:val="0"/>
          <w:sz w:val="36"/>
          <w:szCs w:val="36"/>
        </w:rPr>
        <w:t xml:space="preserve"> august </w:t>
      </w:r>
    </w:p>
    <w:p w14:paraId="30E4F951" w14:textId="77777777"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Student Id</w:t>
      </w:r>
      <w:r w:rsidRPr="00D745B3">
        <w:rPr>
          <w:rFonts w:ascii="Arial" w:hAnsi="Arial" w:cs="Arial"/>
          <w:color w:val="000000" w:themeColor="text1"/>
          <w:kern w:val="0"/>
          <w:sz w:val="36"/>
          <w:szCs w:val="36"/>
        </w:rPr>
        <w:t>: 2504020</w:t>
      </w:r>
    </w:p>
    <w:p w14:paraId="5B3D71AA" w14:textId="77777777"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Name</w:t>
      </w:r>
      <w:r w:rsidRPr="00D745B3">
        <w:rPr>
          <w:rFonts w:ascii="Arial" w:hAnsi="Arial" w:cs="Arial"/>
          <w:color w:val="000000" w:themeColor="text1"/>
          <w:kern w:val="0"/>
          <w:sz w:val="36"/>
          <w:szCs w:val="36"/>
        </w:rPr>
        <w:t>: Shubham Yadav</w:t>
      </w:r>
    </w:p>
    <w:p w14:paraId="5F3E6D68" w14:textId="3D69F6CD"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Professor</w:t>
      </w:r>
      <w:r w:rsidRPr="00D745B3">
        <w:rPr>
          <w:rFonts w:ascii="Arial" w:hAnsi="Arial" w:cs="Arial"/>
          <w:color w:val="000000" w:themeColor="text1"/>
          <w:kern w:val="0"/>
          <w:sz w:val="36"/>
          <w:szCs w:val="36"/>
        </w:rPr>
        <w:t xml:space="preserve">: </w:t>
      </w:r>
      <w:r w:rsidR="00C36F0E" w:rsidRPr="00D745B3">
        <w:rPr>
          <w:rFonts w:ascii="Arial" w:hAnsi="Arial" w:cs="Arial"/>
          <w:color w:val="000000" w:themeColor="text1"/>
          <w:kern w:val="0"/>
          <w:sz w:val="36"/>
          <w:szCs w:val="36"/>
        </w:rPr>
        <w:t>H</w:t>
      </w:r>
      <w:r w:rsidR="0000073C" w:rsidRPr="00D745B3">
        <w:rPr>
          <w:rFonts w:ascii="Arial" w:hAnsi="Arial" w:cs="Arial"/>
          <w:color w:val="000000" w:themeColor="text1"/>
          <w:kern w:val="0"/>
          <w:sz w:val="36"/>
          <w:szCs w:val="36"/>
        </w:rPr>
        <w:t xml:space="preserve">oang Nguyen </w:t>
      </w:r>
    </w:p>
    <w:p w14:paraId="47B58B9D" w14:textId="77777777" w:rsidR="00634228" w:rsidRDefault="00634228" w:rsidP="000D375C">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55CF75CA" w14:textId="093169D3" w:rsidR="00AF53DE" w:rsidRPr="000D375C" w:rsidRDefault="00AF53DE" w:rsidP="000D375C">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0D375C">
        <w:rPr>
          <w:rFonts w:eastAsia="Times New Roman" w:cs="Times New Roman"/>
          <w:b/>
          <w:bCs/>
          <w:kern w:val="36"/>
          <w:sz w:val="48"/>
          <w:szCs w:val="48"/>
          <w:lang w:eastAsia="en-GB"/>
          <w14:ligatures w14:val="none"/>
        </w:rPr>
        <w:lastRenderedPageBreak/>
        <w:t>AI Acknowledgement</w:t>
      </w:r>
    </w:p>
    <w:p w14:paraId="31546616" w14:textId="57DAFA43" w:rsidR="00D745B3" w:rsidRPr="002173E8" w:rsidRDefault="00DA0B16" w:rsidP="002173E8">
      <w:pPr>
        <w:spacing w:before="100" w:beforeAutospacing="1" w:after="100" w:afterAutospacing="1" w:line="360" w:lineRule="auto"/>
        <w:rPr>
          <w:rFonts w:eastAsia="Times New Roman" w:cs="Times New Roman"/>
          <w:kern w:val="0"/>
          <w:lang w:eastAsia="en-GB"/>
          <w14:ligatures w14:val="none"/>
        </w:rPr>
      </w:pPr>
      <w:r>
        <w:rPr>
          <w:rFonts w:eastAsia="Times New Roman" w:cs="Times New Roman"/>
          <w:kern w:val="0"/>
          <w:lang w:eastAsia="en-GB"/>
          <w14:ligatures w14:val="none"/>
        </w:rPr>
        <w:t xml:space="preserve">This </w:t>
      </w:r>
      <w:r w:rsidR="007F6D6B">
        <w:rPr>
          <w:rFonts w:eastAsia="Times New Roman" w:cs="Times New Roman"/>
          <w:kern w:val="0"/>
          <w:lang w:eastAsia="en-GB"/>
          <w14:ligatures w14:val="none"/>
        </w:rPr>
        <w:t>assignment</w:t>
      </w:r>
      <w:r w:rsidR="002F7458">
        <w:rPr>
          <w:rFonts w:eastAsia="Times New Roman" w:cs="Times New Roman"/>
          <w:kern w:val="0"/>
          <w:lang w:eastAsia="en-GB"/>
          <w14:ligatures w14:val="none"/>
        </w:rPr>
        <w:t xml:space="preserve"> is made on the </w:t>
      </w:r>
      <w:r w:rsidR="00EE1DC8">
        <w:rPr>
          <w:rFonts w:eastAsia="Times New Roman" w:cs="Times New Roman"/>
          <w:kern w:val="0"/>
          <w:lang w:eastAsia="en-GB"/>
          <w14:ligatures w14:val="none"/>
        </w:rPr>
        <w:t>guid</w:t>
      </w:r>
      <w:r w:rsidR="007439C9">
        <w:rPr>
          <w:rFonts w:eastAsia="Times New Roman" w:cs="Times New Roman"/>
          <w:kern w:val="0"/>
          <w:lang w:eastAsia="en-GB"/>
          <w14:ligatures w14:val="none"/>
        </w:rPr>
        <w:t>eline of University of W</w:t>
      </w:r>
      <w:r w:rsidR="00BF231A">
        <w:rPr>
          <w:rFonts w:eastAsia="Times New Roman" w:cs="Times New Roman"/>
          <w:kern w:val="0"/>
          <w:lang w:eastAsia="en-GB"/>
          <w14:ligatures w14:val="none"/>
        </w:rPr>
        <w:t xml:space="preserve">ales Trinity Sint David </w:t>
      </w:r>
      <w:r w:rsidR="004B7AF2">
        <w:rPr>
          <w:rFonts w:eastAsia="Times New Roman" w:cs="Times New Roman"/>
          <w:kern w:val="0"/>
          <w:lang w:eastAsia="en-GB"/>
          <w14:ligatures w14:val="none"/>
        </w:rPr>
        <w:t>us</w:t>
      </w:r>
      <w:r w:rsidR="00B566AE">
        <w:rPr>
          <w:rFonts w:eastAsia="Times New Roman" w:cs="Times New Roman"/>
          <w:kern w:val="0"/>
          <w:lang w:eastAsia="en-GB"/>
          <w14:ligatures w14:val="none"/>
        </w:rPr>
        <w:t xml:space="preserve">age </w:t>
      </w:r>
      <w:r w:rsidR="004B7AF2">
        <w:rPr>
          <w:rFonts w:eastAsia="Times New Roman" w:cs="Times New Roman"/>
          <w:kern w:val="0"/>
          <w:lang w:eastAsia="en-GB"/>
          <w14:ligatures w14:val="none"/>
        </w:rPr>
        <w:t>of generative Artifici</w:t>
      </w:r>
      <w:r w:rsidR="002C0672">
        <w:rPr>
          <w:rFonts w:eastAsia="Times New Roman" w:cs="Times New Roman"/>
          <w:kern w:val="0"/>
          <w:lang w:eastAsia="en-GB"/>
          <w14:ligatures w14:val="none"/>
        </w:rPr>
        <w:t>al Intel</w:t>
      </w:r>
      <w:r w:rsidR="002173E8">
        <w:rPr>
          <w:rFonts w:eastAsia="Times New Roman" w:cs="Times New Roman"/>
          <w:kern w:val="0"/>
          <w:lang w:eastAsia="en-GB"/>
          <w14:ligatures w14:val="none"/>
        </w:rPr>
        <w:t>l</w:t>
      </w:r>
      <w:r w:rsidR="002C0672">
        <w:rPr>
          <w:rFonts w:eastAsia="Times New Roman" w:cs="Times New Roman"/>
          <w:kern w:val="0"/>
          <w:lang w:eastAsia="en-GB"/>
          <w14:ligatures w14:val="none"/>
        </w:rPr>
        <w:t>ig</w:t>
      </w:r>
      <w:r w:rsidR="002173E8">
        <w:rPr>
          <w:rFonts w:eastAsia="Times New Roman" w:cs="Times New Roman"/>
          <w:kern w:val="0"/>
          <w:lang w:eastAsia="en-GB"/>
          <w14:ligatures w14:val="none"/>
        </w:rPr>
        <w:t>ence</w:t>
      </w:r>
      <w:r w:rsidR="007F6D6B">
        <w:rPr>
          <w:rFonts w:eastAsia="Times New Roman" w:cs="Times New Roman"/>
          <w:kern w:val="0"/>
          <w:lang w:eastAsia="en-GB"/>
          <w14:ligatures w14:val="none"/>
        </w:rPr>
        <w:t>.</w:t>
      </w:r>
      <w:r w:rsidR="00AF53DE" w:rsidRPr="000D375C">
        <w:rPr>
          <w:rFonts w:eastAsia="Times New Roman" w:cs="Times New Roman"/>
          <w:kern w:val="0"/>
          <w:lang w:eastAsia="en-GB"/>
          <w14:ligatures w14:val="none"/>
        </w:rPr>
        <w:t xml:space="preserve"> No AI</w:t>
      </w:r>
      <w:r w:rsidR="00AF53DE" w:rsidRPr="000D375C">
        <w:rPr>
          <w:rFonts w:eastAsia="Times New Roman" w:cs="Times New Roman"/>
          <w:kern w:val="0"/>
          <w:lang w:eastAsia="en-GB"/>
          <w14:ligatures w14:val="none"/>
        </w:rPr>
        <w:noBreakHyphen/>
        <w:t>generated ideas, arguments, or academic content have been included in this assignment. All research, analysis, and referencing were carried out by me, and all sources are cited using the UWTSD Harvard Referencing Style. I take full responsibility for the originality and integrity of this work.</w:t>
      </w:r>
    </w:p>
    <w:sdt>
      <w:sdtPr>
        <w:rPr>
          <w:rFonts w:asciiTheme="minorHAnsi" w:eastAsiaTheme="minorHAnsi" w:hAnsiTheme="minorHAnsi" w:cstheme="minorBidi"/>
          <w:b w:val="0"/>
          <w:bCs w:val="0"/>
          <w:color w:val="auto"/>
          <w:kern w:val="2"/>
          <w:sz w:val="24"/>
          <w:szCs w:val="24"/>
          <w:lang w:val="en-GB"/>
          <w14:ligatures w14:val="standardContextual"/>
        </w:rPr>
        <w:id w:val="-1575810628"/>
        <w:docPartObj>
          <w:docPartGallery w:val="Table of Contents"/>
          <w:docPartUnique/>
        </w:docPartObj>
      </w:sdtPr>
      <w:sdtEndPr>
        <w:rPr>
          <w:noProof/>
        </w:rPr>
      </w:sdtEndPr>
      <w:sdtContent>
        <w:p w14:paraId="558D453E" w14:textId="62C0F7DF" w:rsidR="001779BF" w:rsidRPr="00280B47" w:rsidRDefault="001779BF">
          <w:pPr>
            <w:pStyle w:val="TOCHeading"/>
            <w:rPr>
              <w:sz w:val="24"/>
              <w:szCs w:val="24"/>
            </w:rPr>
          </w:pPr>
          <w:r w:rsidRPr="00280B47">
            <w:rPr>
              <w:sz w:val="24"/>
              <w:szCs w:val="24"/>
            </w:rPr>
            <w:t>Table of Contents</w:t>
          </w:r>
        </w:p>
        <w:p w14:paraId="615E7654" w14:textId="23834B7E" w:rsidR="008A3D16" w:rsidRPr="00280B47" w:rsidRDefault="001779BF">
          <w:pPr>
            <w:pStyle w:val="TOC1"/>
            <w:tabs>
              <w:tab w:val="right" w:leader="dot" w:pos="9016"/>
            </w:tabs>
            <w:rPr>
              <w:rFonts w:eastAsiaTheme="minorEastAsia"/>
              <w:b w:val="0"/>
              <w:bCs w:val="0"/>
              <w:i w:val="0"/>
              <w:iCs w:val="0"/>
              <w:noProof/>
              <w:lang w:eastAsia="en-GB"/>
            </w:rPr>
          </w:pPr>
          <w:r w:rsidRPr="00280B47">
            <w:rPr>
              <w:b w:val="0"/>
              <w:bCs w:val="0"/>
            </w:rPr>
            <w:fldChar w:fldCharType="begin"/>
          </w:r>
          <w:r w:rsidRPr="00280B47">
            <w:instrText xml:space="preserve"> TOC \o "1-3" \h \z \u </w:instrText>
          </w:r>
          <w:r w:rsidRPr="00280B47">
            <w:rPr>
              <w:b w:val="0"/>
              <w:bCs w:val="0"/>
            </w:rPr>
            <w:fldChar w:fldCharType="separate"/>
          </w:r>
          <w:hyperlink w:anchor="_Toc236160639" w:history="1">
            <w:r w:rsidR="008A3D16" w:rsidRPr="00280B47">
              <w:rPr>
                <w:rStyle w:val="Hyperlink"/>
                <w:rFonts w:eastAsia="Times New Roman" w:cs="Times New Roman"/>
                <w:noProof/>
                <w:kern w:val="36"/>
                <w:lang w:eastAsia="en-GB"/>
                <w14:ligatures w14:val="none"/>
              </w:rPr>
              <w:t>1. Organisational Context and Overview</w:t>
            </w:r>
            <w:r w:rsidR="008A3D16" w:rsidRPr="00280B47">
              <w:rPr>
                <w:noProof/>
                <w:webHidden/>
              </w:rPr>
              <w:tab/>
            </w:r>
            <w:r w:rsidR="008A3D16" w:rsidRPr="00280B47">
              <w:rPr>
                <w:noProof/>
                <w:webHidden/>
              </w:rPr>
              <w:fldChar w:fldCharType="begin"/>
            </w:r>
            <w:r w:rsidR="008A3D16" w:rsidRPr="00280B47">
              <w:rPr>
                <w:noProof/>
                <w:webHidden/>
              </w:rPr>
              <w:instrText xml:space="preserve"> PAGEREF _Toc236160639 \h </w:instrText>
            </w:r>
            <w:r w:rsidR="008A3D16" w:rsidRPr="00280B47">
              <w:rPr>
                <w:noProof/>
                <w:webHidden/>
              </w:rPr>
            </w:r>
            <w:r w:rsidR="008A3D16" w:rsidRPr="00280B47">
              <w:rPr>
                <w:noProof/>
                <w:webHidden/>
              </w:rPr>
              <w:fldChar w:fldCharType="separate"/>
            </w:r>
            <w:r w:rsidR="00B566AE">
              <w:rPr>
                <w:noProof/>
                <w:webHidden/>
              </w:rPr>
              <w:t>5</w:t>
            </w:r>
            <w:r w:rsidR="008A3D16" w:rsidRPr="00280B47">
              <w:rPr>
                <w:noProof/>
                <w:webHidden/>
              </w:rPr>
              <w:fldChar w:fldCharType="end"/>
            </w:r>
          </w:hyperlink>
        </w:p>
        <w:p w14:paraId="7FEE5339" w14:textId="2AC4B659" w:rsidR="008A3D16" w:rsidRPr="00280B47" w:rsidRDefault="008A3D16">
          <w:pPr>
            <w:pStyle w:val="TOC2"/>
            <w:tabs>
              <w:tab w:val="right" w:leader="dot" w:pos="9016"/>
            </w:tabs>
            <w:rPr>
              <w:rFonts w:eastAsiaTheme="minorEastAsia"/>
              <w:b w:val="0"/>
              <w:bCs w:val="0"/>
              <w:noProof/>
              <w:sz w:val="24"/>
              <w:szCs w:val="24"/>
              <w:lang w:eastAsia="en-GB"/>
            </w:rPr>
          </w:pPr>
          <w:hyperlink w:anchor="_Toc236160640" w:history="1">
            <w:r w:rsidRPr="00280B47">
              <w:rPr>
                <w:rStyle w:val="Hyperlink"/>
                <w:rFonts w:eastAsia="Times New Roman" w:cs="Times New Roman"/>
                <w:noProof/>
                <w:kern w:val="0"/>
                <w:sz w:val="24"/>
                <w:szCs w:val="24"/>
                <w:lang w:eastAsia="en-GB"/>
                <w14:ligatures w14:val="none"/>
              </w:rPr>
              <w:t>1.1 Organisational Overview</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_Toc236160640 \h </w:instrText>
            </w:r>
            <w:r w:rsidRPr="00280B47">
              <w:rPr>
                <w:noProof/>
                <w:webHidden/>
                <w:sz w:val="24"/>
                <w:szCs w:val="24"/>
              </w:rPr>
            </w:r>
            <w:r w:rsidRPr="00280B47">
              <w:rPr>
                <w:noProof/>
                <w:webHidden/>
                <w:sz w:val="24"/>
                <w:szCs w:val="24"/>
              </w:rPr>
              <w:fldChar w:fldCharType="separate"/>
            </w:r>
            <w:r w:rsidR="00B566AE">
              <w:rPr>
                <w:noProof/>
                <w:webHidden/>
                <w:sz w:val="24"/>
                <w:szCs w:val="24"/>
              </w:rPr>
              <w:t>5</w:t>
            </w:r>
            <w:r w:rsidRPr="00280B47">
              <w:rPr>
                <w:noProof/>
                <w:webHidden/>
                <w:sz w:val="24"/>
                <w:szCs w:val="24"/>
              </w:rPr>
              <w:fldChar w:fldCharType="end"/>
            </w:r>
          </w:hyperlink>
        </w:p>
        <w:p w14:paraId="74FBA252" w14:textId="4378218E" w:rsidR="008A3D16" w:rsidRPr="00280B47" w:rsidRDefault="008A3D16">
          <w:pPr>
            <w:pStyle w:val="TOC2"/>
            <w:tabs>
              <w:tab w:val="right" w:leader="dot" w:pos="9016"/>
            </w:tabs>
            <w:rPr>
              <w:rFonts w:eastAsiaTheme="minorEastAsia"/>
              <w:b w:val="0"/>
              <w:bCs w:val="0"/>
              <w:noProof/>
              <w:sz w:val="24"/>
              <w:szCs w:val="24"/>
              <w:lang w:eastAsia="en-GB"/>
            </w:rPr>
          </w:pPr>
          <w:hyperlink w:anchor="_Toc236160641" w:history="1">
            <w:r w:rsidRPr="00280B47">
              <w:rPr>
                <w:rStyle w:val="Hyperlink"/>
                <w:rFonts w:eastAsia="Times New Roman" w:cs="Times New Roman"/>
                <w:noProof/>
                <w:kern w:val="0"/>
                <w:sz w:val="24"/>
                <w:szCs w:val="24"/>
                <w:lang w:eastAsia="en-GB"/>
                <w14:ligatures w14:val="none"/>
              </w:rPr>
              <w:t>1.2 Industry Context</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_Toc236160641 \h </w:instrText>
            </w:r>
            <w:r w:rsidRPr="00280B47">
              <w:rPr>
                <w:noProof/>
                <w:webHidden/>
                <w:sz w:val="24"/>
                <w:szCs w:val="24"/>
              </w:rPr>
            </w:r>
            <w:r w:rsidRPr="00280B47">
              <w:rPr>
                <w:noProof/>
                <w:webHidden/>
                <w:sz w:val="24"/>
                <w:szCs w:val="24"/>
              </w:rPr>
              <w:fldChar w:fldCharType="separate"/>
            </w:r>
            <w:r w:rsidR="00B566AE">
              <w:rPr>
                <w:noProof/>
                <w:webHidden/>
                <w:sz w:val="24"/>
                <w:szCs w:val="24"/>
              </w:rPr>
              <w:t>6</w:t>
            </w:r>
            <w:r w:rsidRPr="00280B47">
              <w:rPr>
                <w:noProof/>
                <w:webHidden/>
                <w:sz w:val="24"/>
                <w:szCs w:val="24"/>
              </w:rPr>
              <w:fldChar w:fldCharType="end"/>
            </w:r>
          </w:hyperlink>
        </w:p>
        <w:p w14:paraId="748F244A" w14:textId="71CE8691" w:rsidR="008A3D16" w:rsidRPr="00280B47" w:rsidRDefault="008A3D16">
          <w:pPr>
            <w:pStyle w:val="TOC1"/>
            <w:tabs>
              <w:tab w:val="right" w:leader="dot" w:pos="9016"/>
            </w:tabs>
            <w:rPr>
              <w:rFonts w:eastAsiaTheme="minorEastAsia"/>
              <w:b w:val="0"/>
              <w:bCs w:val="0"/>
              <w:i w:val="0"/>
              <w:iCs w:val="0"/>
              <w:noProof/>
              <w:lang w:eastAsia="en-GB"/>
            </w:rPr>
          </w:pPr>
          <w:hyperlink w:anchor="_Toc236160642" w:history="1">
            <w:r w:rsidRPr="00280B47">
              <w:rPr>
                <w:rStyle w:val="Hyperlink"/>
                <w:rFonts w:eastAsia="Times New Roman" w:cs="Times New Roman"/>
                <w:noProof/>
                <w:kern w:val="36"/>
                <w:lang w:eastAsia="en-GB"/>
                <w14:ligatures w14:val="none"/>
              </w:rPr>
              <w:t>2. External and Internal Analysis</w:t>
            </w:r>
            <w:r w:rsidRPr="00280B47">
              <w:rPr>
                <w:noProof/>
                <w:webHidden/>
              </w:rPr>
              <w:tab/>
            </w:r>
            <w:r w:rsidRPr="00280B47">
              <w:rPr>
                <w:noProof/>
                <w:webHidden/>
              </w:rPr>
              <w:fldChar w:fldCharType="begin"/>
            </w:r>
            <w:r w:rsidRPr="00280B47">
              <w:rPr>
                <w:noProof/>
                <w:webHidden/>
              </w:rPr>
              <w:instrText xml:space="preserve"> PAGEREF _Toc236160642 \h </w:instrText>
            </w:r>
            <w:r w:rsidRPr="00280B47">
              <w:rPr>
                <w:noProof/>
                <w:webHidden/>
              </w:rPr>
            </w:r>
            <w:r w:rsidRPr="00280B47">
              <w:rPr>
                <w:noProof/>
                <w:webHidden/>
              </w:rPr>
              <w:fldChar w:fldCharType="separate"/>
            </w:r>
            <w:r w:rsidR="00B566AE">
              <w:rPr>
                <w:noProof/>
                <w:webHidden/>
              </w:rPr>
              <w:t>8</w:t>
            </w:r>
            <w:r w:rsidRPr="00280B47">
              <w:rPr>
                <w:noProof/>
                <w:webHidden/>
              </w:rPr>
              <w:fldChar w:fldCharType="end"/>
            </w:r>
          </w:hyperlink>
        </w:p>
        <w:p w14:paraId="32701881" w14:textId="40C3D2EB" w:rsidR="008A3D16" w:rsidRPr="00280B47" w:rsidRDefault="008A3D16">
          <w:pPr>
            <w:pStyle w:val="TOC2"/>
            <w:tabs>
              <w:tab w:val="right" w:leader="dot" w:pos="9016"/>
            </w:tabs>
            <w:rPr>
              <w:rFonts w:eastAsiaTheme="minorEastAsia"/>
              <w:b w:val="0"/>
              <w:bCs w:val="0"/>
              <w:noProof/>
              <w:sz w:val="24"/>
              <w:szCs w:val="24"/>
              <w:lang w:eastAsia="en-GB"/>
            </w:rPr>
          </w:pPr>
          <w:hyperlink w:anchor="_Toc236160643" w:history="1">
            <w:r w:rsidRPr="00280B47">
              <w:rPr>
                <w:rStyle w:val="Hyperlink"/>
                <w:rFonts w:eastAsia="Times New Roman" w:cs="Times New Roman"/>
                <w:noProof/>
                <w:kern w:val="0"/>
                <w:sz w:val="24"/>
                <w:szCs w:val="24"/>
                <w:lang w:eastAsia="en-GB"/>
                <w14:ligatures w14:val="none"/>
              </w:rPr>
              <w:t>2.1 PESTEL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_Toc236160643 \h </w:instrText>
            </w:r>
            <w:r w:rsidRPr="00280B47">
              <w:rPr>
                <w:noProof/>
                <w:webHidden/>
                <w:sz w:val="24"/>
                <w:szCs w:val="24"/>
              </w:rPr>
            </w:r>
            <w:r w:rsidRPr="00280B47">
              <w:rPr>
                <w:noProof/>
                <w:webHidden/>
                <w:sz w:val="24"/>
                <w:szCs w:val="24"/>
              </w:rPr>
              <w:fldChar w:fldCharType="separate"/>
            </w:r>
            <w:r w:rsidR="00B566AE">
              <w:rPr>
                <w:noProof/>
                <w:webHidden/>
                <w:sz w:val="24"/>
                <w:szCs w:val="24"/>
              </w:rPr>
              <w:t>8</w:t>
            </w:r>
            <w:r w:rsidRPr="00280B47">
              <w:rPr>
                <w:noProof/>
                <w:webHidden/>
                <w:sz w:val="24"/>
                <w:szCs w:val="24"/>
              </w:rPr>
              <w:fldChar w:fldCharType="end"/>
            </w:r>
          </w:hyperlink>
        </w:p>
        <w:p w14:paraId="1168DCD1" w14:textId="0A8D8BEF" w:rsidR="008A3D16" w:rsidRPr="00280B47" w:rsidRDefault="008A3D16">
          <w:pPr>
            <w:pStyle w:val="TOC3"/>
            <w:tabs>
              <w:tab w:val="right" w:leader="dot" w:pos="9016"/>
            </w:tabs>
            <w:rPr>
              <w:rFonts w:eastAsiaTheme="minorEastAsia"/>
              <w:noProof/>
              <w:sz w:val="24"/>
              <w:szCs w:val="24"/>
              <w:lang w:eastAsia="en-GB"/>
            </w:rPr>
          </w:pPr>
          <w:hyperlink w:anchor="_Toc236160644" w:history="1">
            <w:r w:rsidRPr="00280B47">
              <w:rPr>
                <w:rStyle w:val="Hyperlink"/>
                <w:rFonts w:eastAsia="Times New Roman" w:cs="Times New Roman"/>
                <w:b/>
                <w:bCs/>
                <w:noProof/>
                <w:kern w:val="0"/>
                <w:sz w:val="24"/>
                <w:szCs w:val="24"/>
                <w:lang w:eastAsia="en-GB"/>
                <w14:ligatures w14:val="none"/>
              </w:rPr>
              <w:t>Definition of PESTEL</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_Toc236160644 \h </w:instrText>
            </w:r>
            <w:r w:rsidRPr="00280B47">
              <w:rPr>
                <w:noProof/>
                <w:webHidden/>
                <w:sz w:val="24"/>
                <w:szCs w:val="24"/>
              </w:rPr>
            </w:r>
            <w:r w:rsidRPr="00280B47">
              <w:rPr>
                <w:noProof/>
                <w:webHidden/>
                <w:sz w:val="24"/>
                <w:szCs w:val="24"/>
              </w:rPr>
              <w:fldChar w:fldCharType="separate"/>
            </w:r>
            <w:r w:rsidR="00B566AE">
              <w:rPr>
                <w:noProof/>
                <w:webHidden/>
                <w:sz w:val="24"/>
                <w:szCs w:val="24"/>
              </w:rPr>
              <w:t>8</w:t>
            </w:r>
            <w:r w:rsidRPr="00280B47">
              <w:rPr>
                <w:noProof/>
                <w:webHidden/>
                <w:sz w:val="24"/>
                <w:szCs w:val="24"/>
              </w:rPr>
              <w:fldChar w:fldCharType="end"/>
            </w:r>
          </w:hyperlink>
        </w:p>
        <w:p w14:paraId="7EEBEA21" w14:textId="7A66B485" w:rsidR="008A3D16" w:rsidRPr="00280B47" w:rsidRDefault="008A3D16">
          <w:pPr>
            <w:pStyle w:val="TOC3"/>
            <w:tabs>
              <w:tab w:val="right" w:leader="dot" w:pos="9016"/>
            </w:tabs>
            <w:rPr>
              <w:rFonts w:eastAsiaTheme="minorEastAsia"/>
              <w:noProof/>
              <w:sz w:val="24"/>
              <w:szCs w:val="24"/>
              <w:lang w:eastAsia="en-GB"/>
            </w:rPr>
          </w:pPr>
          <w:hyperlink w:anchor="_Toc236160645" w:history="1">
            <w:r w:rsidRPr="00280B47">
              <w:rPr>
                <w:rStyle w:val="Hyperlink"/>
                <w:rFonts w:eastAsia="Times New Roman" w:cs="Times New Roman"/>
                <w:b/>
                <w:bCs/>
                <w:noProof/>
                <w:kern w:val="0"/>
                <w:sz w:val="24"/>
                <w:szCs w:val="24"/>
                <w:lang w:eastAsia="en-GB"/>
                <w14:ligatures w14:val="none"/>
              </w:rPr>
              <w:t>Political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_Toc236160645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3B81FAA3" w14:textId="28F11361" w:rsidR="008A3D16" w:rsidRPr="00280B47" w:rsidRDefault="008A3D16">
          <w:pPr>
            <w:pStyle w:val="TOC3"/>
            <w:tabs>
              <w:tab w:val="right" w:leader="dot" w:pos="9016"/>
            </w:tabs>
            <w:rPr>
              <w:rFonts w:eastAsiaTheme="minorEastAsia"/>
              <w:noProof/>
              <w:sz w:val="24"/>
              <w:szCs w:val="24"/>
              <w:lang w:eastAsia="en-GB"/>
            </w:rPr>
          </w:pPr>
          <w:hyperlink w:anchor="_Toc236160646" w:history="1">
            <w:r w:rsidRPr="00280B47">
              <w:rPr>
                <w:rStyle w:val="Hyperlink"/>
                <w:rFonts w:eastAsia="Times New Roman" w:cs="Times New Roman"/>
                <w:b/>
                <w:bCs/>
                <w:noProof/>
                <w:kern w:val="0"/>
                <w:sz w:val="24"/>
                <w:szCs w:val="24"/>
                <w:lang w:eastAsia="en-GB"/>
                <w14:ligatures w14:val="none"/>
              </w:rPr>
              <w:t>Economic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_Toc236160646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0479026E" w14:textId="276F1616" w:rsidR="008A3D16" w:rsidRPr="00280B47" w:rsidRDefault="008A3D16">
          <w:pPr>
            <w:pStyle w:val="TOC3"/>
            <w:tabs>
              <w:tab w:val="right" w:leader="dot" w:pos="9016"/>
            </w:tabs>
            <w:rPr>
              <w:rFonts w:eastAsiaTheme="minorEastAsia"/>
              <w:noProof/>
              <w:sz w:val="24"/>
              <w:szCs w:val="24"/>
              <w:lang w:eastAsia="en-GB"/>
            </w:rPr>
          </w:pPr>
          <w:hyperlink w:anchor="_Toc236160647" w:history="1">
            <w:r w:rsidRPr="00280B47">
              <w:rPr>
                <w:rStyle w:val="Hyperlink"/>
                <w:rFonts w:eastAsia="Times New Roman" w:cs="Times New Roman"/>
                <w:b/>
                <w:bCs/>
                <w:noProof/>
                <w:kern w:val="0"/>
                <w:sz w:val="24"/>
                <w:szCs w:val="24"/>
                <w:lang w:eastAsia="en-GB"/>
                <w14:ligatures w14:val="none"/>
              </w:rPr>
              <w:t>Social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_Toc236160647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315EE6D1" w14:textId="1806F4EB" w:rsidR="008A3D16" w:rsidRPr="00280B47" w:rsidRDefault="008A3D16">
          <w:pPr>
            <w:pStyle w:val="TOC3"/>
            <w:tabs>
              <w:tab w:val="right" w:leader="dot" w:pos="9016"/>
            </w:tabs>
            <w:rPr>
              <w:rFonts w:eastAsiaTheme="minorEastAsia"/>
              <w:noProof/>
              <w:sz w:val="24"/>
              <w:szCs w:val="24"/>
              <w:lang w:eastAsia="en-GB"/>
            </w:rPr>
          </w:pPr>
          <w:hyperlink w:anchor="_Toc236160648" w:history="1">
            <w:r w:rsidRPr="00280B47">
              <w:rPr>
                <w:rStyle w:val="Hyperlink"/>
                <w:rFonts w:eastAsia="Times New Roman" w:cs="Times New Roman"/>
                <w:b/>
                <w:bCs/>
                <w:noProof/>
                <w:kern w:val="0"/>
                <w:sz w:val="24"/>
                <w:szCs w:val="24"/>
                <w:lang w:eastAsia="en-GB"/>
                <w14:ligatures w14:val="none"/>
              </w:rPr>
              <w:t>Technological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_Toc236160648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20C9A3E3" w14:textId="6195E3C6" w:rsidR="008A3D16" w:rsidRPr="00280B47" w:rsidRDefault="008A3D16">
          <w:pPr>
            <w:pStyle w:val="TOC3"/>
            <w:tabs>
              <w:tab w:val="right" w:leader="dot" w:pos="9016"/>
            </w:tabs>
            <w:rPr>
              <w:rFonts w:eastAsiaTheme="minorEastAsia"/>
              <w:noProof/>
              <w:sz w:val="24"/>
              <w:szCs w:val="24"/>
              <w:lang w:eastAsia="en-GB"/>
            </w:rPr>
          </w:pPr>
          <w:hyperlink w:anchor="_Toc236160649" w:history="1">
            <w:r w:rsidRPr="00280B47">
              <w:rPr>
                <w:rStyle w:val="Hyperlink"/>
                <w:rFonts w:eastAsia="Times New Roman" w:cs="Times New Roman"/>
                <w:b/>
                <w:bCs/>
                <w:noProof/>
                <w:kern w:val="0"/>
                <w:sz w:val="24"/>
                <w:szCs w:val="24"/>
                <w:lang w:eastAsia="en-GB"/>
                <w14:ligatures w14:val="none"/>
              </w:rPr>
              <w:t>Environmental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_Toc236160649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72A10BA3" w14:textId="586089D3" w:rsidR="008A3D16" w:rsidRPr="00280B47" w:rsidRDefault="008A3D16">
          <w:pPr>
            <w:pStyle w:val="TOC3"/>
            <w:tabs>
              <w:tab w:val="right" w:leader="dot" w:pos="9016"/>
            </w:tabs>
            <w:rPr>
              <w:rFonts w:eastAsiaTheme="minorEastAsia"/>
              <w:noProof/>
              <w:sz w:val="24"/>
              <w:szCs w:val="24"/>
              <w:lang w:eastAsia="en-GB"/>
            </w:rPr>
          </w:pPr>
          <w:hyperlink w:anchor="_Toc236160650" w:history="1">
            <w:r w:rsidRPr="00280B47">
              <w:rPr>
                <w:rStyle w:val="Hyperlink"/>
                <w:rFonts w:eastAsia="Times New Roman" w:cs="Times New Roman"/>
                <w:b/>
                <w:bCs/>
                <w:noProof/>
                <w:kern w:val="0"/>
                <w:sz w:val="24"/>
                <w:szCs w:val="24"/>
                <w:lang w:eastAsia="en-GB"/>
                <w14:ligatures w14:val="none"/>
              </w:rPr>
              <w:t>Legal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_Toc236160650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274853B1" w14:textId="2C5DD97A" w:rsidR="008A3D16" w:rsidRPr="00280B47" w:rsidRDefault="008A3D16">
          <w:pPr>
            <w:pStyle w:val="TOC2"/>
            <w:tabs>
              <w:tab w:val="right" w:leader="dot" w:pos="9016"/>
            </w:tabs>
            <w:rPr>
              <w:rFonts w:eastAsiaTheme="minorEastAsia"/>
              <w:b w:val="0"/>
              <w:bCs w:val="0"/>
              <w:noProof/>
              <w:sz w:val="24"/>
              <w:szCs w:val="24"/>
              <w:lang w:eastAsia="en-GB"/>
            </w:rPr>
          </w:pPr>
          <w:hyperlink w:anchor="_Toc236160651" w:history="1">
            <w:r w:rsidRPr="00280B47">
              <w:rPr>
                <w:rStyle w:val="Hyperlink"/>
                <w:rFonts w:eastAsia="Times New Roman" w:cs="Times New Roman"/>
                <w:noProof/>
                <w:kern w:val="0"/>
                <w:sz w:val="24"/>
                <w:szCs w:val="24"/>
                <w:lang w:eastAsia="en-GB"/>
                <w14:ligatures w14:val="none"/>
              </w:rPr>
              <w:t>2.2 VRIO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_Toc236160651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1CBF814C" w14:textId="7F8C0184" w:rsidR="008A3D16" w:rsidRPr="00280B47" w:rsidRDefault="008A3D16">
          <w:pPr>
            <w:pStyle w:val="TOC3"/>
            <w:tabs>
              <w:tab w:val="right" w:leader="dot" w:pos="9016"/>
            </w:tabs>
            <w:rPr>
              <w:rFonts w:eastAsiaTheme="minorEastAsia"/>
              <w:noProof/>
              <w:sz w:val="24"/>
              <w:szCs w:val="24"/>
              <w:lang w:eastAsia="en-GB"/>
            </w:rPr>
          </w:pPr>
          <w:hyperlink w:anchor="_Toc236160652" w:history="1">
            <w:r w:rsidRPr="00280B47">
              <w:rPr>
                <w:rStyle w:val="Hyperlink"/>
                <w:rFonts w:eastAsia="Times New Roman" w:cs="Times New Roman"/>
                <w:b/>
                <w:bCs/>
                <w:noProof/>
                <w:kern w:val="0"/>
                <w:sz w:val="24"/>
                <w:szCs w:val="24"/>
                <w:lang w:eastAsia="en-GB"/>
                <w14:ligatures w14:val="none"/>
              </w:rPr>
              <w:t>Definition of VRIO</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_Toc236160652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79D00BD6" w14:textId="4C723E18" w:rsidR="008A3D16" w:rsidRPr="00280B47" w:rsidRDefault="008A3D16">
          <w:pPr>
            <w:pStyle w:val="TOC3"/>
            <w:tabs>
              <w:tab w:val="right" w:leader="dot" w:pos="9016"/>
            </w:tabs>
            <w:rPr>
              <w:rFonts w:eastAsiaTheme="minorEastAsia"/>
              <w:noProof/>
              <w:sz w:val="24"/>
              <w:szCs w:val="24"/>
              <w:lang w:eastAsia="en-GB"/>
            </w:rPr>
          </w:pPr>
          <w:hyperlink w:anchor="_Toc236160653" w:history="1">
            <w:r w:rsidRPr="00280B47">
              <w:rPr>
                <w:rStyle w:val="Hyperlink"/>
                <w:rFonts w:eastAsia="Times New Roman" w:cs="Times New Roman"/>
                <w:b/>
                <w:bCs/>
                <w:noProof/>
                <w:kern w:val="0"/>
                <w:sz w:val="24"/>
                <w:szCs w:val="24"/>
                <w:lang w:eastAsia="en-GB"/>
                <w14:ligatures w14:val="none"/>
              </w:rPr>
              <w:t>2.2.1 Brand Equity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_Toc236160653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3D62F8AB" w14:textId="6AACFE27" w:rsidR="008A3D16" w:rsidRPr="00280B47" w:rsidRDefault="008A3D16">
          <w:pPr>
            <w:pStyle w:val="TOC3"/>
            <w:tabs>
              <w:tab w:val="right" w:leader="dot" w:pos="9016"/>
            </w:tabs>
            <w:rPr>
              <w:rFonts w:eastAsiaTheme="minorEastAsia"/>
              <w:noProof/>
              <w:sz w:val="24"/>
              <w:szCs w:val="24"/>
              <w:lang w:eastAsia="en-GB"/>
            </w:rPr>
          </w:pPr>
          <w:hyperlink w:anchor="_Toc236160654" w:history="1">
            <w:r w:rsidRPr="00280B47">
              <w:rPr>
                <w:rStyle w:val="Hyperlink"/>
                <w:rFonts w:eastAsia="Times New Roman" w:cs="Times New Roman"/>
                <w:b/>
                <w:bCs/>
                <w:noProof/>
                <w:kern w:val="0"/>
                <w:sz w:val="24"/>
                <w:szCs w:val="24"/>
                <w:lang w:eastAsia="en-GB"/>
                <w14:ligatures w14:val="none"/>
              </w:rPr>
              <w:t>2.2.2 Distribution Network</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_Toc236160654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18EA8F91" w14:textId="3B904B5D" w:rsidR="008A3D16" w:rsidRPr="00280B47" w:rsidRDefault="008A3D16">
          <w:pPr>
            <w:pStyle w:val="TOC3"/>
            <w:tabs>
              <w:tab w:val="right" w:leader="dot" w:pos="9016"/>
            </w:tabs>
            <w:rPr>
              <w:rFonts w:eastAsiaTheme="minorEastAsia"/>
              <w:noProof/>
              <w:sz w:val="24"/>
              <w:szCs w:val="24"/>
              <w:lang w:eastAsia="en-GB"/>
            </w:rPr>
          </w:pPr>
          <w:hyperlink w:anchor="_Toc236160655" w:history="1">
            <w:r w:rsidRPr="00280B47">
              <w:rPr>
                <w:rStyle w:val="Hyperlink"/>
                <w:rFonts w:eastAsia="Times New Roman" w:cs="Times New Roman"/>
                <w:b/>
                <w:bCs/>
                <w:noProof/>
                <w:kern w:val="0"/>
                <w:sz w:val="24"/>
                <w:szCs w:val="24"/>
                <w:lang w:eastAsia="en-GB"/>
                <w14:ligatures w14:val="none"/>
              </w:rPr>
              <w:t>2.2.3 Product Innovation Capability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_Toc236160655 \h </w:instrText>
            </w:r>
            <w:r w:rsidRPr="00280B47">
              <w:rPr>
                <w:noProof/>
                <w:webHidden/>
                <w:sz w:val="24"/>
                <w:szCs w:val="24"/>
              </w:rPr>
            </w:r>
            <w:r w:rsidRPr="00280B47">
              <w:rPr>
                <w:noProof/>
                <w:webHidden/>
                <w:sz w:val="24"/>
                <w:szCs w:val="24"/>
              </w:rPr>
              <w:fldChar w:fldCharType="separate"/>
            </w:r>
            <w:r w:rsidR="00B566AE">
              <w:rPr>
                <w:noProof/>
                <w:webHidden/>
                <w:sz w:val="24"/>
                <w:szCs w:val="24"/>
              </w:rPr>
              <w:t>12</w:t>
            </w:r>
            <w:r w:rsidRPr="00280B47">
              <w:rPr>
                <w:noProof/>
                <w:webHidden/>
                <w:sz w:val="24"/>
                <w:szCs w:val="24"/>
              </w:rPr>
              <w:fldChar w:fldCharType="end"/>
            </w:r>
          </w:hyperlink>
        </w:p>
        <w:p w14:paraId="7992602D" w14:textId="53AD2B92" w:rsidR="008A3D16" w:rsidRPr="00280B47" w:rsidRDefault="008A3D16">
          <w:pPr>
            <w:pStyle w:val="TOC3"/>
            <w:tabs>
              <w:tab w:val="right" w:leader="dot" w:pos="9016"/>
            </w:tabs>
            <w:rPr>
              <w:rFonts w:eastAsiaTheme="minorEastAsia"/>
              <w:noProof/>
              <w:sz w:val="24"/>
              <w:szCs w:val="24"/>
              <w:lang w:eastAsia="en-GB"/>
            </w:rPr>
          </w:pPr>
          <w:hyperlink w:anchor="_Toc236160656" w:history="1">
            <w:r w:rsidRPr="00280B47">
              <w:rPr>
                <w:rStyle w:val="Hyperlink"/>
                <w:rFonts w:eastAsia="Times New Roman" w:cs="Times New Roman"/>
                <w:b/>
                <w:bCs/>
                <w:noProof/>
                <w:kern w:val="0"/>
                <w:sz w:val="24"/>
                <w:szCs w:val="24"/>
                <w:lang w:eastAsia="en-GB"/>
                <w14:ligatures w14:val="none"/>
              </w:rPr>
              <w:t>2.2.4 Cocoa Life Sustainability Programme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_Toc236160656 \h </w:instrText>
            </w:r>
            <w:r w:rsidRPr="00280B47">
              <w:rPr>
                <w:noProof/>
                <w:webHidden/>
                <w:sz w:val="24"/>
                <w:szCs w:val="24"/>
              </w:rPr>
            </w:r>
            <w:r w:rsidRPr="00280B47">
              <w:rPr>
                <w:noProof/>
                <w:webHidden/>
                <w:sz w:val="24"/>
                <w:szCs w:val="24"/>
              </w:rPr>
              <w:fldChar w:fldCharType="separate"/>
            </w:r>
            <w:r w:rsidR="00B566AE">
              <w:rPr>
                <w:noProof/>
                <w:webHidden/>
                <w:sz w:val="24"/>
                <w:szCs w:val="24"/>
              </w:rPr>
              <w:t>12</w:t>
            </w:r>
            <w:r w:rsidRPr="00280B47">
              <w:rPr>
                <w:noProof/>
                <w:webHidden/>
                <w:sz w:val="24"/>
                <w:szCs w:val="24"/>
              </w:rPr>
              <w:fldChar w:fldCharType="end"/>
            </w:r>
          </w:hyperlink>
        </w:p>
        <w:p w14:paraId="7F808884" w14:textId="72506BF6" w:rsidR="008A3D16" w:rsidRPr="00280B47" w:rsidRDefault="008A3D16">
          <w:pPr>
            <w:pStyle w:val="TOC3"/>
            <w:tabs>
              <w:tab w:val="right" w:leader="dot" w:pos="9016"/>
            </w:tabs>
            <w:rPr>
              <w:rFonts w:eastAsiaTheme="minorEastAsia"/>
              <w:noProof/>
              <w:sz w:val="24"/>
              <w:szCs w:val="24"/>
              <w:lang w:eastAsia="en-GB"/>
            </w:rPr>
          </w:pPr>
          <w:hyperlink w:anchor="_Toc236160657" w:history="1">
            <w:r w:rsidRPr="00280B47">
              <w:rPr>
                <w:rStyle w:val="Hyperlink"/>
                <w:rFonts w:eastAsia="Times New Roman" w:cs="Times New Roman"/>
                <w:b/>
                <w:bCs/>
                <w:noProof/>
                <w:kern w:val="0"/>
                <w:sz w:val="24"/>
                <w:szCs w:val="24"/>
                <w:lang w:eastAsia="en-GB"/>
                <w14:ligatures w14:val="none"/>
              </w:rPr>
              <w:t>2.2.5 Emotional Marketing Capability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_Toc236160657 \h </w:instrText>
            </w:r>
            <w:r w:rsidRPr="00280B47">
              <w:rPr>
                <w:noProof/>
                <w:webHidden/>
                <w:sz w:val="24"/>
                <w:szCs w:val="24"/>
              </w:rPr>
            </w:r>
            <w:r w:rsidRPr="00280B47">
              <w:rPr>
                <w:noProof/>
                <w:webHidden/>
                <w:sz w:val="24"/>
                <w:szCs w:val="24"/>
              </w:rPr>
              <w:fldChar w:fldCharType="separate"/>
            </w:r>
            <w:r w:rsidR="00B566AE">
              <w:rPr>
                <w:noProof/>
                <w:webHidden/>
                <w:sz w:val="24"/>
                <w:szCs w:val="24"/>
              </w:rPr>
              <w:t>13</w:t>
            </w:r>
            <w:r w:rsidRPr="00280B47">
              <w:rPr>
                <w:noProof/>
                <w:webHidden/>
                <w:sz w:val="24"/>
                <w:szCs w:val="24"/>
              </w:rPr>
              <w:fldChar w:fldCharType="end"/>
            </w:r>
          </w:hyperlink>
        </w:p>
        <w:p w14:paraId="01023EFF" w14:textId="01D9D0D8" w:rsidR="008A3D16" w:rsidRPr="00280B47" w:rsidRDefault="008A3D16">
          <w:pPr>
            <w:pStyle w:val="TOC2"/>
            <w:tabs>
              <w:tab w:val="right" w:leader="dot" w:pos="9016"/>
            </w:tabs>
            <w:rPr>
              <w:rFonts w:eastAsiaTheme="minorEastAsia"/>
              <w:b w:val="0"/>
              <w:bCs w:val="0"/>
              <w:noProof/>
              <w:sz w:val="24"/>
              <w:szCs w:val="24"/>
              <w:lang w:eastAsia="en-GB"/>
            </w:rPr>
          </w:pPr>
          <w:hyperlink w:anchor="_Toc236160658" w:history="1">
            <w:r w:rsidRPr="00280B47">
              <w:rPr>
                <w:rStyle w:val="Hyperlink"/>
                <w:rFonts w:eastAsia="Times New Roman" w:cs="Times New Roman"/>
                <w:noProof/>
                <w:kern w:val="0"/>
                <w:sz w:val="24"/>
                <w:szCs w:val="24"/>
                <w:lang w:eastAsia="en-GB"/>
                <w14:ligatures w14:val="none"/>
              </w:rPr>
              <w:t>2.3 SWOT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_Toc236160658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4E3766AC" w14:textId="328FE6FD" w:rsidR="008A3D16" w:rsidRPr="00280B47" w:rsidRDefault="008A3D16">
          <w:pPr>
            <w:pStyle w:val="TOC3"/>
            <w:tabs>
              <w:tab w:val="right" w:leader="dot" w:pos="9016"/>
            </w:tabs>
            <w:rPr>
              <w:rFonts w:eastAsiaTheme="minorEastAsia"/>
              <w:noProof/>
              <w:sz w:val="24"/>
              <w:szCs w:val="24"/>
              <w:lang w:eastAsia="en-GB"/>
            </w:rPr>
          </w:pPr>
          <w:hyperlink w:anchor="_Toc236160659" w:history="1">
            <w:r w:rsidRPr="00280B47">
              <w:rPr>
                <w:rStyle w:val="Hyperlink"/>
                <w:rFonts w:eastAsia="Times New Roman" w:cs="Times New Roman"/>
                <w:b/>
                <w:bCs/>
                <w:noProof/>
                <w:kern w:val="0"/>
                <w:sz w:val="24"/>
                <w:szCs w:val="24"/>
                <w:lang w:eastAsia="en-GB"/>
                <w14:ligatures w14:val="none"/>
              </w:rPr>
              <w:t>Definition of SWOT</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_Toc236160659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3E6AAA81" w14:textId="4BAF603D" w:rsidR="008A3D16" w:rsidRPr="00280B47" w:rsidRDefault="008A3D16">
          <w:pPr>
            <w:pStyle w:val="TOC3"/>
            <w:tabs>
              <w:tab w:val="right" w:leader="dot" w:pos="9016"/>
            </w:tabs>
            <w:rPr>
              <w:rFonts w:eastAsiaTheme="minorEastAsia"/>
              <w:noProof/>
              <w:sz w:val="24"/>
              <w:szCs w:val="24"/>
              <w:lang w:eastAsia="en-GB"/>
            </w:rPr>
          </w:pPr>
          <w:hyperlink w:anchor="_Toc236160660" w:history="1">
            <w:r w:rsidRPr="00280B47">
              <w:rPr>
                <w:rStyle w:val="Hyperlink"/>
                <w:rFonts w:eastAsia="Times New Roman" w:cs="Times New Roman"/>
                <w:b/>
                <w:bCs/>
                <w:noProof/>
                <w:kern w:val="0"/>
                <w:sz w:val="24"/>
                <w:szCs w:val="24"/>
                <w:lang w:eastAsia="en-GB"/>
                <w14:ligatures w14:val="none"/>
              </w:rPr>
              <w:t>2.3.1 Strengths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_Toc236160660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1D1BE9E3" w14:textId="27F6EF9D" w:rsidR="008A3D16" w:rsidRPr="00280B47" w:rsidRDefault="008A3D16">
          <w:pPr>
            <w:pStyle w:val="TOC3"/>
            <w:tabs>
              <w:tab w:val="right" w:leader="dot" w:pos="9016"/>
            </w:tabs>
            <w:rPr>
              <w:rFonts w:eastAsiaTheme="minorEastAsia"/>
              <w:noProof/>
              <w:sz w:val="24"/>
              <w:szCs w:val="24"/>
              <w:lang w:eastAsia="en-GB"/>
            </w:rPr>
          </w:pPr>
          <w:hyperlink w:anchor="_Toc236160661" w:history="1">
            <w:r w:rsidRPr="00280B47">
              <w:rPr>
                <w:rStyle w:val="Hyperlink"/>
                <w:rFonts w:eastAsia="Times New Roman" w:cs="Times New Roman"/>
                <w:b/>
                <w:bCs/>
                <w:noProof/>
                <w:kern w:val="0"/>
                <w:sz w:val="24"/>
                <w:szCs w:val="24"/>
                <w:lang w:eastAsia="en-GB"/>
                <w14:ligatures w14:val="none"/>
              </w:rPr>
              <w:t>2.3.2 Weaknesses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_Toc236160661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52E866D5" w14:textId="337B5C07" w:rsidR="008A3D16" w:rsidRPr="00280B47" w:rsidRDefault="008A3D16">
          <w:pPr>
            <w:pStyle w:val="TOC3"/>
            <w:tabs>
              <w:tab w:val="right" w:leader="dot" w:pos="9016"/>
            </w:tabs>
            <w:rPr>
              <w:rFonts w:eastAsiaTheme="minorEastAsia"/>
              <w:noProof/>
              <w:sz w:val="24"/>
              <w:szCs w:val="24"/>
              <w:lang w:eastAsia="en-GB"/>
            </w:rPr>
          </w:pPr>
          <w:hyperlink w:anchor="_Toc236160662" w:history="1">
            <w:r w:rsidRPr="00280B47">
              <w:rPr>
                <w:rStyle w:val="Hyperlink"/>
                <w:rFonts w:eastAsia="Times New Roman" w:cs="Times New Roman"/>
                <w:b/>
                <w:bCs/>
                <w:noProof/>
                <w:kern w:val="0"/>
                <w:sz w:val="24"/>
                <w:szCs w:val="24"/>
                <w:lang w:eastAsia="en-GB"/>
                <w14:ligatures w14:val="none"/>
              </w:rPr>
              <w:t>2.3.3 Opportunities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_Toc236160662 \h </w:instrText>
            </w:r>
            <w:r w:rsidRPr="00280B47">
              <w:rPr>
                <w:noProof/>
                <w:webHidden/>
                <w:sz w:val="24"/>
                <w:szCs w:val="24"/>
              </w:rPr>
            </w:r>
            <w:r w:rsidRPr="00280B47">
              <w:rPr>
                <w:noProof/>
                <w:webHidden/>
                <w:sz w:val="24"/>
                <w:szCs w:val="24"/>
              </w:rPr>
              <w:fldChar w:fldCharType="separate"/>
            </w:r>
            <w:r w:rsidR="00B566AE">
              <w:rPr>
                <w:noProof/>
                <w:webHidden/>
                <w:sz w:val="24"/>
                <w:szCs w:val="24"/>
              </w:rPr>
              <w:t>16</w:t>
            </w:r>
            <w:r w:rsidRPr="00280B47">
              <w:rPr>
                <w:noProof/>
                <w:webHidden/>
                <w:sz w:val="24"/>
                <w:szCs w:val="24"/>
              </w:rPr>
              <w:fldChar w:fldCharType="end"/>
            </w:r>
          </w:hyperlink>
        </w:p>
        <w:p w14:paraId="38BDCA27" w14:textId="1AE3EC4F" w:rsidR="008A3D16" w:rsidRPr="00280B47" w:rsidRDefault="008A3D16">
          <w:pPr>
            <w:pStyle w:val="TOC3"/>
            <w:tabs>
              <w:tab w:val="right" w:leader="dot" w:pos="9016"/>
            </w:tabs>
            <w:rPr>
              <w:rFonts w:eastAsiaTheme="minorEastAsia"/>
              <w:noProof/>
              <w:sz w:val="24"/>
              <w:szCs w:val="24"/>
              <w:lang w:eastAsia="en-GB"/>
            </w:rPr>
          </w:pPr>
          <w:hyperlink w:anchor="_Toc236160663" w:history="1">
            <w:r w:rsidRPr="00280B47">
              <w:rPr>
                <w:rStyle w:val="Hyperlink"/>
                <w:rFonts w:eastAsia="Times New Roman" w:cs="Times New Roman"/>
                <w:b/>
                <w:bCs/>
                <w:noProof/>
                <w:kern w:val="0"/>
                <w:sz w:val="24"/>
                <w:szCs w:val="24"/>
                <w:lang w:eastAsia="en-GB"/>
                <w14:ligatures w14:val="none"/>
              </w:rPr>
              <w:t>2.3.4 Threats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_Toc236160663 \h </w:instrText>
            </w:r>
            <w:r w:rsidRPr="00280B47">
              <w:rPr>
                <w:noProof/>
                <w:webHidden/>
                <w:sz w:val="24"/>
                <w:szCs w:val="24"/>
              </w:rPr>
            </w:r>
            <w:r w:rsidRPr="00280B47">
              <w:rPr>
                <w:noProof/>
                <w:webHidden/>
                <w:sz w:val="24"/>
                <w:szCs w:val="24"/>
              </w:rPr>
              <w:fldChar w:fldCharType="separate"/>
            </w:r>
            <w:r w:rsidR="00B566AE">
              <w:rPr>
                <w:noProof/>
                <w:webHidden/>
                <w:sz w:val="24"/>
                <w:szCs w:val="24"/>
              </w:rPr>
              <w:t>16</w:t>
            </w:r>
            <w:r w:rsidRPr="00280B47">
              <w:rPr>
                <w:noProof/>
                <w:webHidden/>
                <w:sz w:val="24"/>
                <w:szCs w:val="24"/>
              </w:rPr>
              <w:fldChar w:fldCharType="end"/>
            </w:r>
          </w:hyperlink>
        </w:p>
        <w:p w14:paraId="64010CAA" w14:textId="137FEFE7" w:rsidR="008A3D16" w:rsidRPr="00280B47" w:rsidRDefault="008A3D16">
          <w:pPr>
            <w:pStyle w:val="TOC2"/>
            <w:tabs>
              <w:tab w:val="right" w:leader="dot" w:pos="9016"/>
            </w:tabs>
            <w:rPr>
              <w:rFonts w:eastAsiaTheme="minorEastAsia"/>
              <w:b w:val="0"/>
              <w:bCs w:val="0"/>
              <w:noProof/>
              <w:sz w:val="24"/>
              <w:szCs w:val="24"/>
              <w:lang w:eastAsia="en-GB"/>
            </w:rPr>
          </w:pPr>
          <w:hyperlink w:anchor="_Toc236160664" w:history="1">
            <w:r w:rsidRPr="00280B47">
              <w:rPr>
                <w:rStyle w:val="Hyperlink"/>
                <w:rFonts w:eastAsia="Times New Roman" w:cs="Times New Roman"/>
                <w:noProof/>
                <w:kern w:val="0"/>
                <w:sz w:val="24"/>
                <w:szCs w:val="24"/>
                <w:lang w:eastAsia="en-GB"/>
                <w14:ligatures w14:val="none"/>
              </w:rPr>
              <w:t>2.4 Porter’s Five Forces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_Toc236160664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174FAF13" w14:textId="634620DF" w:rsidR="008A3D16" w:rsidRPr="00280B47" w:rsidRDefault="008A3D16">
          <w:pPr>
            <w:pStyle w:val="TOC3"/>
            <w:tabs>
              <w:tab w:val="right" w:leader="dot" w:pos="9016"/>
            </w:tabs>
            <w:rPr>
              <w:rFonts w:eastAsiaTheme="minorEastAsia"/>
              <w:noProof/>
              <w:sz w:val="24"/>
              <w:szCs w:val="24"/>
              <w:lang w:eastAsia="en-GB"/>
            </w:rPr>
          </w:pPr>
          <w:hyperlink w:anchor="_Toc236160665" w:history="1">
            <w:r w:rsidRPr="00280B47">
              <w:rPr>
                <w:rStyle w:val="Hyperlink"/>
                <w:rFonts w:eastAsia="Times New Roman" w:cs="Times New Roman"/>
                <w:b/>
                <w:bCs/>
                <w:noProof/>
                <w:kern w:val="0"/>
                <w:sz w:val="24"/>
                <w:szCs w:val="24"/>
                <w:lang w:eastAsia="en-GB"/>
                <w14:ligatures w14:val="none"/>
              </w:rPr>
              <w:t>Definition of Porter’s Five Forces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_Toc236160665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66FC3328" w14:textId="68C1A5FF" w:rsidR="008A3D16" w:rsidRPr="00280B47" w:rsidRDefault="008A3D16">
          <w:pPr>
            <w:pStyle w:val="TOC3"/>
            <w:tabs>
              <w:tab w:val="right" w:leader="dot" w:pos="9016"/>
            </w:tabs>
            <w:rPr>
              <w:rFonts w:eastAsiaTheme="minorEastAsia"/>
              <w:noProof/>
              <w:sz w:val="24"/>
              <w:szCs w:val="24"/>
              <w:lang w:eastAsia="en-GB"/>
            </w:rPr>
          </w:pPr>
          <w:hyperlink w:anchor="_Toc236160666" w:history="1">
            <w:r w:rsidRPr="00280B47">
              <w:rPr>
                <w:rStyle w:val="Hyperlink"/>
                <w:rFonts w:eastAsia="Times New Roman" w:cs="Times New Roman"/>
                <w:b/>
                <w:bCs/>
                <w:noProof/>
                <w:kern w:val="0"/>
                <w:sz w:val="24"/>
                <w:szCs w:val="24"/>
                <w:lang w:eastAsia="en-GB"/>
                <w14:ligatures w14:val="none"/>
              </w:rPr>
              <w:t>2.4.1 Competitive Rivalry (High)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_Toc236160666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74437BC4" w14:textId="394BDBF1" w:rsidR="008A3D16" w:rsidRPr="00280B47" w:rsidRDefault="008A3D16">
          <w:pPr>
            <w:pStyle w:val="TOC3"/>
            <w:tabs>
              <w:tab w:val="right" w:leader="dot" w:pos="9016"/>
            </w:tabs>
            <w:rPr>
              <w:rFonts w:eastAsiaTheme="minorEastAsia"/>
              <w:noProof/>
              <w:sz w:val="24"/>
              <w:szCs w:val="24"/>
              <w:lang w:eastAsia="en-GB"/>
            </w:rPr>
          </w:pPr>
          <w:hyperlink w:anchor="_Toc236160667" w:history="1">
            <w:r w:rsidRPr="00280B47">
              <w:rPr>
                <w:rStyle w:val="Hyperlink"/>
                <w:rFonts w:eastAsia="Times New Roman" w:cs="Times New Roman"/>
                <w:b/>
                <w:bCs/>
                <w:noProof/>
                <w:kern w:val="0"/>
                <w:sz w:val="24"/>
                <w:szCs w:val="24"/>
                <w:lang w:eastAsia="en-GB"/>
                <w14:ligatures w14:val="none"/>
              </w:rPr>
              <w:t>2.4.2 Threat of New Entrants (Low)</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_Toc236160667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5BF0002B" w14:textId="7A9564E1" w:rsidR="008A3D16" w:rsidRPr="00280B47" w:rsidRDefault="008A3D16">
          <w:pPr>
            <w:pStyle w:val="TOC3"/>
            <w:tabs>
              <w:tab w:val="right" w:leader="dot" w:pos="9016"/>
            </w:tabs>
            <w:rPr>
              <w:rFonts w:eastAsiaTheme="minorEastAsia"/>
              <w:noProof/>
              <w:sz w:val="24"/>
              <w:szCs w:val="24"/>
              <w:lang w:eastAsia="en-GB"/>
            </w:rPr>
          </w:pPr>
          <w:hyperlink w:anchor="_Toc236160668" w:history="1">
            <w:r w:rsidRPr="00280B47">
              <w:rPr>
                <w:rStyle w:val="Hyperlink"/>
                <w:rFonts w:eastAsia="Times New Roman" w:cs="Times New Roman"/>
                <w:b/>
                <w:bCs/>
                <w:noProof/>
                <w:kern w:val="0"/>
                <w:sz w:val="24"/>
                <w:szCs w:val="24"/>
                <w:lang w:eastAsia="en-GB"/>
                <w14:ligatures w14:val="none"/>
              </w:rPr>
              <w:t>2.4.3 Threat of Substitutes (Moderate–High)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_Toc236160668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2143561A" w14:textId="7EE08BF5" w:rsidR="008A3D16" w:rsidRPr="00280B47" w:rsidRDefault="008A3D16">
          <w:pPr>
            <w:pStyle w:val="TOC3"/>
            <w:tabs>
              <w:tab w:val="right" w:leader="dot" w:pos="9016"/>
            </w:tabs>
            <w:rPr>
              <w:rFonts w:eastAsiaTheme="minorEastAsia"/>
              <w:noProof/>
              <w:sz w:val="24"/>
              <w:szCs w:val="24"/>
              <w:lang w:eastAsia="en-GB"/>
            </w:rPr>
          </w:pPr>
          <w:hyperlink w:anchor="_Toc236160669" w:history="1">
            <w:r w:rsidRPr="00280B47">
              <w:rPr>
                <w:rStyle w:val="Hyperlink"/>
                <w:rFonts w:eastAsia="Times New Roman" w:cs="Times New Roman"/>
                <w:b/>
                <w:bCs/>
                <w:noProof/>
                <w:kern w:val="0"/>
                <w:sz w:val="24"/>
                <w:szCs w:val="24"/>
                <w:lang w:eastAsia="en-GB"/>
                <w14:ligatures w14:val="none"/>
              </w:rPr>
              <w:t>2.4.4 Bargaining Power of Buyers (High)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_Toc236160669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2F4AED2D" w14:textId="67F3488D" w:rsidR="008A3D16" w:rsidRPr="00280B47" w:rsidRDefault="008A3D16">
          <w:pPr>
            <w:pStyle w:val="TOC3"/>
            <w:tabs>
              <w:tab w:val="right" w:leader="dot" w:pos="9016"/>
            </w:tabs>
            <w:rPr>
              <w:rFonts w:eastAsiaTheme="minorEastAsia"/>
              <w:noProof/>
              <w:sz w:val="24"/>
              <w:szCs w:val="24"/>
              <w:lang w:eastAsia="en-GB"/>
            </w:rPr>
          </w:pPr>
          <w:hyperlink w:anchor="_Toc236160670" w:history="1">
            <w:r w:rsidRPr="00280B47">
              <w:rPr>
                <w:rStyle w:val="Hyperlink"/>
                <w:rFonts w:eastAsia="Times New Roman" w:cs="Times New Roman"/>
                <w:b/>
                <w:bCs/>
                <w:noProof/>
                <w:kern w:val="0"/>
                <w:sz w:val="24"/>
                <w:szCs w:val="24"/>
                <w:lang w:eastAsia="en-GB"/>
                <w14:ligatures w14:val="none"/>
              </w:rPr>
              <w:t>2.4.5 Bargaining Power of Suppliers (Moderate)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_Toc236160670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6879A6FF" w14:textId="6C032B51" w:rsidR="008A3D16" w:rsidRPr="00280B47" w:rsidRDefault="008A3D16">
          <w:pPr>
            <w:pStyle w:val="TOC1"/>
            <w:tabs>
              <w:tab w:val="right" w:leader="dot" w:pos="9016"/>
            </w:tabs>
            <w:rPr>
              <w:rFonts w:eastAsiaTheme="minorEastAsia"/>
              <w:b w:val="0"/>
              <w:bCs w:val="0"/>
              <w:i w:val="0"/>
              <w:iCs w:val="0"/>
              <w:noProof/>
              <w:lang w:eastAsia="en-GB"/>
            </w:rPr>
          </w:pPr>
          <w:hyperlink w:anchor="_Toc236160671" w:history="1">
            <w:r w:rsidRPr="00280B47">
              <w:rPr>
                <w:rStyle w:val="Hyperlink"/>
                <w:rFonts w:eastAsia="Times New Roman" w:cs="Times New Roman"/>
                <w:noProof/>
                <w:kern w:val="36"/>
                <w:lang w:eastAsia="en-GB"/>
                <w14:ligatures w14:val="none"/>
              </w:rPr>
              <w:t>2.4.6 Porter’s Five Forces Summary Table</w:t>
            </w:r>
            <w:r w:rsidRPr="00280B47">
              <w:rPr>
                <w:noProof/>
                <w:webHidden/>
              </w:rPr>
              <w:tab/>
            </w:r>
            <w:r w:rsidRPr="00280B47">
              <w:rPr>
                <w:noProof/>
                <w:webHidden/>
              </w:rPr>
              <w:fldChar w:fldCharType="begin"/>
            </w:r>
            <w:r w:rsidRPr="00280B47">
              <w:rPr>
                <w:noProof/>
                <w:webHidden/>
              </w:rPr>
              <w:instrText xml:space="preserve"> PAGEREF _Toc236160671 \h </w:instrText>
            </w:r>
            <w:r w:rsidRPr="00280B47">
              <w:rPr>
                <w:noProof/>
                <w:webHidden/>
              </w:rPr>
            </w:r>
            <w:r w:rsidRPr="00280B47">
              <w:rPr>
                <w:noProof/>
                <w:webHidden/>
              </w:rPr>
              <w:fldChar w:fldCharType="separate"/>
            </w:r>
            <w:r w:rsidR="00B566AE">
              <w:rPr>
                <w:noProof/>
                <w:webHidden/>
              </w:rPr>
              <w:t>20</w:t>
            </w:r>
            <w:r w:rsidRPr="00280B47">
              <w:rPr>
                <w:noProof/>
                <w:webHidden/>
              </w:rPr>
              <w:fldChar w:fldCharType="end"/>
            </w:r>
          </w:hyperlink>
        </w:p>
        <w:p w14:paraId="1E0861B3" w14:textId="379D889E" w:rsidR="008A3D16" w:rsidRPr="00280B47" w:rsidRDefault="008A3D16">
          <w:pPr>
            <w:pStyle w:val="TOC1"/>
            <w:tabs>
              <w:tab w:val="right" w:leader="dot" w:pos="9016"/>
            </w:tabs>
            <w:rPr>
              <w:rFonts w:eastAsiaTheme="minorEastAsia"/>
              <w:b w:val="0"/>
              <w:bCs w:val="0"/>
              <w:i w:val="0"/>
              <w:iCs w:val="0"/>
              <w:noProof/>
              <w:lang w:eastAsia="en-GB"/>
            </w:rPr>
          </w:pPr>
          <w:hyperlink w:anchor="_Toc236160672" w:history="1">
            <w:r w:rsidRPr="00280B47">
              <w:rPr>
                <w:rStyle w:val="Hyperlink"/>
                <w:rFonts w:eastAsia="Times New Roman" w:cs="Times New Roman"/>
                <w:noProof/>
                <w:kern w:val="36"/>
                <w:lang w:eastAsia="en-GB"/>
                <w14:ligatures w14:val="none"/>
              </w:rPr>
              <w:t>3. Corporate Social Responsibility and Performance Measurement</w:t>
            </w:r>
            <w:r w:rsidRPr="00280B47">
              <w:rPr>
                <w:noProof/>
                <w:webHidden/>
              </w:rPr>
              <w:tab/>
            </w:r>
            <w:r w:rsidRPr="00280B47">
              <w:rPr>
                <w:noProof/>
                <w:webHidden/>
              </w:rPr>
              <w:fldChar w:fldCharType="begin"/>
            </w:r>
            <w:r w:rsidRPr="00280B47">
              <w:rPr>
                <w:noProof/>
                <w:webHidden/>
              </w:rPr>
              <w:instrText xml:space="preserve"> PAGEREF _Toc236160672 \h </w:instrText>
            </w:r>
            <w:r w:rsidRPr="00280B47">
              <w:rPr>
                <w:noProof/>
                <w:webHidden/>
              </w:rPr>
            </w:r>
            <w:r w:rsidRPr="00280B47">
              <w:rPr>
                <w:noProof/>
                <w:webHidden/>
              </w:rPr>
              <w:fldChar w:fldCharType="separate"/>
            </w:r>
            <w:r w:rsidR="00B566AE">
              <w:rPr>
                <w:noProof/>
                <w:webHidden/>
              </w:rPr>
              <w:t>21</w:t>
            </w:r>
            <w:r w:rsidRPr="00280B47">
              <w:rPr>
                <w:noProof/>
                <w:webHidden/>
              </w:rPr>
              <w:fldChar w:fldCharType="end"/>
            </w:r>
          </w:hyperlink>
        </w:p>
        <w:p w14:paraId="4298DA6E" w14:textId="177B71C4" w:rsidR="008A3D16" w:rsidRPr="00280B47" w:rsidRDefault="008A3D16">
          <w:pPr>
            <w:pStyle w:val="TOC2"/>
            <w:tabs>
              <w:tab w:val="right" w:leader="dot" w:pos="9016"/>
            </w:tabs>
            <w:rPr>
              <w:rFonts w:eastAsiaTheme="minorEastAsia"/>
              <w:b w:val="0"/>
              <w:bCs w:val="0"/>
              <w:noProof/>
              <w:sz w:val="24"/>
              <w:szCs w:val="24"/>
              <w:lang w:eastAsia="en-GB"/>
            </w:rPr>
          </w:pPr>
          <w:hyperlink w:anchor="_Toc236160673" w:history="1">
            <w:r w:rsidRPr="00280B47">
              <w:rPr>
                <w:rStyle w:val="Hyperlink"/>
                <w:rFonts w:eastAsia="Times New Roman" w:cs="Times New Roman"/>
                <w:noProof/>
                <w:kern w:val="0"/>
                <w:sz w:val="24"/>
                <w:szCs w:val="24"/>
                <w:lang w:eastAsia="en-GB"/>
                <w14:ligatures w14:val="none"/>
              </w:rPr>
              <w:t>3.1 Corporate Social Responsibility (CSR)</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_Toc236160673 \h </w:instrText>
            </w:r>
            <w:r w:rsidRPr="00280B47">
              <w:rPr>
                <w:noProof/>
                <w:webHidden/>
                <w:sz w:val="24"/>
                <w:szCs w:val="24"/>
              </w:rPr>
            </w:r>
            <w:r w:rsidRPr="00280B47">
              <w:rPr>
                <w:noProof/>
                <w:webHidden/>
                <w:sz w:val="24"/>
                <w:szCs w:val="24"/>
              </w:rPr>
              <w:fldChar w:fldCharType="separate"/>
            </w:r>
            <w:r w:rsidR="00B566AE">
              <w:rPr>
                <w:noProof/>
                <w:webHidden/>
                <w:sz w:val="24"/>
                <w:szCs w:val="24"/>
              </w:rPr>
              <w:t>21</w:t>
            </w:r>
            <w:r w:rsidRPr="00280B47">
              <w:rPr>
                <w:noProof/>
                <w:webHidden/>
                <w:sz w:val="24"/>
                <w:szCs w:val="24"/>
              </w:rPr>
              <w:fldChar w:fldCharType="end"/>
            </w:r>
          </w:hyperlink>
        </w:p>
        <w:p w14:paraId="7D0095F5" w14:textId="5B1A2ABC" w:rsidR="008A3D16" w:rsidRPr="00280B47" w:rsidRDefault="008A3D16">
          <w:pPr>
            <w:pStyle w:val="TOC3"/>
            <w:tabs>
              <w:tab w:val="right" w:leader="dot" w:pos="9016"/>
            </w:tabs>
            <w:rPr>
              <w:rFonts w:eastAsiaTheme="minorEastAsia"/>
              <w:noProof/>
              <w:sz w:val="24"/>
              <w:szCs w:val="24"/>
              <w:lang w:eastAsia="en-GB"/>
            </w:rPr>
          </w:pPr>
          <w:hyperlink w:anchor="_Toc236160674" w:history="1">
            <w:r w:rsidRPr="00280B47">
              <w:rPr>
                <w:rStyle w:val="Hyperlink"/>
                <w:rFonts w:eastAsia="Times New Roman" w:cs="Times New Roman"/>
                <w:b/>
                <w:bCs/>
                <w:noProof/>
                <w:kern w:val="0"/>
                <w:sz w:val="24"/>
                <w:szCs w:val="24"/>
                <w:lang w:eastAsia="en-GB"/>
                <w14:ligatures w14:val="none"/>
              </w:rPr>
              <w:t>Definition of CSR</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_Toc236160674 \h </w:instrText>
            </w:r>
            <w:r w:rsidRPr="00280B47">
              <w:rPr>
                <w:noProof/>
                <w:webHidden/>
                <w:sz w:val="24"/>
                <w:szCs w:val="24"/>
              </w:rPr>
            </w:r>
            <w:r w:rsidRPr="00280B47">
              <w:rPr>
                <w:noProof/>
                <w:webHidden/>
                <w:sz w:val="24"/>
                <w:szCs w:val="24"/>
              </w:rPr>
              <w:fldChar w:fldCharType="separate"/>
            </w:r>
            <w:r w:rsidR="00B566AE">
              <w:rPr>
                <w:noProof/>
                <w:webHidden/>
                <w:sz w:val="24"/>
                <w:szCs w:val="24"/>
              </w:rPr>
              <w:t>21</w:t>
            </w:r>
            <w:r w:rsidRPr="00280B47">
              <w:rPr>
                <w:noProof/>
                <w:webHidden/>
                <w:sz w:val="24"/>
                <w:szCs w:val="24"/>
              </w:rPr>
              <w:fldChar w:fldCharType="end"/>
            </w:r>
          </w:hyperlink>
        </w:p>
        <w:p w14:paraId="1A85DCB4" w14:textId="6C49860D" w:rsidR="008A3D16" w:rsidRPr="00280B47" w:rsidRDefault="008A3D16">
          <w:pPr>
            <w:pStyle w:val="TOC3"/>
            <w:tabs>
              <w:tab w:val="right" w:leader="dot" w:pos="9016"/>
            </w:tabs>
            <w:rPr>
              <w:rFonts w:eastAsiaTheme="minorEastAsia"/>
              <w:noProof/>
              <w:sz w:val="24"/>
              <w:szCs w:val="24"/>
              <w:lang w:eastAsia="en-GB"/>
            </w:rPr>
          </w:pPr>
          <w:hyperlink w:anchor="_Toc236160675" w:history="1">
            <w:r w:rsidRPr="00280B47">
              <w:rPr>
                <w:rStyle w:val="Hyperlink"/>
                <w:rFonts w:eastAsia="Times New Roman" w:cs="Times New Roman"/>
                <w:b/>
                <w:bCs/>
                <w:noProof/>
                <w:kern w:val="0"/>
                <w:sz w:val="24"/>
                <w:szCs w:val="24"/>
                <w:lang w:eastAsia="en-GB"/>
                <w14:ligatures w14:val="none"/>
              </w:rPr>
              <w:t>3.1.1 Cadbury’s CSR Approach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_Toc236160675 \h </w:instrText>
            </w:r>
            <w:r w:rsidRPr="00280B47">
              <w:rPr>
                <w:noProof/>
                <w:webHidden/>
                <w:sz w:val="24"/>
                <w:szCs w:val="24"/>
              </w:rPr>
            </w:r>
            <w:r w:rsidRPr="00280B47">
              <w:rPr>
                <w:noProof/>
                <w:webHidden/>
                <w:sz w:val="24"/>
                <w:szCs w:val="24"/>
              </w:rPr>
              <w:fldChar w:fldCharType="separate"/>
            </w:r>
            <w:r w:rsidR="00B566AE">
              <w:rPr>
                <w:noProof/>
                <w:webHidden/>
                <w:sz w:val="24"/>
                <w:szCs w:val="24"/>
              </w:rPr>
              <w:t>22</w:t>
            </w:r>
            <w:r w:rsidRPr="00280B47">
              <w:rPr>
                <w:noProof/>
                <w:webHidden/>
                <w:sz w:val="24"/>
                <w:szCs w:val="24"/>
              </w:rPr>
              <w:fldChar w:fldCharType="end"/>
            </w:r>
          </w:hyperlink>
        </w:p>
        <w:p w14:paraId="1C70B33E" w14:textId="377A7554" w:rsidR="008A3D16" w:rsidRPr="00280B47" w:rsidRDefault="008A3D16">
          <w:pPr>
            <w:pStyle w:val="TOC3"/>
            <w:tabs>
              <w:tab w:val="right" w:leader="dot" w:pos="9016"/>
            </w:tabs>
            <w:rPr>
              <w:rFonts w:eastAsiaTheme="minorEastAsia"/>
              <w:noProof/>
              <w:sz w:val="24"/>
              <w:szCs w:val="24"/>
              <w:lang w:eastAsia="en-GB"/>
            </w:rPr>
          </w:pPr>
          <w:hyperlink w:anchor="_Toc236160676" w:history="1">
            <w:r w:rsidRPr="00280B47">
              <w:rPr>
                <w:rStyle w:val="Hyperlink"/>
                <w:rFonts w:eastAsia="Times New Roman" w:cs="Times New Roman"/>
                <w:b/>
                <w:bCs/>
                <w:noProof/>
                <w:kern w:val="0"/>
                <w:sz w:val="24"/>
                <w:szCs w:val="24"/>
                <w:lang w:eastAsia="en-GB"/>
                <w14:ligatures w14:val="none"/>
              </w:rPr>
              <w:t>3.1.2 Cocoa Life Programme (Cadbury’s Flagship CSR Initiative)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_Toc236160676 \h </w:instrText>
            </w:r>
            <w:r w:rsidRPr="00280B47">
              <w:rPr>
                <w:noProof/>
                <w:webHidden/>
                <w:sz w:val="24"/>
                <w:szCs w:val="24"/>
              </w:rPr>
            </w:r>
            <w:r w:rsidRPr="00280B47">
              <w:rPr>
                <w:noProof/>
                <w:webHidden/>
                <w:sz w:val="24"/>
                <w:szCs w:val="24"/>
              </w:rPr>
              <w:fldChar w:fldCharType="separate"/>
            </w:r>
            <w:r w:rsidR="00B566AE">
              <w:rPr>
                <w:noProof/>
                <w:webHidden/>
                <w:sz w:val="24"/>
                <w:szCs w:val="24"/>
              </w:rPr>
              <w:t>23</w:t>
            </w:r>
            <w:r w:rsidRPr="00280B47">
              <w:rPr>
                <w:noProof/>
                <w:webHidden/>
                <w:sz w:val="24"/>
                <w:szCs w:val="24"/>
              </w:rPr>
              <w:fldChar w:fldCharType="end"/>
            </w:r>
          </w:hyperlink>
        </w:p>
        <w:p w14:paraId="2A9920CD" w14:textId="2C5438DE" w:rsidR="008A3D16" w:rsidRPr="00280B47" w:rsidRDefault="008A3D16">
          <w:pPr>
            <w:pStyle w:val="TOC2"/>
            <w:tabs>
              <w:tab w:val="right" w:leader="dot" w:pos="9016"/>
            </w:tabs>
            <w:rPr>
              <w:rFonts w:eastAsiaTheme="minorEastAsia"/>
              <w:b w:val="0"/>
              <w:bCs w:val="0"/>
              <w:noProof/>
              <w:sz w:val="24"/>
              <w:szCs w:val="24"/>
              <w:lang w:eastAsia="en-GB"/>
            </w:rPr>
          </w:pPr>
          <w:hyperlink w:anchor="_Toc236160677" w:history="1">
            <w:r w:rsidRPr="00280B47">
              <w:rPr>
                <w:rStyle w:val="Hyperlink"/>
                <w:rFonts w:eastAsia="Times New Roman" w:cs="Times New Roman"/>
                <w:noProof/>
                <w:kern w:val="0"/>
                <w:sz w:val="24"/>
                <w:szCs w:val="24"/>
                <w:lang w:eastAsia="en-GB"/>
                <w14:ligatures w14:val="none"/>
              </w:rPr>
              <w:t>3.2 Balanced Scorecard (BSC)</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_Toc236160677 \h </w:instrText>
            </w:r>
            <w:r w:rsidRPr="00280B47">
              <w:rPr>
                <w:noProof/>
                <w:webHidden/>
                <w:sz w:val="24"/>
                <w:szCs w:val="24"/>
              </w:rPr>
            </w:r>
            <w:r w:rsidRPr="00280B47">
              <w:rPr>
                <w:noProof/>
                <w:webHidden/>
                <w:sz w:val="24"/>
                <w:szCs w:val="24"/>
              </w:rPr>
              <w:fldChar w:fldCharType="separate"/>
            </w:r>
            <w:r w:rsidR="00B566AE">
              <w:rPr>
                <w:noProof/>
                <w:webHidden/>
                <w:sz w:val="24"/>
                <w:szCs w:val="24"/>
              </w:rPr>
              <w:t>24</w:t>
            </w:r>
            <w:r w:rsidRPr="00280B47">
              <w:rPr>
                <w:noProof/>
                <w:webHidden/>
                <w:sz w:val="24"/>
                <w:szCs w:val="24"/>
              </w:rPr>
              <w:fldChar w:fldCharType="end"/>
            </w:r>
          </w:hyperlink>
        </w:p>
        <w:p w14:paraId="4F8C12B1" w14:textId="7EDAB4D5" w:rsidR="008A3D16" w:rsidRPr="00280B47" w:rsidRDefault="008A3D16">
          <w:pPr>
            <w:pStyle w:val="TOC3"/>
            <w:tabs>
              <w:tab w:val="right" w:leader="dot" w:pos="9016"/>
            </w:tabs>
            <w:rPr>
              <w:rFonts w:eastAsiaTheme="minorEastAsia"/>
              <w:noProof/>
              <w:sz w:val="24"/>
              <w:szCs w:val="24"/>
              <w:lang w:eastAsia="en-GB"/>
            </w:rPr>
          </w:pPr>
          <w:hyperlink w:anchor="_Toc236160678" w:history="1">
            <w:r w:rsidRPr="00280B47">
              <w:rPr>
                <w:rStyle w:val="Hyperlink"/>
                <w:rFonts w:eastAsia="Times New Roman" w:cs="Times New Roman"/>
                <w:b/>
                <w:bCs/>
                <w:noProof/>
                <w:kern w:val="0"/>
                <w:sz w:val="24"/>
                <w:szCs w:val="24"/>
                <w:lang w:eastAsia="en-GB"/>
                <w14:ligatures w14:val="none"/>
              </w:rPr>
              <w:t>Definition of Balanced Scorecard</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_Toc236160678 \h </w:instrText>
            </w:r>
            <w:r w:rsidRPr="00280B47">
              <w:rPr>
                <w:noProof/>
                <w:webHidden/>
                <w:sz w:val="24"/>
                <w:szCs w:val="24"/>
              </w:rPr>
            </w:r>
            <w:r w:rsidRPr="00280B47">
              <w:rPr>
                <w:noProof/>
                <w:webHidden/>
                <w:sz w:val="24"/>
                <w:szCs w:val="24"/>
              </w:rPr>
              <w:fldChar w:fldCharType="separate"/>
            </w:r>
            <w:r w:rsidR="00B566AE">
              <w:rPr>
                <w:noProof/>
                <w:webHidden/>
                <w:sz w:val="24"/>
                <w:szCs w:val="24"/>
              </w:rPr>
              <w:t>24</w:t>
            </w:r>
            <w:r w:rsidRPr="00280B47">
              <w:rPr>
                <w:noProof/>
                <w:webHidden/>
                <w:sz w:val="24"/>
                <w:szCs w:val="24"/>
              </w:rPr>
              <w:fldChar w:fldCharType="end"/>
            </w:r>
          </w:hyperlink>
        </w:p>
        <w:p w14:paraId="4BB5EF4F" w14:textId="6FD38985" w:rsidR="008A3D16" w:rsidRPr="00280B47" w:rsidRDefault="008A3D16">
          <w:pPr>
            <w:pStyle w:val="TOC3"/>
            <w:tabs>
              <w:tab w:val="right" w:leader="dot" w:pos="9016"/>
            </w:tabs>
            <w:rPr>
              <w:rFonts w:eastAsiaTheme="minorEastAsia"/>
              <w:noProof/>
              <w:sz w:val="24"/>
              <w:szCs w:val="24"/>
              <w:lang w:eastAsia="en-GB"/>
            </w:rPr>
          </w:pPr>
          <w:hyperlink w:anchor="_Toc236160679" w:history="1">
            <w:r w:rsidRPr="00280B47">
              <w:rPr>
                <w:rStyle w:val="Hyperlink"/>
                <w:rFonts w:eastAsia="Times New Roman" w:cs="Times New Roman"/>
                <w:b/>
                <w:bCs/>
                <w:noProof/>
                <w:kern w:val="0"/>
                <w:sz w:val="24"/>
                <w:szCs w:val="24"/>
                <w:lang w:eastAsia="en-GB"/>
                <w14:ligatures w14:val="none"/>
              </w:rPr>
              <w:t>3.2.1 Financial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_Toc236160679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1DAA8FD4" w14:textId="564244B3" w:rsidR="008A3D16" w:rsidRPr="00280B47" w:rsidRDefault="008A3D16">
          <w:pPr>
            <w:pStyle w:val="TOC3"/>
            <w:tabs>
              <w:tab w:val="right" w:leader="dot" w:pos="9016"/>
            </w:tabs>
            <w:rPr>
              <w:rFonts w:eastAsiaTheme="minorEastAsia"/>
              <w:noProof/>
              <w:sz w:val="24"/>
              <w:szCs w:val="24"/>
              <w:lang w:eastAsia="en-GB"/>
            </w:rPr>
          </w:pPr>
          <w:hyperlink w:anchor="_Toc236160680" w:history="1">
            <w:r w:rsidRPr="00280B47">
              <w:rPr>
                <w:rStyle w:val="Hyperlink"/>
                <w:rFonts w:eastAsia="Times New Roman" w:cs="Times New Roman"/>
                <w:b/>
                <w:bCs/>
                <w:noProof/>
                <w:kern w:val="0"/>
                <w:sz w:val="24"/>
                <w:szCs w:val="24"/>
                <w:lang w:eastAsia="en-GB"/>
                <w14:ligatures w14:val="none"/>
              </w:rPr>
              <w:t>3.2.2 Customer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_Toc236160680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335C8199" w14:textId="5610C7D8" w:rsidR="008A3D16" w:rsidRPr="00280B47" w:rsidRDefault="008A3D16">
          <w:pPr>
            <w:pStyle w:val="TOC3"/>
            <w:tabs>
              <w:tab w:val="right" w:leader="dot" w:pos="9016"/>
            </w:tabs>
            <w:rPr>
              <w:rFonts w:eastAsiaTheme="minorEastAsia"/>
              <w:noProof/>
              <w:sz w:val="24"/>
              <w:szCs w:val="24"/>
              <w:lang w:eastAsia="en-GB"/>
            </w:rPr>
          </w:pPr>
          <w:hyperlink w:anchor="_Toc236160681" w:history="1">
            <w:r w:rsidRPr="00280B47">
              <w:rPr>
                <w:rStyle w:val="Hyperlink"/>
                <w:rFonts w:eastAsia="Times New Roman" w:cs="Times New Roman"/>
                <w:b/>
                <w:bCs/>
                <w:noProof/>
                <w:kern w:val="0"/>
                <w:sz w:val="24"/>
                <w:szCs w:val="24"/>
                <w:lang w:eastAsia="en-GB"/>
                <w14:ligatures w14:val="none"/>
              </w:rPr>
              <w:t>3.2.3 Internal Processes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_Toc236160681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7EE48C4A" w14:textId="0BF9F99F" w:rsidR="008A3D16" w:rsidRPr="00280B47" w:rsidRDefault="008A3D16">
          <w:pPr>
            <w:pStyle w:val="TOC3"/>
            <w:tabs>
              <w:tab w:val="right" w:leader="dot" w:pos="9016"/>
            </w:tabs>
            <w:rPr>
              <w:rFonts w:eastAsiaTheme="minorEastAsia"/>
              <w:noProof/>
              <w:sz w:val="24"/>
              <w:szCs w:val="24"/>
              <w:lang w:eastAsia="en-GB"/>
            </w:rPr>
          </w:pPr>
          <w:hyperlink w:anchor="_Toc236160682" w:history="1">
            <w:r w:rsidRPr="00280B47">
              <w:rPr>
                <w:rStyle w:val="Hyperlink"/>
                <w:rFonts w:eastAsia="Times New Roman" w:cs="Times New Roman"/>
                <w:b/>
                <w:bCs/>
                <w:noProof/>
                <w:kern w:val="0"/>
                <w:sz w:val="24"/>
                <w:szCs w:val="24"/>
                <w:lang w:eastAsia="en-GB"/>
                <w14:ligatures w14:val="none"/>
              </w:rPr>
              <w:t>3.2.4 Learning and Growth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_Toc236160682 \h </w:instrText>
            </w:r>
            <w:r w:rsidRPr="00280B47">
              <w:rPr>
                <w:noProof/>
                <w:webHidden/>
                <w:sz w:val="24"/>
                <w:szCs w:val="24"/>
              </w:rPr>
            </w:r>
            <w:r w:rsidRPr="00280B47">
              <w:rPr>
                <w:noProof/>
                <w:webHidden/>
                <w:sz w:val="24"/>
                <w:szCs w:val="24"/>
              </w:rPr>
              <w:fldChar w:fldCharType="separate"/>
            </w:r>
            <w:r w:rsidR="00B566AE">
              <w:rPr>
                <w:noProof/>
                <w:webHidden/>
                <w:sz w:val="24"/>
                <w:szCs w:val="24"/>
              </w:rPr>
              <w:t>26</w:t>
            </w:r>
            <w:r w:rsidRPr="00280B47">
              <w:rPr>
                <w:noProof/>
                <w:webHidden/>
                <w:sz w:val="24"/>
                <w:szCs w:val="24"/>
              </w:rPr>
              <w:fldChar w:fldCharType="end"/>
            </w:r>
          </w:hyperlink>
        </w:p>
        <w:p w14:paraId="20E6FE8D" w14:textId="39A290D0" w:rsidR="008A3D16" w:rsidRPr="00280B47" w:rsidRDefault="008A3D16">
          <w:pPr>
            <w:pStyle w:val="TOC1"/>
            <w:tabs>
              <w:tab w:val="right" w:leader="dot" w:pos="9016"/>
            </w:tabs>
            <w:rPr>
              <w:rFonts w:eastAsiaTheme="minorEastAsia"/>
              <w:b w:val="0"/>
              <w:bCs w:val="0"/>
              <w:i w:val="0"/>
              <w:iCs w:val="0"/>
              <w:noProof/>
              <w:lang w:eastAsia="en-GB"/>
            </w:rPr>
          </w:pPr>
          <w:hyperlink w:anchor="_Toc236160683" w:history="1">
            <w:r w:rsidRPr="00280B47">
              <w:rPr>
                <w:rStyle w:val="Hyperlink"/>
                <w:rFonts w:eastAsia="Times New Roman" w:cs="Times New Roman"/>
                <w:noProof/>
                <w:kern w:val="36"/>
                <w:lang w:eastAsia="en-GB"/>
                <w14:ligatures w14:val="none"/>
              </w:rPr>
              <w:t>3.2.5 Balanced Scorecard Summary Table</w:t>
            </w:r>
            <w:r w:rsidRPr="00280B47">
              <w:rPr>
                <w:noProof/>
                <w:webHidden/>
              </w:rPr>
              <w:tab/>
            </w:r>
            <w:r w:rsidRPr="00280B47">
              <w:rPr>
                <w:noProof/>
                <w:webHidden/>
              </w:rPr>
              <w:fldChar w:fldCharType="begin"/>
            </w:r>
            <w:r w:rsidRPr="00280B47">
              <w:rPr>
                <w:noProof/>
                <w:webHidden/>
              </w:rPr>
              <w:instrText xml:space="preserve"> PAGEREF _Toc236160683 \h </w:instrText>
            </w:r>
            <w:r w:rsidRPr="00280B47">
              <w:rPr>
                <w:noProof/>
                <w:webHidden/>
              </w:rPr>
            </w:r>
            <w:r w:rsidRPr="00280B47">
              <w:rPr>
                <w:noProof/>
                <w:webHidden/>
              </w:rPr>
              <w:fldChar w:fldCharType="separate"/>
            </w:r>
            <w:r w:rsidR="00B566AE">
              <w:rPr>
                <w:noProof/>
                <w:webHidden/>
              </w:rPr>
              <w:t>27</w:t>
            </w:r>
            <w:r w:rsidRPr="00280B47">
              <w:rPr>
                <w:noProof/>
                <w:webHidden/>
              </w:rPr>
              <w:fldChar w:fldCharType="end"/>
            </w:r>
          </w:hyperlink>
        </w:p>
        <w:p w14:paraId="58C030E0" w14:textId="6D9B5E89" w:rsidR="008A3D16" w:rsidRPr="00280B47" w:rsidRDefault="008A3D16">
          <w:pPr>
            <w:pStyle w:val="TOC1"/>
            <w:tabs>
              <w:tab w:val="right" w:leader="dot" w:pos="9016"/>
            </w:tabs>
            <w:rPr>
              <w:rFonts w:eastAsiaTheme="minorEastAsia"/>
              <w:b w:val="0"/>
              <w:bCs w:val="0"/>
              <w:i w:val="0"/>
              <w:iCs w:val="0"/>
              <w:noProof/>
              <w:lang w:eastAsia="en-GB"/>
            </w:rPr>
          </w:pPr>
          <w:hyperlink w:anchor="_Toc236160684" w:history="1">
            <w:r w:rsidRPr="00280B47">
              <w:rPr>
                <w:rStyle w:val="Hyperlink"/>
                <w:rFonts w:eastAsia="Times New Roman" w:cs="Times New Roman"/>
                <w:noProof/>
                <w:kern w:val="36"/>
                <w:lang w:eastAsia="en-GB"/>
                <w14:ligatures w14:val="none"/>
              </w:rPr>
              <w:t>4. Strategic Analysis and Organisational Change</w:t>
            </w:r>
            <w:r w:rsidRPr="00280B47">
              <w:rPr>
                <w:noProof/>
                <w:webHidden/>
              </w:rPr>
              <w:tab/>
            </w:r>
            <w:r w:rsidRPr="00280B47">
              <w:rPr>
                <w:noProof/>
                <w:webHidden/>
              </w:rPr>
              <w:fldChar w:fldCharType="begin"/>
            </w:r>
            <w:r w:rsidRPr="00280B47">
              <w:rPr>
                <w:noProof/>
                <w:webHidden/>
              </w:rPr>
              <w:instrText xml:space="preserve"> PAGEREF _Toc236160684 \h </w:instrText>
            </w:r>
            <w:r w:rsidRPr="00280B47">
              <w:rPr>
                <w:noProof/>
                <w:webHidden/>
              </w:rPr>
            </w:r>
            <w:r w:rsidRPr="00280B47">
              <w:rPr>
                <w:noProof/>
                <w:webHidden/>
              </w:rPr>
              <w:fldChar w:fldCharType="separate"/>
            </w:r>
            <w:r w:rsidR="00B566AE">
              <w:rPr>
                <w:noProof/>
                <w:webHidden/>
              </w:rPr>
              <w:t>28</w:t>
            </w:r>
            <w:r w:rsidRPr="00280B47">
              <w:rPr>
                <w:noProof/>
                <w:webHidden/>
              </w:rPr>
              <w:fldChar w:fldCharType="end"/>
            </w:r>
          </w:hyperlink>
        </w:p>
        <w:p w14:paraId="601FF06B" w14:textId="1C63CDEB" w:rsidR="008A3D16" w:rsidRPr="00280B47" w:rsidRDefault="008A3D16">
          <w:pPr>
            <w:pStyle w:val="TOC2"/>
            <w:tabs>
              <w:tab w:val="right" w:leader="dot" w:pos="9016"/>
            </w:tabs>
            <w:rPr>
              <w:rFonts w:eastAsiaTheme="minorEastAsia"/>
              <w:b w:val="0"/>
              <w:bCs w:val="0"/>
              <w:noProof/>
              <w:sz w:val="24"/>
              <w:szCs w:val="24"/>
              <w:lang w:eastAsia="en-GB"/>
            </w:rPr>
          </w:pPr>
          <w:hyperlink w:anchor="_Toc236160685" w:history="1">
            <w:r w:rsidRPr="00280B47">
              <w:rPr>
                <w:rStyle w:val="Hyperlink"/>
                <w:rFonts w:eastAsia="Times New Roman" w:cs="Times New Roman"/>
                <w:noProof/>
                <w:kern w:val="0"/>
                <w:sz w:val="24"/>
                <w:szCs w:val="24"/>
                <w:lang w:eastAsia="en-GB"/>
                <w14:ligatures w14:val="none"/>
              </w:rPr>
              <w:t>4.1 Business Level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_Toc236160685 \h </w:instrText>
            </w:r>
            <w:r w:rsidRPr="00280B47">
              <w:rPr>
                <w:noProof/>
                <w:webHidden/>
                <w:sz w:val="24"/>
                <w:szCs w:val="24"/>
              </w:rPr>
            </w:r>
            <w:r w:rsidRPr="00280B47">
              <w:rPr>
                <w:noProof/>
                <w:webHidden/>
                <w:sz w:val="24"/>
                <w:szCs w:val="24"/>
              </w:rPr>
              <w:fldChar w:fldCharType="separate"/>
            </w:r>
            <w:r w:rsidR="00B566AE">
              <w:rPr>
                <w:noProof/>
                <w:webHidden/>
                <w:sz w:val="24"/>
                <w:szCs w:val="24"/>
              </w:rPr>
              <w:t>28</w:t>
            </w:r>
            <w:r w:rsidRPr="00280B47">
              <w:rPr>
                <w:noProof/>
                <w:webHidden/>
                <w:sz w:val="24"/>
                <w:szCs w:val="24"/>
              </w:rPr>
              <w:fldChar w:fldCharType="end"/>
            </w:r>
          </w:hyperlink>
        </w:p>
        <w:p w14:paraId="44571A0E" w14:textId="4E63030A" w:rsidR="008A3D16" w:rsidRPr="00280B47" w:rsidRDefault="008A3D16">
          <w:pPr>
            <w:pStyle w:val="TOC3"/>
            <w:tabs>
              <w:tab w:val="right" w:leader="dot" w:pos="9016"/>
            </w:tabs>
            <w:rPr>
              <w:rFonts w:eastAsiaTheme="minorEastAsia"/>
              <w:noProof/>
              <w:sz w:val="24"/>
              <w:szCs w:val="24"/>
              <w:lang w:eastAsia="en-GB"/>
            </w:rPr>
          </w:pPr>
          <w:hyperlink w:anchor="_Toc236160686"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_Toc236160686 \h </w:instrText>
            </w:r>
            <w:r w:rsidRPr="00280B47">
              <w:rPr>
                <w:noProof/>
                <w:webHidden/>
                <w:sz w:val="24"/>
                <w:szCs w:val="24"/>
              </w:rPr>
            </w:r>
            <w:r w:rsidRPr="00280B47">
              <w:rPr>
                <w:noProof/>
                <w:webHidden/>
                <w:sz w:val="24"/>
                <w:szCs w:val="24"/>
              </w:rPr>
              <w:fldChar w:fldCharType="separate"/>
            </w:r>
            <w:r w:rsidR="00B566AE">
              <w:rPr>
                <w:noProof/>
                <w:webHidden/>
                <w:sz w:val="24"/>
                <w:szCs w:val="24"/>
              </w:rPr>
              <w:t>28</w:t>
            </w:r>
            <w:r w:rsidRPr="00280B47">
              <w:rPr>
                <w:noProof/>
                <w:webHidden/>
                <w:sz w:val="24"/>
                <w:szCs w:val="24"/>
              </w:rPr>
              <w:fldChar w:fldCharType="end"/>
            </w:r>
          </w:hyperlink>
        </w:p>
        <w:p w14:paraId="5C8F551D" w14:textId="4BEC9685" w:rsidR="008A3D16" w:rsidRPr="00280B47" w:rsidRDefault="008A3D16">
          <w:pPr>
            <w:pStyle w:val="TOC3"/>
            <w:tabs>
              <w:tab w:val="right" w:leader="dot" w:pos="9016"/>
            </w:tabs>
            <w:rPr>
              <w:rFonts w:eastAsiaTheme="minorEastAsia"/>
              <w:noProof/>
              <w:sz w:val="24"/>
              <w:szCs w:val="24"/>
              <w:lang w:eastAsia="en-GB"/>
            </w:rPr>
          </w:pPr>
          <w:hyperlink w:anchor="_Toc236160687" w:history="1">
            <w:r w:rsidRPr="00280B47">
              <w:rPr>
                <w:rStyle w:val="Hyperlink"/>
                <w:rFonts w:eastAsia="Times New Roman" w:cs="Times New Roman"/>
                <w:b/>
                <w:bCs/>
                <w:noProof/>
                <w:kern w:val="0"/>
                <w:sz w:val="24"/>
                <w:szCs w:val="24"/>
                <w:lang w:eastAsia="en-GB"/>
                <w14:ligatures w14:val="none"/>
              </w:rPr>
              <w:t>4.1.1 Cadbury’s Differentiation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_Toc236160687 \h </w:instrText>
            </w:r>
            <w:r w:rsidRPr="00280B47">
              <w:rPr>
                <w:noProof/>
                <w:webHidden/>
                <w:sz w:val="24"/>
                <w:szCs w:val="24"/>
              </w:rPr>
            </w:r>
            <w:r w:rsidRPr="00280B47">
              <w:rPr>
                <w:noProof/>
                <w:webHidden/>
                <w:sz w:val="24"/>
                <w:szCs w:val="24"/>
              </w:rPr>
              <w:fldChar w:fldCharType="separate"/>
            </w:r>
            <w:r w:rsidR="00B566AE">
              <w:rPr>
                <w:noProof/>
                <w:webHidden/>
                <w:sz w:val="24"/>
                <w:szCs w:val="24"/>
              </w:rPr>
              <w:t>29</w:t>
            </w:r>
            <w:r w:rsidRPr="00280B47">
              <w:rPr>
                <w:noProof/>
                <w:webHidden/>
                <w:sz w:val="24"/>
                <w:szCs w:val="24"/>
              </w:rPr>
              <w:fldChar w:fldCharType="end"/>
            </w:r>
          </w:hyperlink>
        </w:p>
        <w:p w14:paraId="01C12510" w14:textId="43206340" w:rsidR="008A3D16" w:rsidRPr="00280B47" w:rsidRDefault="008A3D16">
          <w:pPr>
            <w:pStyle w:val="TOC2"/>
            <w:tabs>
              <w:tab w:val="right" w:leader="dot" w:pos="9016"/>
            </w:tabs>
            <w:rPr>
              <w:rFonts w:eastAsiaTheme="minorEastAsia"/>
              <w:b w:val="0"/>
              <w:bCs w:val="0"/>
              <w:noProof/>
              <w:sz w:val="24"/>
              <w:szCs w:val="24"/>
              <w:lang w:eastAsia="en-GB"/>
            </w:rPr>
          </w:pPr>
          <w:hyperlink w:anchor="_Toc236160688" w:history="1">
            <w:r w:rsidRPr="00280B47">
              <w:rPr>
                <w:rStyle w:val="Hyperlink"/>
                <w:rFonts w:eastAsia="Times New Roman" w:cs="Times New Roman"/>
                <w:noProof/>
                <w:kern w:val="0"/>
                <w:sz w:val="24"/>
                <w:szCs w:val="24"/>
                <w:lang w:eastAsia="en-GB"/>
                <w14:ligatures w14:val="none"/>
              </w:rPr>
              <w:t>4.2 Corporate Level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_Toc236160688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69B77D06" w14:textId="0F7216C8" w:rsidR="008A3D16" w:rsidRPr="00280B47" w:rsidRDefault="008A3D16">
          <w:pPr>
            <w:pStyle w:val="TOC3"/>
            <w:tabs>
              <w:tab w:val="right" w:leader="dot" w:pos="9016"/>
            </w:tabs>
            <w:rPr>
              <w:rFonts w:eastAsiaTheme="minorEastAsia"/>
              <w:noProof/>
              <w:sz w:val="24"/>
              <w:szCs w:val="24"/>
              <w:lang w:eastAsia="en-GB"/>
            </w:rPr>
          </w:pPr>
          <w:hyperlink w:anchor="_Toc236160689"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_Toc236160689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3F444173" w14:textId="4EED3CBA" w:rsidR="008A3D16" w:rsidRPr="00280B47" w:rsidRDefault="008A3D16">
          <w:pPr>
            <w:pStyle w:val="TOC3"/>
            <w:tabs>
              <w:tab w:val="right" w:leader="dot" w:pos="9016"/>
            </w:tabs>
            <w:rPr>
              <w:rFonts w:eastAsiaTheme="minorEastAsia"/>
              <w:noProof/>
              <w:sz w:val="24"/>
              <w:szCs w:val="24"/>
              <w:lang w:eastAsia="en-GB"/>
            </w:rPr>
          </w:pPr>
          <w:hyperlink w:anchor="_Toc236160690" w:history="1">
            <w:r w:rsidRPr="00280B47">
              <w:rPr>
                <w:rStyle w:val="Hyperlink"/>
                <w:rFonts w:eastAsia="Times New Roman" w:cs="Times New Roman"/>
                <w:b/>
                <w:bCs/>
                <w:noProof/>
                <w:kern w:val="0"/>
                <w:sz w:val="24"/>
                <w:szCs w:val="24"/>
                <w:lang w:eastAsia="en-GB"/>
                <w14:ligatures w14:val="none"/>
              </w:rPr>
              <w:t>4.2.1 Mondelēz’s Transformation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_Toc236160690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388FA355" w14:textId="6A60B0B6" w:rsidR="008A3D16" w:rsidRPr="00280B47" w:rsidRDefault="008A3D16">
          <w:pPr>
            <w:pStyle w:val="TOC3"/>
            <w:tabs>
              <w:tab w:val="right" w:leader="dot" w:pos="9016"/>
            </w:tabs>
            <w:rPr>
              <w:rFonts w:eastAsiaTheme="minorEastAsia"/>
              <w:noProof/>
              <w:sz w:val="24"/>
              <w:szCs w:val="24"/>
              <w:lang w:eastAsia="en-GB"/>
            </w:rPr>
          </w:pPr>
          <w:hyperlink w:anchor="_Toc236160691" w:history="1">
            <w:r w:rsidRPr="00280B47">
              <w:rPr>
                <w:rStyle w:val="Hyperlink"/>
                <w:rFonts w:eastAsia="Times New Roman" w:cs="Times New Roman"/>
                <w:b/>
                <w:bCs/>
                <w:noProof/>
                <w:kern w:val="0"/>
                <w:sz w:val="24"/>
                <w:szCs w:val="24"/>
                <w:lang w:eastAsia="en-GB"/>
                <w14:ligatures w14:val="none"/>
              </w:rPr>
              <w:t>4.2.2 ERP Integration (SAP Implementation)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_Toc236160691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7979C373" w14:textId="03377D3C" w:rsidR="008A3D16" w:rsidRPr="00280B47" w:rsidRDefault="008A3D16">
          <w:pPr>
            <w:pStyle w:val="TOC2"/>
            <w:tabs>
              <w:tab w:val="right" w:leader="dot" w:pos="9016"/>
            </w:tabs>
            <w:rPr>
              <w:rFonts w:eastAsiaTheme="minorEastAsia"/>
              <w:b w:val="0"/>
              <w:bCs w:val="0"/>
              <w:noProof/>
              <w:sz w:val="24"/>
              <w:szCs w:val="24"/>
              <w:lang w:eastAsia="en-GB"/>
            </w:rPr>
          </w:pPr>
          <w:hyperlink w:anchor="_Toc236160692" w:history="1">
            <w:r w:rsidRPr="00280B47">
              <w:rPr>
                <w:rStyle w:val="Hyperlink"/>
                <w:rFonts w:eastAsia="Times New Roman" w:cs="Times New Roman"/>
                <w:noProof/>
                <w:kern w:val="0"/>
                <w:sz w:val="24"/>
                <w:szCs w:val="24"/>
                <w:lang w:eastAsia="en-GB"/>
                <w14:ligatures w14:val="none"/>
              </w:rPr>
              <w:t>4.3 SAFe Evaluation of Cadbury’s Strategic Choice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_Toc236160692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4F4C0F3C" w14:textId="6A4EFBA7" w:rsidR="008A3D16" w:rsidRPr="00280B47" w:rsidRDefault="008A3D16">
          <w:pPr>
            <w:pStyle w:val="TOC3"/>
            <w:tabs>
              <w:tab w:val="right" w:leader="dot" w:pos="9016"/>
            </w:tabs>
            <w:rPr>
              <w:rFonts w:eastAsiaTheme="minorEastAsia"/>
              <w:noProof/>
              <w:sz w:val="24"/>
              <w:szCs w:val="24"/>
              <w:lang w:eastAsia="en-GB"/>
            </w:rPr>
          </w:pPr>
          <w:hyperlink w:anchor="_Toc236160693"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_Toc236160693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33F13F66" w14:textId="07B9DFF7" w:rsidR="008A3D16" w:rsidRPr="00280B47" w:rsidRDefault="008A3D16">
          <w:pPr>
            <w:pStyle w:val="TOC3"/>
            <w:tabs>
              <w:tab w:val="right" w:leader="dot" w:pos="9016"/>
            </w:tabs>
            <w:rPr>
              <w:rFonts w:eastAsiaTheme="minorEastAsia"/>
              <w:noProof/>
              <w:sz w:val="24"/>
              <w:szCs w:val="24"/>
              <w:lang w:eastAsia="en-GB"/>
            </w:rPr>
          </w:pPr>
          <w:hyperlink w:anchor="_Toc236160694" w:history="1">
            <w:r w:rsidRPr="00280B47">
              <w:rPr>
                <w:rStyle w:val="Hyperlink"/>
                <w:rFonts w:eastAsia="Times New Roman" w:cs="Times New Roman"/>
                <w:b/>
                <w:bCs/>
                <w:noProof/>
                <w:kern w:val="0"/>
                <w:sz w:val="24"/>
                <w:szCs w:val="24"/>
                <w:lang w:eastAsia="en-GB"/>
                <w14:ligatures w14:val="none"/>
              </w:rPr>
              <w:t>4.3.1 Suitability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_Toc236160694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4919F449" w14:textId="57C5EDA3" w:rsidR="008A3D16" w:rsidRPr="00280B47" w:rsidRDefault="008A3D16">
          <w:pPr>
            <w:pStyle w:val="TOC3"/>
            <w:tabs>
              <w:tab w:val="right" w:leader="dot" w:pos="9016"/>
            </w:tabs>
            <w:rPr>
              <w:rFonts w:eastAsiaTheme="minorEastAsia"/>
              <w:noProof/>
              <w:sz w:val="24"/>
              <w:szCs w:val="24"/>
              <w:lang w:eastAsia="en-GB"/>
            </w:rPr>
          </w:pPr>
          <w:hyperlink w:anchor="_Toc236160695" w:history="1">
            <w:r w:rsidRPr="00280B47">
              <w:rPr>
                <w:rStyle w:val="Hyperlink"/>
                <w:rFonts w:eastAsia="Times New Roman" w:cs="Times New Roman"/>
                <w:b/>
                <w:bCs/>
                <w:noProof/>
                <w:kern w:val="0"/>
                <w:sz w:val="24"/>
                <w:szCs w:val="24"/>
                <w:lang w:eastAsia="en-GB"/>
                <w14:ligatures w14:val="none"/>
              </w:rPr>
              <w:t>4.3.2 Acceptability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_Toc236160695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03BD7242" w14:textId="2F2C83D7" w:rsidR="008A3D16" w:rsidRPr="00280B47" w:rsidRDefault="008A3D16">
          <w:pPr>
            <w:pStyle w:val="TOC3"/>
            <w:tabs>
              <w:tab w:val="right" w:leader="dot" w:pos="9016"/>
            </w:tabs>
            <w:rPr>
              <w:rFonts w:eastAsiaTheme="minorEastAsia"/>
              <w:noProof/>
              <w:sz w:val="24"/>
              <w:szCs w:val="24"/>
              <w:lang w:eastAsia="en-GB"/>
            </w:rPr>
          </w:pPr>
          <w:hyperlink w:anchor="_Toc236160696" w:history="1">
            <w:r w:rsidRPr="00280B47">
              <w:rPr>
                <w:rStyle w:val="Hyperlink"/>
                <w:rFonts w:eastAsia="Times New Roman" w:cs="Times New Roman"/>
                <w:b/>
                <w:bCs/>
                <w:noProof/>
                <w:kern w:val="0"/>
                <w:sz w:val="24"/>
                <w:szCs w:val="24"/>
                <w:lang w:eastAsia="en-GB"/>
                <w14:ligatures w14:val="none"/>
              </w:rPr>
              <w:t>4.3.3 Feasibility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_Toc236160696 \h </w:instrText>
            </w:r>
            <w:r w:rsidRPr="00280B47">
              <w:rPr>
                <w:noProof/>
                <w:webHidden/>
                <w:sz w:val="24"/>
                <w:szCs w:val="24"/>
              </w:rPr>
            </w:r>
            <w:r w:rsidRPr="00280B47">
              <w:rPr>
                <w:noProof/>
                <w:webHidden/>
                <w:sz w:val="24"/>
                <w:szCs w:val="24"/>
              </w:rPr>
              <w:fldChar w:fldCharType="separate"/>
            </w:r>
            <w:r w:rsidR="00B566AE">
              <w:rPr>
                <w:noProof/>
                <w:webHidden/>
                <w:sz w:val="24"/>
                <w:szCs w:val="24"/>
              </w:rPr>
              <w:t>32</w:t>
            </w:r>
            <w:r w:rsidRPr="00280B47">
              <w:rPr>
                <w:noProof/>
                <w:webHidden/>
                <w:sz w:val="24"/>
                <w:szCs w:val="24"/>
              </w:rPr>
              <w:fldChar w:fldCharType="end"/>
            </w:r>
          </w:hyperlink>
        </w:p>
        <w:p w14:paraId="15D50A5F" w14:textId="5F44CF54" w:rsidR="008A3D16" w:rsidRPr="00280B47" w:rsidRDefault="008A3D16">
          <w:pPr>
            <w:pStyle w:val="TOC2"/>
            <w:tabs>
              <w:tab w:val="right" w:leader="dot" w:pos="9016"/>
            </w:tabs>
            <w:rPr>
              <w:rFonts w:eastAsiaTheme="minorEastAsia"/>
              <w:b w:val="0"/>
              <w:bCs w:val="0"/>
              <w:noProof/>
              <w:sz w:val="24"/>
              <w:szCs w:val="24"/>
              <w:lang w:eastAsia="en-GB"/>
            </w:rPr>
          </w:pPr>
          <w:hyperlink w:anchor="_Toc236160697" w:history="1">
            <w:r w:rsidRPr="00280B47">
              <w:rPr>
                <w:rStyle w:val="Hyperlink"/>
                <w:rFonts w:eastAsia="Times New Roman" w:cs="Times New Roman"/>
                <w:noProof/>
                <w:kern w:val="0"/>
                <w:sz w:val="24"/>
                <w:szCs w:val="24"/>
                <w:lang w:eastAsia="en-GB"/>
                <w14:ligatures w14:val="none"/>
              </w:rPr>
              <w:t>4.4 Change Management (Kotter’s 8</w:t>
            </w:r>
            <w:r w:rsidRPr="00280B47">
              <w:rPr>
                <w:rStyle w:val="Hyperlink"/>
                <w:rFonts w:eastAsia="Times New Roman" w:cs="Times New Roman"/>
                <w:noProof/>
                <w:kern w:val="0"/>
                <w:sz w:val="24"/>
                <w:szCs w:val="24"/>
                <w:lang w:eastAsia="en-GB"/>
                <w14:ligatures w14:val="none"/>
              </w:rPr>
              <w:noBreakHyphen/>
              <w:t>Step Model)</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_Toc236160697 \h </w:instrText>
            </w:r>
            <w:r w:rsidRPr="00280B47">
              <w:rPr>
                <w:noProof/>
                <w:webHidden/>
                <w:sz w:val="24"/>
                <w:szCs w:val="24"/>
              </w:rPr>
            </w:r>
            <w:r w:rsidRPr="00280B47">
              <w:rPr>
                <w:noProof/>
                <w:webHidden/>
                <w:sz w:val="24"/>
                <w:szCs w:val="24"/>
              </w:rPr>
              <w:fldChar w:fldCharType="separate"/>
            </w:r>
            <w:r w:rsidR="00B566AE">
              <w:rPr>
                <w:noProof/>
                <w:webHidden/>
                <w:sz w:val="24"/>
                <w:szCs w:val="24"/>
              </w:rPr>
              <w:t>33</w:t>
            </w:r>
            <w:r w:rsidRPr="00280B47">
              <w:rPr>
                <w:noProof/>
                <w:webHidden/>
                <w:sz w:val="24"/>
                <w:szCs w:val="24"/>
              </w:rPr>
              <w:fldChar w:fldCharType="end"/>
            </w:r>
          </w:hyperlink>
        </w:p>
        <w:p w14:paraId="28FBA16D" w14:textId="6EA78AF0" w:rsidR="008A3D16" w:rsidRPr="00280B47" w:rsidRDefault="008A3D16">
          <w:pPr>
            <w:pStyle w:val="TOC3"/>
            <w:tabs>
              <w:tab w:val="right" w:leader="dot" w:pos="9016"/>
            </w:tabs>
            <w:rPr>
              <w:rFonts w:eastAsiaTheme="minorEastAsia"/>
              <w:noProof/>
              <w:sz w:val="24"/>
              <w:szCs w:val="24"/>
              <w:lang w:eastAsia="en-GB"/>
            </w:rPr>
          </w:pPr>
          <w:hyperlink w:anchor="_Toc236160698"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_Toc236160698 \h </w:instrText>
            </w:r>
            <w:r w:rsidRPr="00280B47">
              <w:rPr>
                <w:noProof/>
                <w:webHidden/>
                <w:sz w:val="24"/>
                <w:szCs w:val="24"/>
              </w:rPr>
            </w:r>
            <w:r w:rsidRPr="00280B47">
              <w:rPr>
                <w:noProof/>
                <w:webHidden/>
                <w:sz w:val="24"/>
                <w:szCs w:val="24"/>
              </w:rPr>
              <w:fldChar w:fldCharType="separate"/>
            </w:r>
            <w:r w:rsidR="00B566AE">
              <w:rPr>
                <w:noProof/>
                <w:webHidden/>
                <w:sz w:val="24"/>
                <w:szCs w:val="24"/>
              </w:rPr>
              <w:t>33</w:t>
            </w:r>
            <w:r w:rsidRPr="00280B47">
              <w:rPr>
                <w:noProof/>
                <w:webHidden/>
                <w:sz w:val="24"/>
                <w:szCs w:val="24"/>
              </w:rPr>
              <w:fldChar w:fldCharType="end"/>
            </w:r>
          </w:hyperlink>
        </w:p>
        <w:p w14:paraId="586C8DF1" w14:textId="14B62401" w:rsidR="008A3D16" w:rsidRPr="00280B47" w:rsidRDefault="008A3D16">
          <w:pPr>
            <w:pStyle w:val="TOC3"/>
            <w:tabs>
              <w:tab w:val="right" w:leader="dot" w:pos="9016"/>
            </w:tabs>
            <w:rPr>
              <w:rFonts w:eastAsiaTheme="minorEastAsia"/>
              <w:noProof/>
              <w:sz w:val="24"/>
              <w:szCs w:val="24"/>
              <w:lang w:eastAsia="en-GB"/>
            </w:rPr>
          </w:pPr>
          <w:hyperlink w:anchor="_Toc236160699" w:history="1">
            <w:r w:rsidRPr="00280B47">
              <w:rPr>
                <w:rStyle w:val="Hyperlink"/>
                <w:rFonts w:eastAsia="Times New Roman" w:cs="Times New Roman"/>
                <w:b/>
                <w:bCs/>
                <w:noProof/>
                <w:kern w:val="0"/>
                <w:sz w:val="24"/>
                <w:szCs w:val="24"/>
                <w:lang w:eastAsia="en-GB"/>
                <w14:ligatures w14:val="none"/>
              </w:rPr>
              <w:t>4.4.1 Application to Cadbury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_Toc236160699 \h </w:instrText>
            </w:r>
            <w:r w:rsidRPr="00280B47">
              <w:rPr>
                <w:noProof/>
                <w:webHidden/>
                <w:sz w:val="24"/>
                <w:szCs w:val="24"/>
              </w:rPr>
            </w:r>
            <w:r w:rsidRPr="00280B47">
              <w:rPr>
                <w:noProof/>
                <w:webHidden/>
                <w:sz w:val="24"/>
                <w:szCs w:val="24"/>
              </w:rPr>
              <w:fldChar w:fldCharType="separate"/>
            </w:r>
            <w:r w:rsidR="00B566AE">
              <w:rPr>
                <w:noProof/>
                <w:webHidden/>
                <w:sz w:val="24"/>
                <w:szCs w:val="24"/>
              </w:rPr>
              <w:t>34</w:t>
            </w:r>
            <w:r w:rsidRPr="00280B47">
              <w:rPr>
                <w:noProof/>
                <w:webHidden/>
                <w:sz w:val="24"/>
                <w:szCs w:val="24"/>
              </w:rPr>
              <w:fldChar w:fldCharType="end"/>
            </w:r>
          </w:hyperlink>
        </w:p>
        <w:p w14:paraId="578E2AFE" w14:textId="6662CB11" w:rsidR="008A3D16" w:rsidRPr="00280B47" w:rsidRDefault="008A3D16">
          <w:pPr>
            <w:pStyle w:val="TOC2"/>
            <w:tabs>
              <w:tab w:val="right" w:leader="dot" w:pos="9016"/>
            </w:tabs>
            <w:rPr>
              <w:rFonts w:eastAsiaTheme="minorEastAsia"/>
              <w:b w:val="0"/>
              <w:bCs w:val="0"/>
              <w:noProof/>
              <w:sz w:val="24"/>
              <w:szCs w:val="24"/>
              <w:lang w:eastAsia="en-GB"/>
            </w:rPr>
          </w:pPr>
          <w:hyperlink w:anchor="_Toc236160700" w:history="1">
            <w:r w:rsidRPr="00280B47">
              <w:rPr>
                <w:rStyle w:val="Hyperlink"/>
                <w:rFonts w:eastAsia="Times New Roman" w:cs="Times New Roman"/>
                <w:noProof/>
                <w:kern w:val="0"/>
                <w:sz w:val="24"/>
                <w:szCs w:val="24"/>
                <w:lang w:eastAsia="en-GB"/>
                <w14:ligatures w14:val="none"/>
              </w:rPr>
              <w:t>4.5 Digital Transformation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_Toc236160700 \h </w:instrText>
            </w:r>
            <w:r w:rsidRPr="00280B47">
              <w:rPr>
                <w:noProof/>
                <w:webHidden/>
                <w:sz w:val="24"/>
                <w:szCs w:val="24"/>
              </w:rPr>
            </w:r>
            <w:r w:rsidRPr="00280B47">
              <w:rPr>
                <w:noProof/>
                <w:webHidden/>
                <w:sz w:val="24"/>
                <w:szCs w:val="24"/>
              </w:rPr>
              <w:fldChar w:fldCharType="separate"/>
            </w:r>
            <w:r w:rsidR="00B566AE">
              <w:rPr>
                <w:noProof/>
                <w:webHidden/>
                <w:sz w:val="24"/>
                <w:szCs w:val="24"/>
              </w:rPr>
              <w:t>35</w:t>
            </w:r>
            <w:r w:rsidRPr="00280B47">
              <w:rPr>
                <w:noProof/>
                <w:webHidden/>
                <w:sz w:val="24"/>
                <w:szCs w:val="24"/>
              </w:rPr>
              <w:fldChar w:fldCharType="end"/>
            </w:r>
          </w:hyperlink>
        </w:p>
        <w:p w14:paraId="04144751" w14:textId="2D498141" w:rsidR="008A3D16" w:rsidRPr="00280B47" w:rsidRDefault="008A3D16">
          <w:pPr>
            <w:pStyle w:val="TOC1"/>
            <w:tabs>
              <w:tab w:val="right" w:leader="dot" w:pos="9016"/>
            </w:tabs>
            <w:rPr>
              <w:rFonts w:eastAsiaTheme="minorEastAsia"/>
              <w:b w:val="0"/>
              <w:bCs w:val="0"/>
              <w:i w:val="0"/>
              <w:iCs w:val="0"/>
              <w:noProof/>
              <w:lang w:eastAsia="en-GB"/>
            </w:rPr>
          </w:pPr>
          <w:hyperlink w:anchor="_Toc236160701" w:history="1">
            <w:r w:rsidRPr="00280B47">
              <w:rPr>
                <w:rStyle w:val="Hyperlink"/>
                <w:rFonts w:eastAsia="Times New Roman" w:cs="Times New Roman"/>
                <w:noProof/>
                <w:kern w:val="36"/>
                <w:lang w:eastAsia="en-GB"/>
                <w14:ligatures w14:val="none"/>
              </w:rPr>
              <w:t>5. Gibbs’ Reflective Cycle</w:t>
            </w:r>
            <w:r w:rsidRPr="00280B47">
              <w:rPr>
                <w:noProof/>
                <w:webHidden/>
              </w:rPr>
              <w:tab/>
            </w:r>
            <w:r w:rsidRPr="00280B47">
              <w:rPr>
                <w:noProof/>
                <w:webHidden/>
              </w:rPr>
              <w:fldChar w:fldCharType="begin"/>
            </w:r>
            <w:r w:rsidRPr="00280B47">
              <w:rPr>
                <w:noProof/>
                <w:webHidden/>
              </w:rPr>
              <w:instrText xml:space="preserve"> PAGEREF _Toc236160701 \h </w:instrText>
            </w:r>
            <w:r w:rsidRPr="00280B47">
              <w:rPr>
                <w:noProof/>
                <w:webHidden/>
              </w:rPr>
            </w:r>
            <w:r w:rsidRPr="00280B47">
              <w:rPr>
                <w:noProof/>
                <w:webHidden/>
              </w:rPr>
              <w:fldChar w:fldCharType="separate"/>
            </w:r>
            <w:r w:rsidR="00B566AE">
              <w:rPr>
                <w:noProof/>
                <w:webHidden/>
              </w:rPr>
              <w:t>36</w:t>
            </w:r>
            <w:r w:rsidRPr="00280B47">
              <w:rPr>
                <w:noProof/>
                <w:webHidden/>
              </w:rPr>
              <w:fldChar w:fldCharType="end"/>
            </w:r>
          </w:hyperlink>
        </w:p>
        <w:p w14:paraId="19009744" w14:textId="6D6B6215" w:rsidR="008A3D16" w:rsidRPr="00280B47" w:rsidRDefault="008A3D16">
          <w:pPr>
            <w:pStyle w:val="TOC1"/>
            <w:tabs>
              <w:tab w:val="right" w:leader="dot" w:pos="9016"/>
            </w:tabs>
            <w:rPr>
              <w:rFonts w:eastAsiaTheme="minorEastAsia"/>
              <w:b w:val="0"/>
              <w:bCs w:val="0"/>
              <w:i w:val="0"/>
              <w:iCs w:val="0"/>
              <w:noProof/>
              <w:lang w:eastAsia="en-GB"/>
            </w:rPr>
          </w:pPr>
          <w:hyperlink w:anchor="_Toc236160702" w:history="1">
            <w:r w:rsidRPr="00280B47">
              <w:rPr>
                <w:rStyle w:val="Hyperlink"/>
                <w:rFonts w:eastAsia="Times New Roman" w:cs="Times New Roman"/>
                <w:noProof/>
                <w:kern w:val="0"/>
                <w:lang w:eastAsia="en-GB"/>
                <w14:ligatures w14:val="none"/>
              </w:rPr>
              <w:t>Definition of Gibbs Reflective Cycle</w:t>
            </w:r>
            <w:r w:rsidRPr="00280B47">
              <w:rPr>
                <w:noProof/>
                <w:webHidden/>
              </w:rPr>
              <w:tab/>
            </w:r>
            <w:r w:rsidRPr="00280B47">
              <w:rPr>
                <w:noProof/>
                <w:webHidden/>
              </w:rPr>
              <w:fldChar w:fldCharType="begin"/>
            </w:r>
            <w:r w:rsidRPr="00280B47">
              <w:rPr>
                <w:noProof/>
                <w:webHidden/>
              </w:rPr>
              <w:instrText xml:space="preserve"> PAGEREF _Toc236160702 \h </w:instrText>
            </w:r>
            <w:r w:rsidRPr="00280B47">
              <w:rPr>
                <w:noProof/>
                <w:webHidden/>
              </w:rPr>
            </w:r>
            <w:r w:rsidRPr="00280B47">
              <w:rPr>
                <w:noProof/>
                <w:webHidden/>
              </w:rPr>
              <w:fldChar w:fldCharType="separate"/>
            </w:r>
            <w:r w:rsidR="00B566AE">
              <w:rPr>
                <w:noProof/>
                <w:webHidden/>
              </w:rPr>
              <w:t>36</w:t>
            </w:r>
            <w:r w:rsidRPr="00280B47">
              <w:rPr>
                <w:noProof/>
                <w:webHidden/>
              </w:rPr>
              <w:fldChar w:fldCharType="end"/>
            </w:r>
          </w:hyperlink>
        </w:p>
        <w:p w14:paraId="46B7BEF4" w14:textId="01E276CB" w:rsidR="008A3D16" w:rsidRPr="00280B47" w:rsidRDefault="008A3D16">
          <w:pPr>
            <w:pStyle w:val="TOC2"/>
            <w:tabs>
              <w:tab w:val="right" w:leader="dot" w:pos="9016"/>
            </w:tabs>
            <w:rPr>
              <w:rFonts w:eastAsiaTheme="minorEastAsia"/>
              <w:b w:val="0"/>
              <w:bCs w:val="0"/>
              <w:noProof/>
              <w:sz w:val="24"/>
              <w:szCs w:val="24"/>
              <w:lang w:eastAsia="en-GB"/>
            </w:rPr>
          </w:pPr>
          <w:hyperlink w:anchor="_Toc236160703" w:history="1">
            <w:r w:rsidRPr="00280B47">
              <w:rPr>
                <w:rStyle w:val="Hyperlink"/>
                <w:rFonts w:eastAsia="Times New Roman" w:cs="Times New Roman"/>
                <w:noProof/>
                <w:kern w:val="0"/>
                <w:sz w:val="24"/>
                <w:szCs w:val="24"/>
                <w:lang w:eastAsia="en-GB"/>
                <w14:ligatures w14:val="none"/>
              </w:rPr>
              <w:t>5.1 Description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_Toc236160703 \h </w:instrText>
            </w:r>
            <w:r w:rsidRPr="00280B47">
              <w:rPr>
                <w:noProof/>
                <w:webHidden/>
                <w:sz w:val="24"/>
                <w:szCs w:val="24"/>
              </w:rPr>
            </w:r>
            <w:r w:rsidRPr="00280B47">
              <w:rPr>
                <w:noProof/>
                <w:webHidden/>
                <w:sz w:val="24"/>
                <w:szCs w:val="24"/>
              </w:rPr>
              <w:fldChar w:fldCharType="separate"/>
            </w:r>
            <w:r w:rsidR="00B566AE">
              <w:rPr>
                <w:noProof/>
                <w:webHidden/>
                <w:sz w:val="24"/>
                <w:szCs w:val="24"/>
              </w:rPr>
              <w:t>37</w:t>
            </w:r>
            <w:r w:rsidRPr="00280B47">
              <w:rPr>
                <w:noProof/>
                <w:webHidden/>
                <w:sz w:val="24"/>
                <w:szCs w:val="24"/>
              </w:rPr>
              <w:fldChar w:fldCharType="end"/>
            </w:r>
          </w:hyperlink>
        </w:p>
        <w:p w14:paraId="122579C6" w14:textId="3A3FA37C" w:rsidR="008A3D16" w:rsidRPr="00280B47" w:rsidRDefault="008A3D16">
          <w:pPr>
            <w:pStyle w:val="TOC2"/>
            <w:tabs>
              <w:tab w:val="right" w:leader="dot" w:pos="9016"/>
            </w:tabs>
            <w:rPr>
              <w:rFonts w:eastAsiaTheme="minorEastAsia"/>
              <w:b w:val="0"/>
              <w:bCs w:val="0"/>
              <w:noProof/>
              <w:sz w:val="24"/>
              <w:szCs w:val="24"/>
              <w:lang w:eastAsia="en-GB"/>
            </w:rPr>
          </w:pPr>
          <w:hyperlink w:anchor="_Toc236160704" w:history="1">
            <w:r w:rsidRPr="00280B47">
              <w:rPr>
                <w:rStyle w:val="Hyperlink"/>
                <w:rFonts w:eastAsia="Times New Roman" w:cs="Times New Roman"/>
                <w:noProof/>
                <w:kern w:val="0"/>
                <w:sz w:val="24"/>
                <w:szCs w:val="24"/>
                <w:lang w:eastAsia="en-GB"/>
                <w14:ligatures w14:val="none"/>
              </w:rPr>
              <w:t>5.2 Feelings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_Toc236160704 \h </w:instrText>
            </w:r>
            <w:r w:rsidRPr="00280B47">
              <w:rPr>
                <w:noProof/>
                <w:webHidden/>
                <w:sz w:val="24"/>
                <w:szCs w:val="24"/>
              </w:rPr>
            </w:r>
            <w:r w:rsidRPr="00280B47">
              <w:rPr>
                <w:noProof/>
                <w:webHidden/>
                <w:sz w:val="24"/>
                <w:szCs w:val="24"/>
              </w:rPr>
              <w:fldChar w:fldCharType="separate"/>
            </w:r>
            <w:r w:rsidR="00B566AE">
              <w:rPr>
                <w:noProof/>
                <w:webHidden/>
                <w:sz w:val="24"/>
                <w:szCs w:val="24"/>
              </w:rPr>
              <w:t>37</w:t>
            </w:r>
            <w:r w:rsidRPr="00280B47">
              <w:rPr>
                <w:noProof/>
                <w:webHidden/>
                <w:sz w:val="24"/>
                <w:szCs w:val="24"/>
              </w:rPr>
              <w:fldChar w:fldCharType="end"/>
            </w:r>
          </w:hyperlink>
        </w:p>
        <w:p w14:paraId="42BD6052" w14:textId="26E2035C" w:rsidR="008A3D16" w:rsidRPr="00280B47" w:rsidRDefault="008A3D16">
          <w:pPr>
            <w:pStyle w:val="TOC2"/>
            <w:tabs>
              <w:tab w:val="right" w:leader="dot" w:pos="9016"/>
            </w:tabs>
            <w:rPr>
              <w:rFonts w:eastAsiaTheme="minorEastAsia"/>
              <w:b w:val="0"/>
              <w:bCs w:val="0"/>
              <w:noProof/>
              <w:sz w:val="24"/>
              <w:szCs w:val="24"/>
              <w:lang w:eastAsia="en-GB"/>
            </w:rPr>
          </w:pPr>
          <w:hyperlink w:anchor="_Toc236160705" w:history="1">
            <w:r w:rsidRPr="00280B47">
              <w:rPr>
                <w:rStyle w:val="Hyperlink"/>
                <w:rFonts w:eastAsia="Times New Roman" w:cs="Times New Roman"/>
                <w:noProof/>
                <w:kern w:val="0"/>
                <w:sz w:val="24"/>
                <w:szCs w:val="24"/>
                <w:lang w:eastAsia="en-GB"/>
                <w14:ligatures w14:val="none"/>
              </w:rPr>
              <w:t>5.3 Evaluation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_Toc236160705 \h </w:instrText>
            </w:r>
            <w:r w:rsidRPr="00280B47">
              <w:rPr>
                <w:noProof/>
                <w:webHidden/>
                <w:sz w:val="24"/>
                <w:szCs w:val="24"/>
              </w:rPr>
            </w:r>
            <w:r w:rsidRPr="00280B47">
              <w:rPr>
                <w:noProof/>
                <w:webHidden/>
                <w:sz w:val="24"/>
                <w:szCs w:val="24"/>
              </w:rPr>
              <w:fldChar w:fldCharType="separate"/>
            </w:r>
            <w:r w:rsidR="00B566AE">
              <w:rPr>
                <w:noProof/>
                <w:webHidden/>
                <w:sz w:val="24"/>
                <w:szCs w:val="24"/>
              </w:rPr>
              <w:t>38</w:t>
            </w:r>
            <w:r w:rsidRPr="00280B47">
              <w:rPr>
                <w:noProof/>
                <w:webHidden/>
                <w:sz w:val="24"/>
                <w:szCs w:val="24"/>
              </w:rPr>
              <w:fldChar w:fldCharType="end"/>
            </w:r>
          </w:hyperlink>
        </w:p>
        <w:p w14:paraId="7624F6E3" w14:textId="7F39C8AD" w:rsidR="008A3D16" w:rsidRPr="00280B47" w:rsidRDefault="008A3D16">
          <w:pPr>
            <w:pStyle w:val="TOC2"/>
            <w:tabs>
              <w:tab w:val="right" w:leader="dot" w:pos="9016"/>
            </w:tabs>
            <w:rPr>
              <w:rFonts w:eastAsiaTheme="minorEastAsia"/>
              <w:b w:val="0"/>
              <w:bCs w:val="0"/>
              <w:noProof/>
              <w:sz w:val="24"/>
              <w:szCs w:val="24"/>
              <w:lang w:eastAsia="en-GB"/>
            </w:rPr>
          </w:pPr>
          <w:hyperlink w:anchor="_Toc236160706" w:history="1">
            <w:r w:rsidRPr="00280B47">
              <w:rPr>
                <w:rStyle w:val="Hyperlink"/>
                <w:rFonts w:eastAsia="Times New Roman" w:cs="Times New Roman"/>
                <w:noProof/>
                <w:kern w:val="0"/>
                <w:sz w:val="24"/>
                <w:szCs w:val="24"/>
                <w:lang w:eastAsia="en-GB"/>
                <w14:ligatures w14:val="none"/>
              </w:rPr>
              <w:t>5.4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_Toc236160706 \h </w:instrText>
            </w:r>
            <w:r w:rsidRPr="00280B47">
              <w:rPr>
                <w:noProof/>
                <w:webHidden/>
                <w:sz w:val="24"/>
                <w:szCs w:val="24"/>
              </w:rPr>
            </w:r>
            <w:r w:rsidRPr="00280B47">
              <w:rPr>
                <w:noProof/>
                <w:webHidden/>
                <w:sz w:val="24"/>
                <w:szCs w:val="24"/>
              </w:rPr>
              <w:fldChar w:fldCharType="separate"/>
            </w:r>
            <w:r w:rsidR="00B566AE">
              <w:rPr>
                <w:noProof/>
                <w:webHidden/>
                <w:sz w:val="24"/>
                <w:szCs w:val="24"/>
              </w:rPr>
              <w:t>38</w:t>
            </w:r>
            <w:r w:rsidRPr="00280B47">
              <w:rPr>
                <w:noProof/>
                <w:webHidden/>
                <w:sz w:val="24"/>
                <w:szCs w:val="24"/>
              </w:rPr>
              <w:fldChar w:fldCharType="end"/>
            </w:r>
          </w:hyperlink>
        </w:p>
        <w:p w14:paraId="03205F26" w14:textId="6DFD8953" w:rsidR="008A3D16" w:rsidRPr="00280B47" w:rsidRDefault="008A3D16">
          <w:pPr>
            <w:pStyle w:val="TOC2"/>
            <w:tabs>
              <w:tab w:val="right" w:leader="dot" w:pos="9016"/>
            </w:tabs>
            <w:rPr>
              <w:rFonts w:eastAsiaTheme="minorEastAsia"/>
              <w:b w:val="0"/>
              <w:bCs w:val="0"/>
              <w:noProof/>
              <w:sz w:val="24"/>
              <w:szCs w:val="24"/>
              <w:lang w:eastAsia="en-GB"/>
            </w:rPr>
          </w:pPr>
          <w:hyperlink w:anchor="_Toc236160707" w:history="1">
            <w:r w:rsidRPr="00280B47">
              <w:rPr>
                <w:rStyle w:val="Hyperlink"/>
                <w:rFonts w:eastAsia="Times New Roman" w:cs="Times New Roman"/>
                <w:noProof/>
                <w:kern w:val="0"/>
                <w:sz w:val="24"/>
                <w:szCs w:val="24"/>
                <w:lang w:eastAsia="en-GB"/>
                <w14:ligatures w14:val="none"/>
              </w:rPr>
              <w:t>5.5 Conclusion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_Toc236160707 \h </w:instrText>
            </w:r>
            <w:r w:rsidRPr="00280B47">
              <w:rPr>
                <w:noProof/>
                <w:webHidden/>
                <w:sz w:val="24"/>
                <w:szCs w:val="24"/>
              </w:rPr>
            </w:r>
            <w:r w:rsidRPr="00280B47">
              <w:rPr>
                <w:noProof/>
                <w:webHidden/>
                <w:sz w:val="24"/>
                <w:szCs w:val="24"/>
              </w:rPr>
              <w:fldChar w:fldCharType="separate"/>
            </w:r>
            <w:r w:rsidR="00B566AE">
              <w:rPr>
                <w:noProof/>
                <w:webHidden/>
                <w:sz w:val="24"/>
                <w:szCs w:val="24"/>
              </w:rPr>
              <w:t>39</w:t>
            </w:r>
            <w:r w:rsidRPr="00280B47">
              <w:rPr>
                <w:noProof/>
                <w:webHidden/>
                <w:sz w:val="24"/>
                <w:szCs w:val="24"/>
              </w:rPr>
              <w:fldChar w:fldCharType="end"/>
            </w:r>
          </w:hyperlink>
        </w:p>
        <w:p w14:paraId="0BEEF1E0" w14:textId="2F0773FE" w:rsidR="008A3D16" w:rsidRPr="00280B47" w:rsidRDefault="008A3D16">
          <w:pPr>
            <w:pStyle w:val="TOC1"/>
            <w:tabs>
              <w:tab w:val="right" w:leader="dot" w:pos="9016"/>
            </w:tabs>
            <w:rPr>
              <w:rFonts w:eastAsiaTheme="minorEastAsia"/>
              <w:b w:val="0"/>
              <w:bCs w:val="0"/>
              <w:i w:val="0"/>
              <w:iCs w:val="0"/>
              <w:noProof/>
              <w:lang w:eastAsia="en-GB"/>
            </w:rPr>
          </w:pPr>
          <w:hyperlink w:anchor="_Toc236160708" w:history="1">
            <w:r w:rsidRPr="00280B47">
              <w:rPr>
                <w:rStyle w:val="Hyperlink"/>
                <w:rFonts w:eastAsia="Times New Roman" w:cs="Times New Roman"/>
                <w:noProof/>
                <w:kern w:val="36"/>
                <w:lang w:eastAsia="en-GB"/>
                <w14:ligatures w14:val="none"/>
              </w:rPr>
              <w:t>6. Reference List</w:t>
            </w:r>
            <w:r w:rsidRPr="00280B47">
              <w:rPr>
                <w:noProof/>
                <w:webHidden/>
              </w:rPr>
              <w:tab/>
            </w:r>
            <w:r w:rsidRPr="00280B47">
              <w:rPr>
                <w:noProof/>
                <w:webHidden/>
              </w:rPr>
              <w:fldChar w:fldCharType="begin"/>
            </w:r>
            <w:r w:rsidRPr="00280B47">
              <w:rPr>
                <w:noProof/>
                <w:webHidden/>
              </w:rPr>
              <w:instrText xml:space="preserve"> PAGEREF _Toc236160708 \h </w:instrText>
            </w:r>
            <w:r w:rsidRPr="00280B47">
              <w:rPr>
                <w:noProof/>
                <w:webHidden/>
              </w:rPr>
            </w:r>
            <w:r w:rsidRPr="00280B47">
              <w:rPr>
                <w:noProof/>
                <w:webHidden/>
              </w:rPr>
              <w:fldChar w:fldCharType="separate"/>
            </w:r>
            <w:r w:rsidR="00B566AE">
              <w:rPr>
                <w:noProof/>
                <w:webHidden/>
              </w:rPr>
              <w:t>40</w:t>
            </w:r>
            <w:r w:rsidRPr="00280B47">
              <w:rPr>
                <w:noProof/>
                <w:webHidden/>
              </w:rPr>
              <w:fldChar w:fldCharType="end"/>
            </w:r>
          </w:hyperlink>
        </w:p>
        <w:p w14:paraId="74329A49" w14:textId="77777777" w:rsidR="0078694B" w:rsidRDefault="001779BF" w:rsidP="0078694B">
          <w:pPr>
            <w:rPr>
              <w:noProof/>
            </w:rPr>
          </w:pPr>
          <w:r w:rsidRPr="00280B47">
            <w:rPr>
              <w:b/>
              <w:bCs/>
              <w:noProof/>
            </w:rPr>
            <w:fldChar w:fldCharType="end"/>
          </w:r>
        </w:p>
      </w:sdtContent>
    </w:sdt>
    <w:bookmarkStart w:id="0" w:name="_Toc236160639" w:displacedByCustomXml="prev"/>
    <w:p w14:paraId="4C4F8CEB" w14:textId="77777777" w:rsidR="008A0DAD" w:rsidRDefault="008A0DAD" w:rsidP="0078694B">
      <w:pPr>
        <w:rPr>
          <w:rFonts w:eastAsia="Times New Roman" w:cs="Times New Roman"/>
          <w:b/>
          <w:bCs/>
          <w:kern w:val="36"/>
          <w:sz w:val="48"/>
          <w:szCs w:val="48"/>
          <w:lang w:eastAsia="en-GB"/>
          <w14:ligatures w14:val="none"/>
        </w:rPr>
      </w:pPr>
    </w:p>
    <w:p w14:paraId="3965E552" w14:textId="77777777" w:rsidR="008A0DAD" w:rsidRDefault="008A0DAD" w:rsidP="0078694B">
      <w:pPr>
        <w:rPr>
          <w:rFonts w:eastAsia="Times New Roman" w:cs="Times New Roman"/>
          <w:b/>
          <w:bCs/>
          <w:kern w:val="36"/>
          <w:sz w:val="48"/>
          <w:szCs w:val="48"/>
          <w:lang w:eastAsia="en-GB"/>
          <w14:ligatures w14:val="none"/>
        </w:rPr>
      </w:pPr>
    </w:p>
    <w:p w14:paraId="541D3B13" w14:textId="77777777" w:rsidR="008A0DAD" w:rsidRDefault="008A0DAD" w:rsidP="0078694B">
      <w:pPr>
        <w:rPr>
          <w:rFonts w:eastAsia="Times New Roman" w:cs="Times New Roman"/>
          <w:b/>
          <w:bCs/>
          <w:kern w:val="36"/>
          <w:sz w:val="48"/>
          <w:szCs w:val="48"/>
          <w:lang w:eastAsia="en-GB"/>
          <w14:ligatures w14:val="none"/>
        </w:rPr>
      </w:pPr>
    </w:p>
    <w:p w14:paraId="6932C30A" w14:textId="77777777" w:rsidR="008A0DAD" w:rsidRDefault="008A0DAD" w:rsidP="0078694B">
      <w:pPr>
        <w:rPr>
          <w:rFonts w:eastAsia="Times New Roman" w:cs="Times New Roman"/>
          <w:b/>
          <w:bCs/>
          <w:kern w:val="36"/>
          <w:sz w:val="48"/>
          <w:szCs w:val="48"/>
          <w:lang w:eastAsia="en-GB"/>
          <w14:ligatures w14:val="none"/>
        </w:rPr>
      </w:pPr>
    </w:p>
    <w:p w14:paraId="210FA714" w14:textId="77777777" w:rsidR="008A0DAD" w:rsidRDefault="008A0DAD" w:rsidP="0078694B">
      <w:pPr>
        <w:rPr>
          <w:rFonts w:eastAsia="Times New Roman" w:cs="Times New Roman"/>
          <w:b/>
          <w:bCs/>
          <w:kern w:val="36"/>
          <w:sz w:val="48"/>
          <w:szCs w:val="48"/>
          <w:lang w:eastAsia="en-GB"/>
          <w14:ligatures w14:val="none"/>
        </w:rPr>
      </w:pPr>
    </w:p>
    <w:p w14:paraId="618D6BCE" w14:textId="77777777" w:rsidR="008A0DAD" w:rsidRDefault="008A0DAD" w:rsidP="0078694B">
      <w:pPr>
        <w:rPr>
          <w:rFonts w:eastAsia="Times New Roman" w:cs="Times New Roman"/>
          <w:b/>
          <w:bCs/>
          <w:kern w:val="36"/>
          <w:sz w:val="48"/>
          <w:szCs w:val="48"/>
          <w:lang w:eastAsia="en-GB"/>
          <w14:ligatures w14:val="none"/>
        </w:rPr>
      </w:pPr>
    </w:p>
    <w:p w14:paraId="4EE47C8D" w14:textId="77777777" w:rsidR="008A0DAD" w:rsidRDefault="008A0DAD" w:rsidP="0078694B">
      <w:pPr>
        <w:rPr>
          <w:rFonts w:eastAsia="Times New Roman" w:cs="Times New Roman"/>
          <w:b/>
          <w:bCs/>
          <w:kern w:val="36"/>
          <w:sz w:val="48"/>
          <w:szCs w:val="48"/>
          <w:lang w:eastAsia="en-GB"/>
          <w14:ligatures w14:val="none"/>
        </w:rPr>
      </w:pPr>
    </w:p>
    <w:p w14:paraId="262D8767" w14:textId="77777777" w:rsidR="008A0DAD" w:rsidRDefault="008A0DAD" w:rsidP="0078694B">
      <w:pPr>
        <w:rPr>
          <w:rFonts w:eastAsia="Times New Roman" w:cs="Times New Roman"/>
          <w:b/>
          <w:bCs/>
          <w:kern w:val="36"/>
          <w:sz w:val="48"/>
          <w:szCs w:val="48"/>
          <w:lang w:eastAsia="en-GB"/>
          <w14:ligatures w14:val="none"/>
        </w:rPr>
      </w:pPr>
    </w:p>
    <w:p w14:paraId="7144F734" w14:textId="77777777" w:rsidR="008A0DAD" w:rsidRDefault="008A0DAD" w:rsidP="0078694B">
      <w:pPr>
        <w:rPr>
          <w:rFonts w:eastAsia="Times New Roman" w:cs="Times New Roman"/>
          <w:b/>
          <w:bCs/>
          <w:kern w:val="36"/>
          <w:sz w:val="48"/>
          <w:szCs w:val="48"/>
          <w:lang w:eastAsia="en-GB"/>
          <w14:ligatures w14:val="none"/>
        </w:rPr>
      </w:pPr>
    </w:p>
    <w:p w14:paraId="2AF35073" w14:textId="77777777" w:rsidR="008A0DAD" w:rsidRDefault="008A0DAD" w:rsidP="0078694B">
      <w:pPr>
        <w:rPr>
          <w:rFonts w:eastAsia="Times New Roman" w:cs="Times New Roman"/>
          <w:b/>
          <w:bCs/>
          <w:kern w:val="36"/>
          <w:sz w:val="48"/>
          <w:szCs w:val="48"/>
          <w:lang w:eastAsia="en-GB"/>
          <w14:ligatures w14:val="none"/>
        </w:rPr>
      </w:pPr>
    </w:p>
    <w:p w14:paraId="7B40C5B1" w14:textId="77777777" w:rsidR="000D375C" w:rsidRDefault="000D375C" w:rsidP="0078694B">
      <w:pPr>
        <w:rPr>
          <w:rFonts w:eastAsia="Times New Roman" w:cs="Times New Roman"/>
          <w:b/>
          <w:bCs/>
          <w:kern w:val="36"/>
          <w:sz w:val="48"/>
          <w:szCs w:val="48"/>
          <w:lang w:eastAsia="en-GB"/>
          <w14:ligatures w14:val="none"/>
        </w:rPr>
      </w:pPr>
    </w:p>
    <w:p w14:paraId="0363B865" w14:textId="77777777" w:rsidR="00B566AE" w:rsidRDefault="00B566AE" w:rsidP="0078694B">
      <w:pPr>
        <w:rPr>
          <w:rFonts w:eastAsia="Times New Roman" w:cs="Times New Roman"/>
          <w:b/>
          <w:bCs/>
          <w:kern w:val="36"/>
          <w:sz w:val="48"/>
          <w:szCs w:val="48"/>
          <w:lang w:eastAsia="en-GB"/>
          <w14:ligatures w14:val="none"/>
        </w:rPr>
      </w:pPr>
    </w:p>
    <w:p w14:paraId="0A0D13E0" w14:textId="06BFB3DC" w:rsidR="00C93201" w:rsidRPr="0078694B" w:rsidRDefault="00C93201" w:rsidP="0078694B">
      <w:pPr>
        <w:rPr>
          <w:noProof/>
        </w:rPr>
      </w:pPr>
      <w:r w:rsidRPr="00813058">
        <w:rPr>
          <w:rFonts w:eastAsia="Times New Roman" w:cs="Times New Roman"/>
          <w:b/>
          <w:bCs/>
          <w:kern w:val="36"/>
          <w:sz w:val="48"/>
          <w:szCs w:val="48"/>
          <w:lang w:eastAsia="en-GB"/>
          <w14:ligatures w14:val="none"/>
        </w:rPr>
        <w:lastRenderedPageBreak/>
        <w:t>1. Organisational Context and Overview</w:t>
      </w:r>
      <w:bookmarkEnd w:id="0"/>
    </w:p>
    <w:p w14:paraId="32C01F6A" w14:textId="77777777" w:rsidR="00C93201" w:rsidRPr="00813058" w:rsidRDefault="00C93201"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 w:name="_Toc236160640"/>
      <w:r w:rsidRPr="00813058">
        <w:rPr>
          <w:rFonts w:eastAsia="Times New Roman" w:cs="Times New Roman"/>
          <w:b/>
          <w:bCs/>
          <w:kern w:val="0"/>
          <w:sz w:val="36"/>
          <w:szCs w:val="36"/>
          <w:lang w:eastAsia="en-GB"/>
          <w14:ligatures w14:val="none"/>
        </w:rPr>
        <w:t>1.1 Organisational Overview</w:t>
      </w:r>
      <w:bookmarkEnd w:id="1"/>
    </w:p>
    <w:p w14:paraId="0F81F157"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is widely recognised as one of the most culturally significant and enduring confectionery brands in the United Kingdom. Founded in 1824 by John Cadbury in Birmingham, the company initially sold cocoa and drinking chocolate before expanding into solid chocolate products later in the nineteenth century (Cadbury, 2024). Over time, Cadbury developed a distinctive brand identity built around its signature purple packaging and a portfolio of iconic products such as Dairy Milk, Roses, Wispa and Creme Egg </w:t>
      </w:r>
      <w:r w:rsidRPr="00813058">
        <w:rPr>
          <w:rFonts w:eastAsia="Times New Roman" w:cs="Times New Roman"/>
          <w:b/>
          <w:bCs/>
          <w:kern w:val="0"/>
          <w:lang w:eastAsia="en-GB"/>
          <w14:ligatures w14:val="none"/>
        </w:rPr>
        <w:t>Cadbury History</w:t>
      </w:r>
      <w:r w:rsidRPr="00813058">
        <w:rPr>
          <w:rFonts w:eastAsia="Times New Roman" w:cs="Times New Roman"/>
          <w:kern w:val="0"/>
          <w:lang w:eastAsia="en-GB"/>
          <w14:ligatures w14:val="none"/>
        </w:rPr>
        <w:t>.</w:t>
      </w:r>
    </w:p>
    <w:p w14:paraId="07144331"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Although Cadbury was acquired by Mondelēz International in 2010, it continues to operate with a strong independent identity within the UK market. Mondelēz’s Annual Report confirms that Cadbury remains one of its most valuable brands, retaining deep emotional connections with consumers and maintaining a heritage</w:t>
      </w:r>
      <w:r w:rsidRPr="00813058">
        <w:rPr>
          <w:rFonts w:eastAsia="Times New Roman" w:cs="Times New Roman"/>
          <w:kern w:val="0"/>
          <w:lang w:eastAsia="en-GB"/>
          <w14:ligatures w14:val="none"/>
        </w:rPr>
        <w:noBreakHyphen/>
        <w:t>driven positioning (Mondelēz International, 2024).</w:t>
      </w:r>
    </w:p>
    <w:p w14:paraId="2F626533"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mission centres on “creating moments of joy”, reflecting its commitment to producing accessible and enjoyable chocolate products for a broad consumer base (Cadbury, 2024). Its long</w:t>
      </w:r>
      <w:r w:rsidRPr="00813058">
        <w:rPr>
          <w:rFonts w:eastAsia="Times New Roman" w:cs="Times New Roman"/>
          <w:kern w:val="0"/>
          <w:lang w:eastAsia="en-GB"/>
          <w14:ligatures w14:val="none"/>
        </w:rPr>
        <w:noBreakHyphen/>
        <w:t xml:space="preserve">term vision emphasises sustainability, ethical sourcing and community engagement. A central component of this vision is the </w:t>
      </w:r>
      <w:r w:rsidRPr="00813058">
        <w:rPr>
          <w:rFonts w:eastAsia="Times New Roman" w:cs="Times New Roman"/>
          <w:b/>
          <w:bCs/>
          <w:kern w:val="0"/>
          <w:lang w:eastAsia="en-GB"/>
          <w14:ligatures w14:val="none"/>
        </w:rPr>
        <w:t>Cocoa Life</w:t>
      </w:r>
      <w:r w:rsidRPr="00813058">
        <w:rPr>
          <w:rFonts w:eastAsia="Times New Roman" w:cs="Times New Roman"/>
          <w:kern w:val="0"/>
          <w:lang w:eastAsia="en-GB"/>
          <w14:ligatures w14:val="none"/>
        </w:rPr>
        <w:t xml:space="preserve"> programme, which aims to improve the livelihoods of cocoa</w:t>
      </w:r>
      <w:r w:rsidRPr="00813058">
        <w:rPr>
          <w:rFonts w:eastAsia="Times New Roman" w:cs="Times New Roman"/>
          <w:kern w:val="0"/>
          <w:lang w:eastAsia="en-GB"/>
          <w14:ligatures w14:val="none"/>
        </w:rPr>
        <w:noBreakHyphen/>
        <w:t xml:space="preserve">growing communities and promote responsible farming practices (Cocoa Life, 2025). The programme supports over 200,000 farmers globally and is a key differentiator in Cadbury’s ethical sourcing strategy </w:t>
      </w:r>
      <w:r w:rsidRPr="00813058">
        <w:rPr>
          <w:rFonts w:eastAsia="Times New Roman" w:cs="Times New Roman"/>
          <w:b/>
          <w:bCs/>
          <w:kern w:val="0"/>
          <w:lang w:eastAsia="en-GB"/>
          <w14:ligatures w14:val="none"/>
        </w:rPr>
        <w:t>Cocoa Life</w:t>
      </w:r>
      <w:r w:rsidRPr="00813058">
        <w:rPr>
          <w:rFonts w:eastAsia="Times New Roman" w:cs="Times New Roman"/>
          <w:kern w:val="0"/>
          <w:lang w:eastAsia="en-GB"/>
          <w14:ligatures w14:val="none"/>
        </w:rPr>
        <w:t>.</w:t>
      </w:r>
    </w:p>
    <w:p w14:paraId="6CD12A6B" w14:textId="5D8C79CD"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business model is built on high</w:t>
      </w:r>
      <w:r w:rsidRPr="00813058">
        <w:rPr>
          <w:rFonts w:eastAsia="Times New Roman" w:cs="Times New Roman"/>
          <w:kern w:val="0"/>
          <w:lang w:eastAsia="en-GB"/>
          <w14:ligatures w14:val="none"/>
        </w:rPr>
        <w:noBreakHyphen/>
        <w:t>volume production, strong partnerships with major retailers and a marketing strategy that leverages emotional storytelling and brand heritage. The company benefits from economies of scale, extensive distribution networks and a diverse product portfolio that includes single bars, sharing packs, seasonal products and gifting ranges (Kantar, 2025). Cadbury’s marketing approach</w:t>
      </w:r>
      <w:r w:rsidR="00E063F4"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lastRenderedPageBreak/>
        <w:t>often centred around themes of generosity, nostalgia and family values</w:t>
      </w:r>
      <w:r w:rsidR="00E063F4"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 xml:space="preserve">reinforces its emotional connection with consumers and strengthens brand loyalty </w:t>
      </w:r>
      <w:r w:rsidRPr="00813058">
        <w:rPr>
          <w:rFonts w:eastAsia="Times New Roman" w:cs="Times New Roman"/>
          <w:b/>
          <w:bCs/>
          <w:kern w:val="0"/>
          <w:lang w:eastAsia="en-GB"/>
          <w14:ligatures w14:val="none"/>
        </w:rPr>
        <w:t>Cadbury Marketing</w:t>
      </w:r>
      <w:r w:rsidRPr="00813058">
        <w:rPr>
          <w:rFonts w:eastAsia="Times New Roman" w:cs="Times New Roman"/>
          <w:kern w:val="0"/>
          <w:lang w:eastAsia="en-GB"/>
          <w14:ligatures w14:val="none"/>
        </w:rPr>
        <w:t>.</w:t>
      </w:r>
    </w:p>
    <w:p w14:paraId="2F55435B" w14:textId="77777777" w:rsidR="00C93201" w:rsidRPr="00813058" w:rsidRDefault="00C93201"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2" w:name="_Toc236160641"/>
      <w:r w:rsidRPr="00813058">
        <w:rPr>
          <w:rFonts w:eastAsia="Times New Roman" w:cs="Times New Roman"/>
          <w:b/>
          <w:bCs/>
          <w:kern w:val="0"/>
          <w:sz w:val="36"/>
          <w:szCs w:val="36"/>
          <w:lang w:eastAsia="en-GB"/>
          <w14:ligatures w14:val="none"/>
        </w:rPr>
        <w:t>1.2 Industry Context</w:t>
      </w:r>
      <w:bookmarkEnd w:id="2"/>
    </w:p>
    <w:p w14:paraId="7505D6E4"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operates within the UK chocolate confectionery industry, a mature and highly competitive sector valued at approximately </w:t>
      </w:r>
      <w:r w:rsidRPr="00813058">
        <w:rPr>
          <w:rFonts w:eastAsia="Times New Roman" w:cs="Times New Roman"/>
          <w:b/>
          <w:bCs/>
          <w:kern w:val="0"/>
          <w:lang w:eastAsia="en-GB"/>
          <w14:ligatures w14:val="none"/>
        </w:rPr>
        <w:t>£4 billion in 2025</w:t>
      </w:r>
      <w:r w:rsidRPr="00813058">
        <w:rPr>
          <w:rFonts w:eastAsia="Times New Roman" w:cs="Times New Roman"/>
          <w:kern w:val="0"/>
          <w:lang w:eastAsia="en-GB"/>
          <w14:ligatures w14:val="none"/>
        </w:rPr>
        <w:t xml:space="preserve"> (Mintel, 2025). Consumer demand in this market is shaped by affordability, brand familiarity, ethical sourcing and a growing interest in premium and healthier alternatives. Despite evolving preferences, chocolate remains a resilient category with consistent year</w:t>
      </w:r>
      <w:r w:rsidRPr="00813058">
        <w:rPr>
          <w:rFonts w:eastAsia="Times New Roman" w:cs="Times New Roman"/>
          <w:kern w:val="0"/>
          <w:lang w:eastAsia="en-GB"/>
          <w14:ligatures w14:val="none"/>
        </w:rPr>
        <w:noBreakHyphen/>
        <w:t>round demand and significant seasonal peaks during Easter and Christmas (Euromonitor, 2025).</w:t>
      </w:r>
    </w:p>
    <w:p w14:paraId="7C11EB0D"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The competitive landscape is dominated by multinational firms such as Mars (Galaxy, Snickers), Nestlé (KitKat, Aero) and Ferrero (Kinder, Ferrero Rocher). These companies compete on innovation, pricing, brand strength and promotional activity. Cadbury maintains a leading market position and is consistently ranked as the UK’s most chosen chocolate brand due to its heritage, emotional branding and widespread availability across supermarkets, convenience stores and online channels (Kantar, 2025). This strong market presence is reinforced by Cadbury’s ability to adapt its product offerings to consumer trends and maintain high visibility across retail formats </w:t>
      </w:r>
      <w:r w:rsidRPr="00813058">
        <w:rPr>
          <w:rFonts w:eastAsia="Times New Roman" w:cs="Times New Roman"/>
          <w:b/>
          <w:bCs/>
          <w:kern w:val="0"/>
          <w:lang w:eastAsia="en-GB"/>
          <w14:ligatures w14:val="none"/>
        </w:rPr>
        <w:t>UK Chocolate Market</w:t>
      </w:r>
      <w:r w:rsidRPr="00813058">
        <w:rPr>
          <w:rFonts w:eastAsia="Times New Roman" w:cs="Times New Roman"/>
          <w:kern w:val="0"/>
          <w:lang w:eastAsia="en-GB"/>
          <w14:ligatures w14:val="none"/>
        </w:rPr>
        <w:t>.</w:t>
      </w:r>
    </w:p>
    <w:p w14:paraId="56734616" w14:textId="4F55EDE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However, the industry presents several challenges. Rising production costs</w:t>
      </w:r>
      <w:r w:rsidR="00A054CB"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driven by inflation, supply chain disruptions and fluctuations in global cocoa prices</w:t>
      </w:r>
      <w:r w:rsidR="00A054CB"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place pressure on manufacturers (DEFRA, 2024). Regulatory scrutiny around sugar content has intensified, particularly in relation to public health campaigns and government initiatives aimed at reducing sugar consumption (NHS, 2024). This has prompted brands to reformulate products, introduce portion</w:t>
      </w:r>
      <w:r w:rsidRPr="00813058">
        <w:rPr>
          <w:rFonts w:eastAsia="Times New Roman" w:cs="Times New Roman"/>
          <w:kern w:val="0"/>
          <w:lang w:eastAsia="en-GB"/>
          <w14:ligatures w14:val="none"/>
        </w:rPr>
        <w:noBreakHyphen/>
        <w:t>controlled options and expand healthier ranges.</w:t>
      </w:r>
    </w:p>
    <w:p w14:paraId="1F549748"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Additionally, consumer interest in vegan, reduced</w:t>
      </w:r>
      <w:r w:rsidRPr="00813058">
        <w:rPr>
          <w:rFonts w:eastAsia="Times New Roman" w:cs="Times New Roman"/>
          <w:kern w:val="0"/>
          <w:lang w:eastAsia="en-GB"/>
          <w14:ligatures w14:val="none"/>
        </w:rPr>
        <w:noBreakHyphen/>
        <w:t xml:space="preserve">sugar and premium chocolate options continues to grow. Competitors such as Lindt and Hotel </w:t>
      </w:r>
      <w:proofErr w:type="spellStart"/>
      <w:r w:rsidRPr="00813058">
        <w:rPr>
          <w:rFonts w:eastAsia="Times New Roman" w:cs="Times New Roman"/>
          <w:kern w:val="0"/>
          <w:lang w:eastAsia="en-GB"/>
          <w14:ligatures w14:val="none"/>
        </w:rPr>
        <w:t>Chocolat</w:t>
      </w:r>
      <w:proofErr w:type="spellEnd"/>
      <w:r w:rsidRPr="00813058">
        <w:rPr>
          <w:rFonts w:eastAsia="Times New Roman" w:cs="Times New Roman"/>
          <w:kern w:val="0"/>
          <w:lang w:eastAsia="en-GB"/>
          <w14:ligatures w14:val="none"/>
        </w:rPr>
        <w:t xml:space="preserve"> have </w:t>
      </w:r>
      <w:r w:rsidRPr="00813058">
        <w:rPr>
          <w:rFonts w:eastAsia="Times New Roman" w:cs="Times New Roman"/>
          <w:kern w:val="0"/>
          <w:lang w:eastAsia="en-GB"/>
          <w14:ligatures w14:val="none"/>
        </w:rPr>
        <w:lastRenderedPageBreak/>
        <w:t>strengthened their positions in the premium segment, highlighting the need for Cadbury to innovate and diversify its offerings to remain competitive (Euromonitor, 2025).</w:t>
      </w:r>
    </w:p>
    <w:p w14:paraId="0B3C5E1B"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Overall, Cadbury’s strong brand equity, ethical sourcing initiatives and extensive distribution capabilities position it as a dominant player in the UK chocolate market. At the same time, the organisation must continually adapt to regulatory pressures, shifting consumer expectations and competitive dynamics to sustain its leadership in the industry.</w:t>
      </w:r>
    </w:p>
    <w:p w14:paraId="791B9E3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32CB14B"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9957289"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EB03074"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201132B3"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6427A16"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61762B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09797D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0A91212"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5B1A078"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EC84E74" w14:textId="77777777" w:rsidR="000F7375" w:rsidRPr="00813058" w:rsidRDefault="000F7375" w:rsidP="00813058">
      <w:pPr>
        <w:spacing w:before="100" w:beforeAutospacing="1" w:after="100" w:afterAutospacing="1" w:line="360" w:lineRule="auto"/>
        <w:outlineLvl w:val="0"/>
        <w:rPr>
          <w:rFonts w:eastAsia="Times New Roman" w:cs="Times New Roman"/>
          <w:b/>
          <w:bCs/>
          <w:kern w:val="0"/>
          <w:sz w:val="36"/>
          <w:szCs w:val="36"/>
          <w:lang w:eastAsia="en-GB"/>
          <w14:ligatures w14:val="none"/>
        </w:rPr>
      </w:pPr>
    </w:p>
    <w:p w14:paraId="6CDD9A00" w14:textId="77777777" w:rsidR="009F450B" w:rsidRPr="00813058" w:rsidRDefault="009F450B"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3" w:name="_Toc236160642"/>
      <w:r w:rsidRPr="00813058">
        <w:rPr>
          <w:rFonts w:eastAsia="Times New Roman" w:cs="Times New Roman"/>
          <w:b/>
          <w:bCs/>
          <w:kern w:val="36"/>
          <w:sz w:val="48"/>
          <w:szCs w:val="48"/>
          <w:lang w:eastAsia="en-GB"/>
          <w14:ligatures w14:val="none"/>
        </w:rPr>
        <w:lastRenderedPageBreak/>
        <w:t>2. External and Internal Analysis</w:t>
      </w:r>
      <w:bookmarkEnd w:id="3"/>
    </w:p>
    <w:p w14:paraId="0C69DDE6" w14:textId="77777777" w:rsidR="009F450B" w:rsidRDefault="009F450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 w:name="_Toc236160643"/>
      <w:r w:rsidRPr="00813058">
        <w:rPr>
          <w:rFonts w:eastAsia="Times New Roman" w:cs="Times New Roman"/>
          <w:b/>
          <w:bCs/>
          <w:kern w:val="0"/>
          <w:sz w:val="36"/>
          <w:szCs w:val="36"/>
          <w:lang w:eastAsia="en-GB"/>
          <w14:ligatures w14:val="none"/>
        </w:rPr>
        <w:t>2.1 PESTEL Analysis</w:t>
      </w:r>
      <w:bookmarkEnd w:id="4"/>
    </w:p>
    <w:p w14:paraId="28D738F3" w14:textId="5BF3A662" w:rsidR="007527FD" w:rsidRPr="00813058" w:rsidRDefault="007527FD"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"https://images.squarespace-cdn.com/content/v1/5c502d60365f02bd5ee97098/62ba5059-7a32-4352-8c8b-67344eb27f80/Pestel+infographie.jpg" \* MERGEFORMATINET </w:instrText>
      </w:r>
      <w:r>
        <w:fldChar w:fldCharType="separate"/>
      </w:r>
      <w:r>
        <w:rPr>
          <w:noProof/>
        </w:rPr>
        <w:drawing>
          <wp:inline distT="0" distB="0" distL="0" distR="0" wp14:anchorId="04730839" wp14:editId="46F54D4B">
            <wp:extent cx="5731510" cy="3822065"/>
            <wp:effectExtent l="0" t="0" r="0" b="635"/>
            <wp:docPr id="1538042311" name="Picture 3" descr="Pestel Analysis Diagrams Powerpoint Presentation Template Slidesal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Diagrams Powerpoint Presentation Template Slidesalad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r>
        <w:fldChar w:fldCharType="end"/>
      </w:r>
    </w:p>
    <w:p w14:paraId="1F28BD1E" w14:textId="77777777" w:rsidR="00A31D03" w:rsidRDefault="00A31D03" w:rsidP="009459F7">
      <w:pPr>
        <w:spacing w:before="100" w:beforeAutospacing="1" w:after="100" w:afterAutospacing="1" w:line="360" w:lineRule="auto"/>
        <w:jc w:val="center"/>
        <w:outlineLvl w:val="2"/>
      </w:pPr>
      <w:bookmarkStart w:id="5" w:name="_Toc236160644"/>
      <w:r>
        <w:rPr>
          <w:rStyle w:val="Strong"/>
        </w:rPr>
        <w:t>Figure 1:</w:t>
      </w:r>
      <w:r>
        <w:t xml:space="preserve"> PESTEL Framework Diagram </w:t>
      </w:r>
    </w:p>
    <w:p w14:paraId="53B8F517" w14:textId="3D2DBFED" w:rsidR="007527FD" w:rsidRPr="00A31D03" w:rsidRDefault="00A31D03" w:rsidP="009459F7">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A31D03">
        <w:rPr>
          <w:rStyle w:val="Emphasis"/>
          <w:b/>
          <w:bCs/>
          <w:i w:val="0"/>
          <w:iCs w:val="0"/>
        </w:rPr>
        <w:t>Source</w:t>
      </w:r>
      <w:r w:rsidRPr="00A31D03">
        <w:rPr>
          <w:rStyle w:val="Emphasis"/>
          <w:i w:val="0"/>
          <w:iCs w:val="0"/>
        </w:rPr>
        <w:t>: Johnson, Whittington &amp; Scholes (2020)</w:t>
      </w:r>
    </w:p>
    <w:p w14:paraId="5472899C" w14:textId="799F53EF"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PESTEL</w:t>
      </w:r>
      <w:bookmarkEnd w:id="5"/>
    </w:p>
    <w:p w14:paraId="49160355"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PESTEL framework is a strategic tool used to examine the macro</w:t>
      </w:r>
      <w:r w:rsidRPr="00813058">
        <w:rPr>
          <w:rFonts w:eastAsia="Times New Roman" w:cs="Times New Roman"/>
          <w:kern w:val="0"/>
          <w:lang w:eastAsia="en-GB"/>
          <w14:ligatures w14:val="none"/>
        </w:rPr>
        <w:noBreakHyphen/>
        <w:t>environmental forces that influence an organisation’s operations and long</w:t>
      </w:r>
      <w:r w:rsidRPr="00813058">
        <w:rPr>
          <w:rFonts w:eastAsia="Times New Roman" w:cs="Times New Roman"/>
          <w:kern w:val="0"/>
          <w:lang w:eastAsia="en-GB"/>
          <w14:ligatures w14:val="none"/>
        </w:rPr>
        <w:noBreakHyphen/>
        <w:t>term direction. It considers Political, Economic, Social, Technological, Environmental and Legal factors, helping organisations identify external opportunities and threats that may shape strategic decision</w:t>
      </w:r>
      <w:r w:rsidRPr="00813058">
        <w:rPr>
          <w:rFonts w:eastAsia="Times New Roman" w:cs="Times New Roman"/>
          <w:kern w:val="0"/>
          <w:lang w:eastAsia="en-GB"/>
          <w14:ligatures w14:val="none"/>
        </w:rPr>
        <w:noBreakHyphen/>
        <w:t>making (Johnson et al., 2020, p. 54).</w:t>
      </w:r>
    </w:p>
    <w:p w14:paraId="359FF164" w14:textId="77777777" w:rsidR="00D76DA5" w:rsidRDefault="00D76DA5"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6" w:name="_Toc236160645"/>
    </w:p>
    <w:p w14:paraId="6C8AAFAA" w14:textId="20248F73"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lastRenderedPageBreak/>
        <w:t>Political Factors</w:t>
      </w:r>
      <w:bookmarkEnd w:id="6"/>
    </w:p>
    <w:p w14:paraId="1F81FA28"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Political factors encompass government policies, regulatory changes and political stability, all of which influence business activities (Hill et al., 2022, p. 41). In the UK, Cadbury is affected by food regulations, sugar</w:t>
      </w:r>
      <w:r w:rsidRPr="00813058">
        <w:rPr>
          <w:rFonts w:eastAsia="Times New Roman" w:cs="Times New Roman"/>
          <w:kern w:val="0"/>
          <w:lang w:eastAsia="en-GB"/>
          <w14:ligatures w14:val="none"/>
        </w:rPr>
        <w:noBreakHyphen/>
        <w:t>related policies and post</w:t>
      </w:r>
      <w:r w:rsidRPr="00813058">
        <w:rPr>
          <w:rFonts w:eastAsia="Times New Roman" w:cs="Times New Roman"/>
          <w:kern w:val="0"/>
          <w:lang w:eastAsia="en-GB"/>
          <w14:ligatures w14:val="none"/>
        </w:rPr>
        <w:noBreakHyphen/>
        <w:t>Brexit trade conditions. The introduction of the Soft Drinks Industry Levy reflects growing government intervention aimed at reducing sugar consumption. Although the levy does not directly target chocolate, it signals a broader regulatory trend that could extend to confectionery. Brexit has also increased import costs for cocoa and dairy ingredients due to new customs procedures and trade barriers, creating additional pressure on Cadbury’s supply chain (DEFRA, 2024).</w:t>
      </w:r>
    </w:p>
    <w:p w14:paraId="58668B80"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7" w:name="_Toc236160646"/>
      <w:r w:rsidRPr="00813058">
        <w:rPr>
          <w:rFonts w:eastAsia="Times New Roman" w:cs="Times New Roman"/>
          <w:b/>
          <w:bCs/>
          <w:kern w:val="0"/>
          <w:sz w:val="27"/>
          <w:szCs w:val="27"/>
          <w:lang w:eastAsia="en-GB"/>
          <w14:ligatures w14:val="none"/>
        </w:rPr>
        <w:t>Economic Factors</w:t>
      </w:r>
      <w:bookmarkEnd w:id="7"/>
    </w:p>
    <w:p w14:paraId="71028577"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Economic factors include inflation, consumer spending, interest rates and overall economic stability (Grant, 2021, p. 67). The UK’s cost</w:t>
      </w:r>
      <w:r w:rsidRPr="00813058">
        <w:rPr>
          <w:rFonts w:eastAsia="Times New Roman" w:cs="Times New Roman"/>
          <w:kern w:val="0"/>
          <w:lang w:eastAsia="en-GB"/>
          <w14:ligatures w14:val="none"/>
        </w:rPr>
        <w:noBreakHyphen/>
        <w:t>of</w:t>
      </w:r>
      <w:r w:rsidRPr="00813058">
        <w:rPr>
          <w:rFonts w:eastAsia="Times New Roman" w:cs="Times New Roman"/>
          <w:kern w:val="0"/>
          <w:lang w:eastAsia="en-GB"/>
          <w14:ligatures w14:val="none"/>
        </w:rPr>
        <w:noBreakHyphen/>
        <w:t>living crisis has heightened price sensitivity among consumers, influencing purchasing behaviour even for affordable indulgences like chocolate. Rising inflation has increased production costs, particularly for raw materials such as cocoa, sugar and dairy. Global cocoa price volatility further complicates Cadbury’s cost structure, making long</w:t>
      </w:r>
      <w:r w:rsidRPr="00813058">
        <w:rPr>
          <w:rFonts w:eastAsia="Times New Roman" w:cs="Times New Roman"/>
          <w:kern w:val="0"/>
          <w:lang w:eastAsia="en-GB"/>
          <w14:ligatures w14:val="none"/>
        </w:rPr>
        <w:noBreakHyphen/>
        <w:t>term supply contracts and sustainability initiatives essential for managing financial risk (Cocoa Life, 2025).</w:t>
      </w:r>
    </w:p>
    <w:p w14:paraId="08C70984"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8" w:name="_Toc236160647"/>
      <w:r w:rsidRPr="00813058">
        <w:rPr>
          <w:rFonts w:eastAsia="Times New Roman" w:cs="Times New Roman"/>
          <w:b/>
          <w:bCs/>
          <w:kern w:val="0"/>
          <w:sz w:val="27"/>
          <w:szCs w:val="27"/>
          <w:lang w:eastAsia="en-GB"/>
          <w14:ligatures w14:val="none"/>
        </w:rPr>
        <w:t>Social Factors</w:t>
      </w:r>
      <w:bookmarkEnd w:id="8"/>
    </w:p>
    <w:p w14:paraId="56C4B3FD"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Social factors relate to cultural trends, demographics and evolving consumer preferences (Kotler &amp; Keller, 2020, p. 89). UK consumers increasingly prioritise ethical sourcing, sustainability and healthier lifestyles. Cadbury’s Cocoa Life programme aligns with these expectations by promoting fair labour practices and environmental responsibility. However, growing concerns about sugar consumption have encouraged a shift towards healthier snacks, vegan options and reduced</w:t>
      </w:r>
      <w:r w:rsidRPr="00813058">
        <w:rPr>
          <w:rFonts w:eastAsia="Times New Roman" w:cs="Times New Roman"/>
          <w:kern w:val="0"/>
          <w:lang w:eastAsia="en-GB"/>
          <w14:ligatures w14:val="none"/>
        </w:rPr>
        <w:noBreakHyphen/>
        <w:t>sugar products. This trend presents both challenges and opportunities for Cadbury as it seeks to balance tradition with innovation.</w:t>
      </w:r>
    </w:p>
    <w:p w14:paraId="5339E31A"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9" w:name="_Toc236160648"/>
      <w:r w:rsidRPr="00813058">
        <w:rPr>
          <w:rFonts w:eastAsia="Times New Roman" w:cs="Times New Roman"/>
          <w:b/>
          <w:bCs/>
          <w:kern w:val="0"/>
          <w:sz w:val="27"/>
          <w:szCs w:val="27"/>
          <w:lang w:eastAsia="en-GB"/>
          <w14:ligatures w14:val="none"/>
        </w:rPr>
        <w:lastRenderedPageBreak/>
        <w:t>Technological Factors</w:t>
      </w:r>
      <w:bookmarkEnd w:id="9"/>
    </w:p>
    <w:p w14:paraId="6ECA2F63"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Technological factors include advancements that enhance production efficiency, marketing effectiveness and distribution capabilities (Lynch, 2021, p. 112). Cadbury benefits from modern manufacturing technologies, automation and AI</w:t>
      </w:r>
      <w:r w:rsidRPr="00813058">
        <w:rPr>
          <w:rFonts w:eastAsia="Times New Roman" w:cs="Times New Roman"/>
          <w:kern w:val="0"/>
          <w:lang w:eastAsia="en-GB"/>
          <w14:ligatures w14:val="none"/>
        </w:rPr>
        <w:noBreakHyphen/>
        <w:t>driven consumer insights. Mondelēz has invested significantly in digital transformation, including data analytics, automated warehouses and e</w:t>
      </w:r>
      <w:r w:rsidRPr="00813058">
        <w:rPr>
          <w:rFonts w:eastAsia="Times New Roman" w:cs="Times New Roman"/>
          <w:kern w:val="0"/>
          <w:lang w:eastAsia="en-GB"/>
          <w14:ligatures w14:val="none"/>
        </w:rPr>
        <w:noBreakHyphen/>
        <w:t>commerce platforms, enabling Cadbury to optimise supply chain operations and engage consumers through personalised digital marketing (Mondelēz International, 2024, p. 12).</w:t>
      </w:r>
    </w:p>
    <w:p w14:paraId="5D88EC16"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10" w:name="_Toc236160649"/>
      <w:r w:rsidRPr="00813058">
        <w:rPr>
          <w:rFonts w:eastAsia="Times New Roman" w:cs="Times New Roman"/>
          <w:b/>
          <w:bCs/>
          <w:kern w:val="0"/>
          <w:sz w:val="27"/>
          <w:szCs w:val="27"/>
          <w:lang w:eastAsia="en-GB"/>
          <w14:ligatures w14:val="none"/>
        </w:rPr>
        <w:t>Environmental Factors</w:t>
      </w:r>
      <w:bookmarkEnd w:id="10"/>
    </w:p>
    <w:p w14:paraId="68D6033F"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Environmental factors involve sustainability, climate change and ecological regulations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 Cocoa farming is highly vulnerable to climate change, making sustainable sourcing essential for Cadbury’s long</w:t>
      </w:r>
      <w:r w:rsidRPr="00813058">
        <w:rPr>
          <w:rFonts w:eastAsia="Times New Roman" w:cs="Times New Roman"/>
          <w:kern w:val="0"/>
          <w:lang w:eastAsia="en-GB"/>
          <w14:ligatures w14:val="none"/>
        </w:rPr>
        <w:noBreakHyphen/>
        <w:t>term viability. The company is working to reduce its environmental footprint by improving packaging recyclability, reducing plastic usage and supporting climate</w:t>
      </w:r>
      <w:r w:rsidRPr="00813058">
        <w:rPr>
          <w:rFonts w:eastAsia="Times New Roman" w:cs="Times New Roman"/>
          <w:kern w:val="0"/>
          <w:lang w:eastAsia="en-GB"/>
          <w14:ligatures w14:val="none"/>
        </w:rPr>
        <w:noBreakHyphen/>
        <w:t>resilient farming practices through Cocoa Life (Cocoa Life, 2025). Environmental pressures are likely to intensify, requiring ongoing investment in sustainability.</w:t>
      </w:r>
    </w:p>
    <w:p w14:paraId="7547805E"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11" w:name="_Toc236160650"/>
      <w:r w:rsidRPr="00813058">
        <w:rPr>
          <w:rFonts w:eastAsia="Times New Roman" w:cs="Times New Roman"/>
          <w:b/>
          <w:bCs/>
          <w:kern w:val="0"/>
          <w:sz w:val="27"/>
          <w:szCs w:val="27"/>
          <w:lang w:eastAsia="en-GB"/>
          <w14:ligatures w14:val="none"/>
        </w:rPr>
        <w:t>Legal Factors</w:t>
      </w:r>
      <w:bookmarkEnd w:id="11"/>
    </w:p>
    <w:p w14:paraId="53149959"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Legal factors include food safety laws, advertising restrictions and employment regulations (Hitt et al., 2020, p. 58). Cadbury must comply with strict UK food safety standards, labelling requirements and advertising rules, particularly those related to marketing high</w:t>
      </w:r>
      <w:r w:rsidRPr="00813058">
        <w:rPr>
          <w:rFonts w:eastAsia="Times New Roman" w:cs="Times New Roman"/>
          <w:kern w:val="0"/>
          <w:lang w:eastAsia="en-GB"/>
          <w14:ligatures w14:val="none"/>
        </w:rPr>
        <w:noBreakHyphen/>
        <w:t>sugar products to children. Increasing legal scrutiny around sugar content and health claims may require reformulation or clearer communication strategies.</w:t>
      </w:r>
    </w:p>
    <w:p w14:paraId="4381C96B" w14:textId="77777777" w:rsidR="00C63A95" w:rsidRDefault="00C63A95"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2" w:name="_Toc236160651"/>
    </w:p>
    <w:p w14:paraId="27C9A4BE" w14:textId="77777777" w:rsidR="00660E40" w:rsidRDefault="00660E4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84BC745" w14:textId="4B7A2426" w:rsidR="009F450B" w:rsidRDefault="009F450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38137E">
        <w:rPr>
          <w:rFonts w:eastAsia="Times New Roman" w:cs="Times New Roman"/>
          <w:b/>
          <w:bCs/>
          <w:kern w:val="0"/>
          <w:sz w:val="36"/>
          <w:szCs w:val="36"/>
          <w:lang w:eastAsia="en-GB"/>
          <w14:ligatures w14:val="none"/>
        </w:rPr>
        <w:lastRenderedPageBreak/>
        <w:t>2.2 VRIO Analysis</w:t>
      </w:r>
      <w:bookmarkEnd w:id="12"/>
    </w:p>
    <w:p w14:paraId="5760A8E5" w14:textId="55BCEB97" w:rsidR="00144000" w:rsidRPr="0038137E" w:rsidRDefault="0014400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"https://www.thestrategyinstitute.org/images/vrio-framework.jpg" \* MERGEFORMATINET </w:instrText>
      </w:r>
      <w:r>
        <w:fldChar w:fldCharType="separate"/>
      </w:r>
      <w:r>
        <w:rPr>
          <w:noProof/>
        </w:rPr>
        <w:drawing>
          <wp:inline distT="0" distB="0" distL="0" distR="0" wp14:anchorId="13D2BAE6" wp14:editId="41397EA9">
            <wp:extent cx="5731510" cy="2895600"/>
            <wp:effectExtent l="0" t="0" r="0" b="0"/>
            <wp:docPr id="118925117" name="Picture 4" descr="Vrio Framework Barney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rio Framework Barney 19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95600"/>
                    </a:xfrm>
                    <a:prstGeom prst="rect">
                      <a:avLst/>
                    </a:prstGeom>
                    <a:noFill/>
                    <a:ln>
                      <a:noFill/>
                    </a:ln>
                  </pic:spPr>
                </pic:pic>
              </a:graphicData>
            </a:graphic>
          </wp:inline>
        </w:drawing>
      </w:r>
      <w:r>
        <w:fldChar w:fldCharType="end"/>
      </w:r>
    </w:p>
    <w:p w14:paraId="66C4199F" w14:textId="0C17D796" w:rsidR="00640C88" w:rsidRDefault="000936A2" w:rsidP="00640C88">
      <w:pPr>
        <w:spacing w:before="100" w:beforeAutospacing="1" w:after="100" w:afterAutospacing="1" w:line="360" w:lineRule="auto"/>
        <w:jc w:val="center"/>
        <w:outlineLvl w:val="2"/>
      </w:pPr>
      <w:bookmarkStart w:id="13" w:name="_Toc236160652"/>
      <w:r>
        <w:rPr>
          <w:rStyle w:val="Strong"/>
        </w:rPr>
        <w:t>Figure 2:</w:t>
      </w:r>
      <w:r>
        <w:t xml:space="preserve"> VRIO Framework Diagram</w:t>
      </w:r>
    </w:p>
    <w:p w14:paraId="73E01026" w14:textId="7DF2CD8A" w:rsidR="000936A2" w:rsidRPr="00640C88" w:rsidRDefault="000936A2" w:rsidP="00640C88">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640C88">
        <w:rPr>
          <w:rStyle w:val="Emphasis"/>
          <w:b/>
          <w:bCs/>
          <w:i w:val="0"/>
          <w:iCs w:val="0"/>
        </w:rPr>
        <w:t>Source</w:t>
      </w:r>
      <w:r>
        <w:rPr>
          <w:rStyle w:val="Emphasis"/>
        </w:rPr>
        <w:t xml:space="preserve">: </w:t>
      </w:r>
      <w:r w:rsidRPr="00640C88">
        <w:rPr>
          <w:rStyle w:val="Emphasis"/>
          <w:i w:val="0"/>
          <w:iCs w:val="0"/>
        </w:rPr>
        <w:t>Barney (1991)</w:t>
      </w:r>
    </w:p>
    <w:p w14:paraId="6E287708" w14:textId="0FD184CB" w:rsidR="009F450B" w:rsidRPr="00BF0C5D"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BF0C5D">
        <w:rPr>
          <w:rFonts w:eastAsia="Times New Roman" w:cs="Times New Roman"/>
          <w:b/>
          <w:bCs/>
          <w:kern w:val="0"/>
          <w:sz w:val="27"/>
          <w:szCs w:val="27"/>
          <w:lang w:eastAsia="en-GB"/>
          <w14:ligatures w14:val="none"/>
        </w:rPr>
        <w:t>Definition of VRIO</w:t>
      </w:r>
      <w:bookmarkEnd w:id="13"/>
    </w:p>
    <w:p w14:paraId="216B6D5D"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VRIO framework evaluates an organisation’s internal resources and capabilities based on four criteria: Value, Rarity, Imitability and Organisation. A resource can generate sustained competitive advantage when it meets all four criteria (Barney, 1991, p. 105).</w:t>
      </w:r>
    </w:p>
    <w:p w14:paraId="314F3B37" w14:textId="77777777"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14" w:name="_Toc236160653"/>
      <w:r w:rsidRPr="0038137E">
        <w:rPr>
          <w:rFonts w:eastAsia="Times New Roman" w:cs="Times New Roman"/>
          <w:b/>
          <w:bCs/>
          <w:kern w:val="0"/>
          <w:sz w:val="28"/>
          <w:szCs w:val="28"/>
          <w:lang w:eastAsia="en-GB"/>
          <w14:ligatures w14:val="none"/>
        </w:rPr>
        <w:t>2.2.1 Brand Equity</w:t>
      </w:r>
      <w:bookmarkEnd w:id="14"/>
    </w:p>
    <w:p w14:paraId="479F69D2"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brand equity is one of its most powerful internal strengths. Its heritage, distinctive purple branding and emotional advertising campaigns have created deep consumer loyalty. Kantar identifies Cadbury as the UK’s most chosen chocolate brand, demonstrating strong recognition and repeat purchasing (Kantar, 2025, p. 14).</w:t>
      </w:r>
    </w:p>
    <w:p w14:paraId="170C3C88" w14:textId="77777777" w:rsidR="00B257C8" w:rsidRDefault="00B257C8" w:rsidP="00813058">
      <w:pPr>
        <w:spacing w:before="100" w:beforeAutospacing="1" w:after="100" w:afterAutospacing="1" w:line="360" w:lineRule="auto"/>
        <w:outlineLvl w:val="2"/>
      </w:pPr>
      <w:bookmarkStart w:id="15" w:name="_Toc236160654"/>
      <w:r>
        <w:t xml:space="preserve">Cadbury’s brand heritage is valuable because it strengthens customer loyalty and supports premium pricing. It is also rare, as few competitors possess a comparable </w:t>
      </w:r>
      <w:r>
        <w:lastRenderedPageBreak/>
        <w:t>historical identity or emotional connection with consumers (Euromonitor, 2025, p. 41). The brand is highly inimitable due to its 200</w:t>
      </w:r>
      <w:r>
        <w:noBreakHyphen/>
        <w:t>year history, which cannot be replicated by other firms (Mondelēz International, 2024, p. 12). Cadbury is well organised to exploit this resource through ongoing investment in brand building and long</w:t>
      </w:r>
      <w:r>
        <w:noBreakHyphen/>
        <w:t>term marketing. Overall, these factors show that Cadbury’s heritage provides a sustained competitive advantage.</w:t>
      </w:r>
    </w:p>
    <w:p w14:paraId="1AAD56FB" w14:textId="3D7D9D67"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2.2.2 Distribution Network</w:t>
      </w:r>
      <w:bookmarkEnd w:id="15"/>
    </w:p>
    <w:p w14:paraId="06EEA165"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benefits from an extensive distribution network across supermarkets, convenience stores, petrol stations and online platforms. Mintel highlights Cadbury’s strong retail penetration (Mintel, 2025, p. 22).</w:t>
      </w:r>
    </w:p>
    <w:p w14:paraId="4E93F0E6" w14:textId="77777777" w:rsidR="004B53F6" w:rsidRDefault="004B53F6" w:rsidP="00813058">
      <w:pPr>
        <w:spacing w:before="100" w:beforeAutospacing="1" w:after="100" w:afterAutospacing="1" w:line="360" w:lineRule="auto"/>
        <w:outlineLvl w:val="2"/>
      </w:pPr>
      <w:bookmarkStart w:id="16" w:name="_Toc236160655"/>
      <w:r>
        <w:t>Cadbury’s distribution network is valuable because it improves product accessibility and supports higher sales volumes across retail channels. However, it is not rare, as many competitors also operate strong distribution systems (Euromonitor, 2025, p. 44). It is likewise not inimitable, since logistics partnerships can be replicated by other firms (Grant, 2021, p. 67). Even so, Cadbury remains well organised through efficient logistics operations and long</w:t>
      </w:r>
      <w:r>
        <w:noBreakHyphen/>
        <w:t>standing retailer relationships. Overall, this capability offers only a temporary competitive advantage.</w:t>
      </w:r>
    </w:p>
    <w:p w14:paraId="2918ED5E" w14:textId="10029828"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2.2.3 Product Innovation Capability</w:t>
      </w:r>
      <w:bookmarkEnd w:id="16"/>
    </w:p>
    <w:p w14:paraId="3C56E70C"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frequently launches new flavours, seasonal products and limited editions. Innovation is essential in the mature UK chocolate market (Euromonitor, 2025, p. 41).</w:t>
      </w:r>
    </w:p>
    <w:p w14:paraId="5BF74DA9" w14:textId="77777777" w:rsidR="00494498" w:rsidRDefault="00494498" w:rsidP="00813058">
      <w:pPr>
        <w:spacing w:before="100" w:beforeAutospacing="1" w:after="100" w:afterAutospacing="1" w:line="360" w:lineRule="auto"/>
        <w:outlineLvl w:val="2"/>
      </w:pPr>
      <w:bookmarkStart w:id="17" w:name="_Toc236160656"/>
      <w:r>
        <w:t xml:space="preserve">Cadbury’s innovation capability is valuable because it helps the company respond to changing consumer preferences and remain competitive. However, it is not rare, as many rivals also invest in product development and frequently launch new variations (Mintel, 2025, p. 33). It is likewise not inimitable, since product ideas can be copied or adapted by other firms (Kotler &amp; Keller, 2020, p. 89). Even so, Cadbury is well organised through strong R&amp;D teams and coordinated marketing that support efficient product </w:t>
      </w:r>
      <w:r>
        <w:lastRenderedPageBreak/>
        <w:t>launches. Overall, this capability leads to competitive parity rather than a sustained advantage.</w:t>
      </w:r>
    </w:p>
    <w:p w14:paraId="31A2BCBF" w14:textId="42DE0F21"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2.2.4 Cocoa Life Sustainability Programme</w:t>
      </w:r>
      <w:bookmarkEnd w:id="17"/>
    </w:p>
    <w:p w14:paraId="4B2FB916"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Cocoa Life programme supports ethical sourcing and environmental protection. It is one of the largest sustainability initiatives in the industry (Cocoa Life, 2025, p. 22).</w:t>
      </w:r>
    </w:p>
    <w:p w14:paraId="7F79E663" w14:textId="77777777" w:rsidR="00691C24" w:rsidRPr="00691C24" w:rsidRDefault="00691C24" w:rsidP="00691C24">
      <w:pPr>
        <w:pStyle w:val="NormalWeb"/>
        <w:spacing w:line="360" w:lineRule="auto"/>
        <w:rPr>
          <w:rFonts w:asciiTheme="minorHAnsi" w:hAnsiTheme="minorHAnsi"/>
        </w:rPr>
      </w:pPr>
      <w:bookmarkStart w:id="18" w:name="_Toc236160657"/>
      <w:r w:rsidRPr="00691C24">
        <w:rPr>
          <w:rFonts w:asciiTheme="minorHAnsi" w:hAnsiTheme="minorHAnsi"/>
        </w:rPr>
        <w:t>Cadbury’s ethical sourcing and community partnerships are valuable because they align with growing consumer expectations for responsible and sustainable business practices (Fairtrade Foundation, 2025, p. 12). However, this capability is only partially rare, as several competitors have introduced similar programmes. It is moderately inimitable, since long</w:t>
      </w:r>
      <w:r w:rsidRPr="00691C24">
        <w:rPr>
          <w:rFonts w:asciiTheme="minorHAnsi" w:hAnsiTheme="minorHAnsi"/>
        </w:rPr>
        <w:noBreakHyphen/>
        <w:t xml:space="preserve">term community relationships and sustainability commitments are harder for rivals to replicate quickly or authentically (Bansal &amp; </w:t>
      </w:r>
      <w:proofErr w:type="spellStart"/>
      <w:r w:rsidRPr="00691C24">
        <w:rPr>
          <w:rFonts w:asciiTheme="minorHAnsi" w:hAnsiTheme="minorHAnsi"/>
        </w:rPr>
        <w:t>DesJardine</w:t>
      </w:r>
      <w:proofErr w:type="spellEnd"/>
      <w:r w:rsidRPr="00691C24">
        <w:rPr>
          <w:rFonts w:asciiTheme="minorHAnsi" w:hAnsiTheme="minorHAnsi"/>
        </w:rPr>
        <w:t>, 2022, p. 73). Cadbury is well organised in this area, with these initiatives embedded within Mondelēz’s global strategy and supported by structured responsibility frameworks. Overall, this capability provides a moderate competitive advantage.</w:t>
      </w:r>
    </w:p>
    <w:p w14:paraId="3EF6C00A" w14:textId="4FAA8969"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2.2.5 Emotional Marketing Capability</w:t>
      </w:r>
      <w:bookmarkEnd w:id="18"/>
    </w:p>
    <w:p w14:paraId="17D250DF" w14:textId="77777777" w:rsidR="009348BE" w:rsidRDefault="00B07B2C" w:rsidP="00B07B2C">
      <w:pPr>
        <w:spacing w:before="100" w:beforeAutospacing="1" w:after="100" w:afterAutospacing="1" w:line="360" w:lineRule="auto"/>
      </w:pPr>
      <w:r>
        <w:t xml:space="preserve">Cadbury’s emotional storytelling, particularly through campaigns such as the “Glass and a Half” initiative, creates strong consumer resonance and strengthens emotional brand attachment (Batra, </w:t>
      </w:r>
      <w:proofErr w:type="spellStart"/>
      <w:r>
        <w:t>Ahuvia</w:t>
      </w:r>
      <w:proofErr w:type="spellEnd"/>
      <w:r>
        <w:t xml:space="preserve"> and Bagozzi, 2012; Thompson, Rindfleisch and </w:t>
      </w:r>
      <w:proofErr w:type="spellStart"/>
      <w:r>
        <w:t>Arsel</w:t>
      </w:r>
      <w:proofErr w:type="spellEnd"/>
      <w:r>
        <w:t>, 2006).</w:t>
      </w:r>
    </w:p>
    <w:p w14:paraId="3D071C5E" w14:textId="4606C2F9" w:rsidR="00660E40" w:rsidRDefault="007F029A" w:rsidP="00813058">
      <w:pPr>
        <w:spacing w:before="100" w:beforeAutospacing="1" w:after="100" w:afterAutospacing="1" w:line="360" w:lineRule="auto"/>
        <w:rPr>
          <w:rFonts w:cs="Times New Roman"/>
          <w:b/>
          <w:bCs/>
          <w:sz w:val="28"/>
          <w:szCs w:val="28"/>
        </w:rPr>
      </w:pPr>
      <w:r>
        <w:t>Cadbury’s emotional storytelling, seen in campaigns like the “Glass and a Half” initiative, is valuable because it strengthens consumer loyalty and deepens emotional attachment to the brand (Kantar, 2025, p. 14). This capability is rare, as few competitors achieve similar emotional impact or brand resonance (Euromonitor, 2025, p. 41). It is also highly inimitable, since heritage</w:t>
      </w:r>
      <w:r>
        <w:noBreakHyphen/>
        <w:t xml:space="preserve">based storytelling rooted in Cadbury’s long history is difficult for other firms to replicate authentically (Mondelēz International, 2024, p. 12). Cadbury is well organised to support this capability through consistent investment in </w:t>
      </w:r>
      <w:r>
        <w:lastRenderedPageBreak/>
        <w:t>creative marketing and long</w:t>
      </w:r>
      <w:r>
        <w:noBreakHyphen/>
        <w:t>term brand building. Overall, this results in a sustained competitive advantage.</w:t>
      </w:r>
    </w:p>
    <w:p w14:paraId="0DA678A4" w14:textId="0C08F716" w:rsidR="001D6924" w:rsidRPr="00D875F5" w:rsidRDefault="001D6924" w:rsidP="00813058">
      <w:pPr>
        <w:spacing w:before="100" w:beforeAutospacing="1" w:after="100" w:afterAutospacing="1" w:line="360" w:lineRule="auto"/>
        <w:rPr>
          <w:rFonts w:eastAsia="Times New Roman" w:cs="Times New Roman"/>
          <w:b/>
          <w:bCs/>
          <w:kern w:val="0"/>
          <w:sz w:val="28"/>
          <w:szCs w:val="28"/>
          <w:lang w:eastAsia="en-GB"/>
          <w14:ligatures w14:val="none"/>
        </w:rPr>
      </w:pPr>
      <w:r w:rsidRPr="00D875F5">
        <w:rPr>
          <w:rFonts w:cs="Times New Roman"/>
          <w:b/>
          <w:bCs/>
          <w:sz w:val="28"/>
          <w:szCs w:val="28"/>
        </w:rPr>
        <w:t>2.2.6 VRIO Summary Table</w:t>
      </w:r>
    </w:p>
    <w:tbl>
      <w:tblPr>
        <w:tblStyle w:val="TableGrid"/>
        <w:tblW w:w="9351" w:type="dxa"/>
        <w:tblLook w:val="04A0" w:firstRow="1" w:lastRow="0" w:firstColumn="1" w:lastColumn="0" w:noHBand="0" w:noVBand="1"/>
      </w:tblPr>
      <w:tblGrid>
        <w:gridCol w:w="1435"/>
        <w:gridCol w:w="1171"/>
        <w:gridCol w:w="878"/>
        <w:gridCol w:w="1331"/>
        <w:gridCol w:w="1330"/>
        <w:gridCol w:w="1483"/>
        <w:gridCol w:w="1723"/>
      </w:tblGrid>
      <w:tr w:rsidR="004C037A" w:rsidRPr="00813058" w14:paraId="71276FAA" w14:textId="77777777" w:rsidTr="00840C56">
        <w:trPr>
          <w:trHeight w:val="1481"/>
        </w:trPr>
        <w:tc>
          <w:tcPr>
            <w:tcW w:w="1409" w:type="dxa"/>
          </w:tcPr>
          <w:p w14:paraId="4F3D0A65" w14:textId="77777777" w:rsidR="00FC540A" w:rsidRPr="00813058" w:rsidRDefault="00FC540A" w:rsidP="00813058">
            <w:pPr>
              <w:spacing w:line="360" w:lineRule="auto"/>
              <w:rPr>
                <w:b/>
                <w:bCs/>
              </w:rPr>
            </w:pPr>
          </w:p>
          <w:p w14:paraId="59E88EBB" w14:textId="77777777" w:rsidR="004C037A" w:rsidRPr="00813058" w:rsidRDefault="009E2742" w:rsidP="00813058">
            <w:pPr>
              <w:spacing w:line="360" w:lineRule="auto"/>
              <w:rPr>
                <w:b/>
                <w:bCs/>
              </w:rPr>
            </w:pPr>
            <w:r w:rsidRPr="00813058">
              <w:rPr>
                <w:b/>
                <w:bCs/>
              </w:rPr>
              <w:t>Resource / Capability</w:t>
            </w:r>
          </w:p>
          <w:p w14:paraId="01C8F928" w14:textId="38CDEE55" w:rsidR="00FC540A" w:rsidRPr="00813058" w:rsidRDefault="00FC540A" w:rsidP="00813058">
            <w:pPr>
              <w:spacing w:line="360" w:lineRule="auto"/>
              <w:rPr>
                <w:b/>
                <w:bCs/>
              </w:rPr>
            </w:pPr>
          </w:p>
        </w:tc>
        <w:tc>
          <w:tcPr>
            <w:tcW w:w="1152" w:type="dxa"/>
          </w:tcPr>
          <w:p w14:paraId="46CFA47A" w14:textId="77777777" w:rsidR="00FC540A" w:rsidRPr="00813058" w:rsidRDefault="00FC540A" w:rsidP="00813058">
            <w:pPr>
              <w:spacing w:line="360" w:lineRule="auto"/>
              <w:rPr>
                <w:b/>
                <w:bCs/>
              </w:rPr>
            </w:pPr>
          </w:p>
          <w:p w14:paraId="160B2031" w14:textId="1A339BAD" w:rsidR="004C037A" w:rsidRPr="00813058" w:rsidRDefault="00C95165" w:rsidP="00813058">
            <w:pPr>
              <w:spacing w:line="360" w:lineRule="auto"/>
              <w:rPr>
                <w:b/>
                <w:bCs/>
              </w:rPr>
            </w:pPr>
            <w:r w:rsidRPr="00813058">
              <w:rPr>
                <w:b/>
                <w:bCs/>
              </w:rPr>
              <w:t>Valua</w:t>
            </w:r>
            <w:r w:rsidR="00730310" w:rsidRPr="00813058">
              <w:rPr>
                <w:b/>
                <w:bCs/>
              </w:rPr>
              <w:t>bl</w:t>
            </w:r>
            <w:r w:rsidRPr="00813058">
              <w:rPr>
                <w:b/>
                <w:bCs/>
              </w:rPr>
              <w:t>e</w:t>
            </w:r>
          </w:p>
        </w:tc>
        <w:tc>
          <w:tcPr>
            <w:tcW w:w="865" w:type="dxa"/>
          </w:tcPr>
          <w:p w14:paraId="25C8631E" w14:textId="77777777" w:rsidR="00FC540A" w:rsidRPr="00813058" w:rsidRDefault="00FC540A" w:rsidP="00813058">
            <w:pPr>
              <w:spacing w:line="360" w:lineRule="auto"/>
              <w:rPr>
                <w:b/>
                <w:bCs/>
              </w:rPr>
            </w:pPr>
          </w:p>
          <w:p w14:paraId="43DEB52B" w14:textId="54C507C8" w:rsidR="004C037A" w:rsidRPr="00813058" w:rsidRDefault="00C95165" w:rsidP="00813058">
            <w:pPr>
              <w:spacing w:line="360" w:lineRule="auto"/>
              <w:rPr>
                <w:b/>
                <w:bCs/>
              </w:rPr>
            </w:pPr>
            <w:r w:rsidRPr="00813058">
              <w:rPr>
                <w:b/>
                <w:bCs/>
              </w:rPr>
              <w:t>Rare</w:t>
            </w:r>
          </w:p>
        </w:tc>
        <w:tc>
          <w:tcPr>
            <w:tcW w:w="1309" w:type="dxa"/>
          </w:tcPr>
          <w:p w14:paraId="788EBE63" w14:textId="77777777" w:rsidR="00FC540A" w:rsidRPr="00813058" w:rsidRDefault="00FC540A" w:rsidP="00813058">
            <w:pPr>
              <w:spacing w:line="360" w:lineRule="auto"/>
              <w:rPr>
                <w:b/>
                <w:bCs/>
              </w:rPr>
            </w:pPr>
          </w:p>
          <w:p w14:paraId="51D91A65" w14:textId="138F391D" w:rsidR="004C037A" w:rsidRPr="00813058" w:rsidRDefault="0095543B" w:rsidP="00813058">
            <w:pPr>
              <w:spacing w:line="360" w:lineRule="auto"/>
              <w:rPr>
                <w:b/>
                <w:bCs/>
              </w:rPr>
            </w:pPr>
            <w:r w:rsidRPr="00813058">
              <w:rPr>
                <w:b/>
                <w:bCs/>
              </w:rPr>
              <w:t>Inimitable</w:t>
            </w:r>
          </w:p>
        </w:tc>
        <w:tc>
          <w:tcPr>
            <w:tcW w:w="1308" w:type="dxa"/>
          </w:tcPr>
          <w:p w14:paraId="5F05D521" w14:textId="77777777" w:rsidR="00FC540A" w:rsidRPr="00813058" w:rsidRDefault="00FC540A" w:rsidP="00813058">
            <w:pPr>
              <w:spacing w:line="360" w:lineRule="auto"/>
              <w:rPr>
                <w:b/>
                <w:bCs/>
              </w:rPr>
            </w:pPr>
          </w:p>
          <w:p w14:paraId="10D6847D" w14:textId="172AC64A" w:rsidR="004C037A" w:rsidRPr="00813058" w:rsidRDefault="0095543B" w:rsidP="00813058">
            <w:pPr>
              <w:spacing w:line="360" w:lineRule="auto"/>
              <w:rPr>
                <w:b/>
                <w:bCs/>
              </w:rPr>
            </w:pPr>
            <w:r w:rsidRPr="00813058">
              <w:rPr>
                <w:b/>
                <w:bCs/>
              </w:rPr>
              <w:t>Organised</w:t>
            </w:r>
          </w:p>
        </w:tc>
        <w:tc>
          <w:tcPr>
            <w:tcW w:w="1458" w:type="dxa"/>
          </w:tcPr>
          <w:p w14:paraId="6CB10F1F" w14:textId="77777777" w:rsidR="00FC540A" w:rsidRPr="00813058" w:rsidRDefault="00FC540A" w:rsidP="00813058">
            <w:pPr>
              <w:spacing w:line="360" w:lineRule="auto"/>
              <w:rPr>
                <w:b/>
                <w:bCs/>
              </w:rPr>
            </w:pPr>
          </w:p>
          <w:p w14:paraId="10A56330" w14:textId="7DCE416E" w:rsidR="004C037A" w:rsidRPr="00813058" w:rsidRDefault="0095543B" w:rsidP="00813058">
            <w:pPr>
              <w:spacing w:line="360" w:lineRule="auto"/>
              <w:rPr>
                <w:b/>
                <w:bCs/>
              </w:rPr>
            </w:pPr>
            <w:r w:rsidRPr="00813058">
              <w:rPr>
                <w:b/>
                <w:bCs/>
              </w:rPr>
              <w:t>Outcome</w:t>
            </w:r>
          </w:p>
        </w:tc>
        <w:tc>
          <w:tcPr>
            <w:tcW w:w="1850" w:type="dxa"/>
          </w:tcPr>
          <w:p w14:paraId="4BF2C372" w14:textId="77777777" w:rsidR="00FC540A" w:rsidRPr="00813058" w:rsidRDefault="00FC540A" w:rsidP="00813058">
            <w:pPr>
              <w:spacing w:line="360" w:lineRule="auto"/>
              <w:rPr>
                <w:b/>
                <w:bCs/>
              </w:rPr>
            </w:pPr>
          </w:p>
          <w:p w14:paraId="33DAEF9F" w14:textId="5F9E0355" w:rsidR="004C037A" w:rsidRPr="00813058" w:rsidRDefault="0095543B" w:rsidP="00813058">
            <w:pPr>
              <w:spacing w:line="360" w:lineRule="auto"/>
              <w:rPr>
                <w:b/>
                <w:bCs/>
              </w:rPr>
            </w:pPr>
            <w:r w:rsidRPr="00813058">
              <w:rPr>
                <w:b/>
                <w:bCs/>
              </w:rPr>
              <w:t>Reference</w:t>
            </w:r>
          </w:p>
        </w:tc>
      </w:tr>
      <w:tr w:rsidR="004C037A" w:rsidRPr="00813058" w14:paraId="45EBB6F7" w14:textId="77777777" w:rsidTr="00840C56">
        <w:tc>
          <w:tcPr>
            <w:tcW w:w="1409" w:type="dxa"/>
          </w:tcPr>
          <w:p w14:paraId="41ABBEA3" w14:textId="77777777" w:rsidR="00FC540A" w:rsidRPr="00813058" w:rsidRDefault="00FC540A" w:rsidP="00813058">
            <w:pPr>
              <w:spacing w:line="360" w:lineRule="auto"/>
            </w:pPr>
          </w:p>
          <w:p w14:paraId="1A8D22EE" w14:textId="77777777" w:rsidR="004C037A" w:rsidRPr="00813058" w:rsidRDefault="008B7CFF" w:rsidP="00813058">
            <w:pPr>
              <w:spacing w:line="360" w:lineRule="auto"/>
            </w:pPr>
            <w:r w:rsidRPr="00813058">
              <w:t>Brand Equity</w:t>
            </w:r>
          </w:p>
          <w:p w14:paraId="10F3C2D9" w14:textId="3B40D803" w:rsidR="00FC540A" w:rsidRPr="00813058" w:rsidRDefault="00FC540A" w:rsidP="00813058">
            <w:pPr>
              <w:spacing w:line="360" w:lineRule="auto"/>
            </w:pPr>
          </w:p>
        </w:tc>
        <w:tc>
          <w:tcPr>
            <w:tcW w:w="1152" w:type="dxa"/>
          </w:tcPr>
          <w:p w14:paraId="78948265" w14:textId="77777777" w:rsidR="004C037A" w:rsidRPr="00813058" w:rsidRDefault="004C037A" w:rsidP="00813058">
            <w:pPr>
              <w:spacing w:line="360" w:lineRule="auto"/>
            </w:pPr>
          </w:p>
          <w:p w14:paraId="4A890798" w14:textId="278E854F" w:rsidR="00CE4D3B" w:rsidRPr="00813058" w:rsidRDefault="00C631CB" w:rsidP="00813058">
            <w:pPr>
              <w:spacing w:line="360" w:lineRule="auto"/>
            </w:pPr>
            <w:r w:rsidRPr="00813058">
              <w:t>Yes</w:t>
            </w:r>
          </w:p>
          <w:p w14:paraId="1A0139FA" w14:textId="77777777" w:rsidR="00C631CB" w:rsidRPr="00813058" w:rsidRDefault="00C631CB" w:rsidP="00813058">
            <w:pPr>
              <w:spacing w:line="360" w:lineRule="auto"/>
            </w:pPr>
          </w:p>
          <w:p w14:paraId="7286BC7F" w14:textId="7CADF22F" w:rsidR="00C631CB" w:rsidRPr="00813058" w:rsidRDefault="00C631CB" w:rsidP="00813058">
            <w:pPr>
              <w:spacing w:line="360" w:lineRule="auto"/>
            </w:pPr>
          </w:p>
        </w:tc>
        <w:tc>
          <w:tcPr>
            <w:tcW w:w="865" w:type="dxa"/>
          </w:tcPr>
          <w:p w14:paraId="51CD45BB" w14:textId="77777777" w:rsidR="004C037A" w:rsidRPr="00813058" w:rsidRDefault="004C037A" w:rsidP="00813058">
            <w:pPr>
              <w:spacing w:line="360" w:lineRule="auto"/>
            </w:pPr>
          </w:p>
          <w:p w14:paraId="35FA40C9" w14:textId="21FD29FB" w:rsidR="00D238E2" w:rsidRPr="00813058" w:rsidRDefault="00D238E2" w:rsidP="00813058">
            <w:pPr>
              <w:spacing w:line="360" w:lineRule="auto"/>
            </w:pPr>
            <w:r w:rsidRPr="00813058">
              <w:t xml:space="preserve">Yes </w:t>
            </w:r>
          </w:p>
        </w:tc>
        <w:tc>
          <w:tcPr>
            <w:tcW w:w="1309" w:type="dxa"/>
          </w:tcPr>
          <w:p w14:paraId="0E54DCB4" w14:textId="77777777" w:rsidR="004C037A" w:rsidRPr="00813058" w:rsidRDefault="004C037A" w:rsidP="00813058">
            <w:pPr>
              <w:spacing w:line="360" w:lineRule="auto"/>
            </w:pPr>
          </w:p>
          <w:p w14:paraId="5C942108" w14:textId="3EF8F735" w:rsidR="002F3A6E" w:rsidRPr="00813058" w:rsidRDefault="002F3A6E" w:rsidP="00813058">
            <w:pPr>
              <w:spacing w:line="360" w:lineRule="auto"/>
            </w:pPr>
            <w:r w:rsidRPr="00813058">
              <w:t xml:space="preserve">Yes </w:t>
            </w:r>
          </w:p>
        </w:tc>
        <w:tc>
          <w:tcPr>
            <w:tcW w:w="1308" w:type="dxa"/>
          </w:tcPr>
          <w:p w14:paraId="78510597" w14:textId="77777777" w:rsidR="004C037A" w:rsidRPr="00813058" w:rsidRDefault="004C037A" w:rsidP="00813058">
            <w:pPr>
              <w:spacing w:line="360" w:lineRule="auto"/>
            </w:pPr>
          </w:p>
          <w:p w14:paraId="39C40AB8" w14:textId="4348914E" w:rsidR="002F3A6E" w:rsidRPr="00813058" w:rsidRDefault="002F3A6E" w:rsidP="00813058">
            <w:pPr>
              <w:spacing w:line="360" w:lineRule="auto"/>
            </w:pPr>
            <w:r w:rsidRPr="00813058">
              <w:t xml:space="preserve">Yes </w:t>
            </w:r>
          </w:p>
        </w:tc>
        <w:tc>
          <w:tcPr>
            <w:tcW w:w="1458" w:type="dxa"/>
          </w:tcPr>
          <w:p w14:paraId="242F51DB" w14:textId="77777777" w:rsidR="004C037A" w:rsidRPr="00813058" w:rsidRDefault="004C037A" w:rsidP="00813058">
            <w:pPr>
              <w:spacing w:line="360" w:lineRule="auto"/>
            </w:pPr>
          </w:p>
          <w:p w14:paraId="30DC1461" w14:textId="25E4E333" w:rsidR="00BA7943" w:rsidRPr="00813058" w:rsidRDefault="00BA7943" w:rsidP="00813058">
            <w:pPr>
              <w:spacing w:line="360" w:lineRule="auto"/>
            </w:pPr>
            <w:r w:rsidRPr="00813058">
              <w:t>Sustained Advantage</w:t>
            </w:r>
          </w:p>
        </w:tc>
        <w:tc>
          <w:tcPr>
            <w:tcW w:w="1850" w:type="dxa"/>
          </w:tcPr>
          <w:p w14:paraId="7CEC8713" w14:textId="77777777" w:rsidR="004C037A" w:rsidRPr="00813058" w:rsidRDefault="004C037A" w:rsidP="00813058">
            <w:pPr>
              <w:spacing w:line="360" w:lineRule="auto"/>
            </w:pPr>
          </w:p>
          <w:p w14:paraId="4D4077F5" w14:textId="77777777" w:rsidR="007F6535" w:rsidRPr="00813058" w:rsidRDefault="00012011" w:rsidP="00813058">
            <w:pPr>
              <w:spacing w:line="360" w:lineRule="auto"/>
            </w:pPr>
            <w:r w:rsidRPr="00813058">
              <w:t>Kantar (2025, p. 14)</w:t>
            </w:r>
          </w:p>
          <w:p w14:paraId="0606976C" w14:textId="6498D20C" w:rsidR="00012011" w:rsidRPr="00813058" w:rsidRDefault="00012011" w:rsidP="00813058">
            <w:pPr>
              <w:spacing w:line="360" w:lineRule="auto"/>
            </w:pPr>
          </w:p>
        </w:tc>
      </w:tr>
      <w:tr w:rsidR="004C037A" w:rsidRPr="00813058" w14:paraId="05621CFE" w14:textId="77777777" w:rsidTr="00840C56">
        <w:tc>
          <w:tcPr>
            <w:tcW w:w="1409" w:type="dxa"/>
          </w:tcPr>
          <w:p w14:paraId="11C80BE1" w14:textId="77777777" w:rsidR="00FC540A" w:rsidRPr="00813058" w:rsidRDefault="00FC540A" w:rsidP="00813058">
            <w:pPr>
              <w:spacing w:line="360" w:lineRule="auto"/>
            </w:pPr>
          </w:p>
          <w:p w14:paraId="3DBDE6B7" w14:textId="77777777" w:rsidR="004C037A" w:rsidRPr="00813058" w:rsidRDefault="008B7CFF" w:rsidP="00813058">
            <w:pPr>
              <w:spacing w:line="360" w:lineRule="auto"/>
            </w:pPr>
            <w:r w:rsidRPr="00813058">
              <w:t>Distribution Network</w:t>
            </w:r>
          </w:p>
          <w:p w14:paraId="7ED70C6D" w14:textId="3381B34B" w:rsidR="00FC540A" w:rsidRPr="00813058" w:rsidRDefault="00FC540A" w:rsidP="00813058">
            <w:pPr>
              <w:spacing w:line="360" w:lineRule="auto"/>
            </w:pPr>
          </w:p>
        </w:tc>
        <w:tc>
          <w:tcPr>
            <w:tcW w:w="1152" w:type="dxa"/>
          </w:tcPr>
          <w:p w14:paraId="3E546319" w14:textId="77777777" w:rsidR="004C037A" w:rsidRPr="00813058" w:rsidRDefault="004C037A" w:rsidP="00813058">
            <w:pPr>
              <w:spacing w:line="360" w:lineRule="auto"/>
            </w:pPr>
          </w:p>
          <w:p w14:paraId="1B04A49D" w14:textId="691DA065" w:rsidR="00C631CB" w:rsidRPr="00813058" w:rsidRDefault="00C631CB" w:rsidP="00813058">
            <w:pPr>
              <w:spacing w:line="360" w:lineRule="auto"/>
            </w:pPr>
            <w:r w:rsidRPr="00813058">
              <w:t xml:space="preserve">Yes </w:t>
            </w:r>
          </w:p>
        </w:tc>
        <w:tc>
          <w:tcPr>
            <w:tcW w:w="865" w:type="dxa"/>
          </w:tcPr>
          <w:p w14:paraId="22268844" w14:textId="77777777" w:rsidR="004C037A" w:rsidRPr="00813058" w:rsidRDefault="004C037A" w:rsidP="00813058">
            <w:pPr>
              <w:spacing w:line="360" w:lineRule="auto"/>
            </w:pPr>
          </w:p>
          <w:p w14:paraId="1C2BEDFC" w14:textId="061DD321" w:rsidR="00D238E2" w:rsidRPr="00813058" w:rsidRDefault="00D238E2" w:rsidP="00813058">
            <w:pPr>
              <w:spacing w:line="360" w:lineRule="auto"/>
            </w:pPr>
            <w:r w:rsidRPr="00813058">
              <w:t xml:space="preserve">No </w:t>
            </w:r>
          </w:p>
        </w:tc>
        <w:tc>
          <w:tcPr>
            <w:tcW w:w="1309" w:type="dxa"/>
          </w:tcPr>
          <w:p w14:paraId="10197DF4" w14:textId="77777777" w:rsidR="004C037A" w:rsidRPr="00813058" w:rsidRDefault="004C037A" w:rsidP="00813058">
            <w:pPr>
              <w:spacing w:line="360" w:lineRule="auto"/>
            </w:pPr>
          </w:p>
          <w:p w14:paraId="5C5592F2" w14:textId="32203151" w:rsidR="002F3A6E" w:rsidRPr="00813058" w:rsidRDefault="002F3A6E" w:rsidP="00813058">
            <w:pPr>
              <w:spacing w:line="360" w:lineRule="auto"/>
            </w:pPr>
            <w:r w:rsidRPr="00813058">
              <w:t xml:space="preserve">No </w:t>
            </w:r>
          </w:p>
        </w:tc>
        <w:tc>
          <w:tcPr>
            <w:tcW w:w="1308" w:type="dxa"/>
          </w:tcPr>
          <w:p w14:paraId="756E7518" w14:textId="77777777" w:rsidR="002F3A6E" w:rsidRPr="00813058" w:rsidRDefault="002F3A6E" w:rsidP="00813058">
            <w:pPr>
              <w:spacing w:line="360" w:lineRule="auto"/>
            </w:pPr>
          </w:p>
          <w:p w14:paraId="59F322CE" w14:textId="7CE84365" w:rsidR="004C037A" w:rsidRPr="00813058" w:rsidRDefault="002F3A6E" w:rsidP="00813058">
            <w:pPr>
              <w:spacing w:line="360" w:lineRule="auto"/>
            </w:pPr>
            <w:r w:rsidRPr="00813058">
              <w:t xml:space="preserve"> Yes </w:t>
            </w:r>
          </w:p>
        </w:tc>
        <w:tc>
          <w:tcPr>
            <w:tcW w:w="1458" w:type="dxa"/>
          </w:tcPr>
          <w:p w14:paraId="3E9FCD58" w14:textId="77777777" w:rsidR="004C037A" w:rsidRPr="00813058" w:rsidRDefault="004C037A" w:rsidP="00813058">
            <w:pPr>
              <w:spacing w:line="360" w:lineRule="auto"/>
            </w:pPr>
          </w:p>
          <w:p w14:paraId="5F8B3152" w14:textId="05BADAAA" w:rsidR="00BA7943" w:rsidRPr="00813058" w:rsidRDefault="005C0CB7" w:rsidP="00813058">
            <w:pPr>
              <w:spacing w:line="360" w:lineRule="auto"/>
            </w:pPr>
            <w:r w:rsidRPr="00813058">
              <w:t>Temporary Advantage</w:t>
            </w:r>
          </w:p>
        </w:tc>
        <w:tc>
          <w:tcPr>
            <w:tcW w:w="1850" w:type="dxa"/>
          </w:tcPr>
          <w:p w14:paraId="5F99B40E" w14:textId="77777777" w:rsidR="004C037A" w:rsidRPr="00813058" w:rsidRDefault="004C037A" w:rsidP="00813058">
            <w:pPr>
              <w:spacing w:line="360" w:lineRule="auto"/>
            </w:pPr>
          </w:p>
          <w:p w14:paraId="2EB588D6" w14:textId="77777777" w:rsidR="00012011" w:rsidRPr="00813058" w:rsidRDefault="00107ECC" w:rsidP="00813058">
            <w:pPr>
              <w:spacing w:line="360" w:lineRule="auto"/>
            </w:pPr>
            <w:r w:rsidRPr="00813058">
              <w:t>Mintel (2025, p. 22)</w:t>
            </w:r>
          </w:p>
          <w:p w14:paraId="79EFF39F" w14:textId="2797A954" w:rsidR="00107ECC" w:rsidRPr="00813058" w:rsidRDefault="00107ECC" w:rsidP="00813058">
            <w:pPr>
              <w:spacing w:line="360" w:lineRule="auto"/>
            </w:pPr>
          </w:p>
        </w:tc>
      </w:tr>
      <w:tr w:rsidR="004C037A" w:rsidRPr="00813058" w14:paraId="72295E4E" w14:textId="77777777" w:rsidTr="00840C56">
        <w:tc>
          <w:tcPr>
            <w:tcW w:w="1409" w:type="dxa"/>
          </w:tcPr>
          <w:p w14:paraId="3BE349FE" w14:textId="77777777" w:rsidR="00FC540A" w:rsidRPr="00813058" w:rsidRDefault="00FC540A" w:rsidP="00813058">
            <w:pPr>
              <w:spacing w:line="360" w:lineRule="auto"/>
            </w:pPr>
          </w:p>
          <w:p w14:paraId="558B72DC" w14:textId="77777777" w:rsidR="004C037A" w:rsidRPr="00813058" w:rsidRDefault="008B7CFF" w:rsidP="00813058">
            <w:pPr>
              <w:spacing w:line="360" w:lineRule="auto"/>
            </w:pPr>
            <w:r w:rsidRPr="00813058">
              <w:t>Product Innovation</w:t>
            </w:r>
          </w:p>
          <w:p w14:paraId="1FFEE3EA" w14:textId="3948E0C2" w:rsidR="00FC540A" w:rsidRPr="00813058" w:rsidRDefault="00FC540A" w:rsidP="00813058">
            <w:pPr>
              <w:spacing w:line="360" w:lineRule="auto"/>
            </w:pPr>
          </w:p>
        </w:tc>
        <w:tc>
          <w:tcPr>
            <w:tcW w:w="1152" w:type="dxa"/>
          </w:tcPr>
          <w:p w14:paraId="5EC11A1A" w14:textId="77777777" w:rsidR="00C631CB" w:rsidRPr="00813058" w:rsidRDefault="00C631CB" w:rsidP="00813058">
            <w:pPr>
              <w:spacing w:line="360" w:lineRule="auto"/>
            </w:pPr>
          </w:p>
          <w:p w14:paraId="107A3EDC" w14:textId="47CB5678" w:rsidR="004C037A" w:rsidRPr="00813058" w:rsidRDefault="00C631CB" w:rsidP="00813058">
            <w:pPr>
              <w:spacing w:line="360" w:lineRule="auto"/>
            </w:pPr>
            <w:r w:rsidRPr="00813058">
              <w:t xml:space="preserve">Yes </w:t>
            </w:r>
          </w:p>
        </w:tc>
        <w:tc>
          <w:tcPr>
            <w:tcW w:w="865" w:type="dxa"/>
          </w:tcPr>
          <w:p w14:paraId="4C48D925" w14:textId="77777777" w:rsidR="004C037A" w:rsidRPr="00813058" w:rsidRDefault="004C037A" w:rsidP="00813058">
            <w:pPr>
              <w:spacing w:line="360" w:lineRule="auto"/>
            </w:pPr>
          </w:p>
          <w:p w14:paraId="3CCA2FE6" w14:textId="746E154C" w:rsidR="00D238E2" w:rsidRPr="00813058" w:rsidRDefault="00D238E2" w:rsidP="00813058">
            <w:pPr>
              <w:spacing w:line="360" w:lineRule="auto"/>
            </w:pPr>
            <w:r w:rsidRPr="00813058">
              <w:t xml:space="preserve">No </w:t>
            </w:r>
          </w:p>
        </w:tc>
        <w:tc>
          <w:tcPr>
            <w:tcW w:w="1309" w:type="dxa"/>
          </w:tcPr>
          <w:p w14:paraId="5788603C" w14:textId="77777777" w:rsidR="004C037A" w:rsidRPr="00813058" w:rsidRDefault="004C037A" w:rsidP="00813058">
            <w:pPr>
              <w:spacing w:line="360" w:lineRule="auto"/>
            </w:pPr>
          </w:p>
          <w:p w14:paraId="339C6A50" w14:textId="51BA0DD4" w:rsidR="002F3A6E" w:rsidRPr="00813058" w:rsidRDefault="002F3A6E" w:rsidP="00813058">
            <w:pPr>
              <w:spacing w:line="360" w:lineRule="auto"/>
            </w:pPr>
            <w:r w:rsidRPr="00813058">
              <w:t xml:space="preserve">No </w:t>
            </w:r>
          </w:p>
        </w:tc>
        <w:tc>
          <w:tcPr>
            <w:tcW w:w="1308" w:type="dxa"/>
          </w:tcPr>
          <w:p w14:paraId="72D3B99D" w14:textId="77777777" w:rsidR="004C037A" w:rsidRPr="00813058" w:rsidRDefault="004C037A" w:rsidP="00813058">
            <w:pPr>
              <w:spacing w:line="360" w:lineRule="auto"/>
            </w:pPr>
          </w:p>
          <w:p w14:paraId="12A75E26" w14:textId="0CE3A370" w:rsidR="002F3A6E" w:rsidRPr="00813058" w:rsidRDefault="00BA7943" w:rsidP="00813058">
            <w:pPr>
              <w:spacing w:line="360" w:lineRule="auto"/>
            </w:pPr>
            <w:r w:rsidRPr="00813058">
              <w:t xml:space="preserve">Yes </w:t>
            </w:r>
          </w:p>
        </w:tc>
        <w:tc>
          <w:tcPr>
            <w:tcW w:w="1458" w:type="dxa"/>
          </w:tcPr>
          <w:p w14:paraId="191FD739" w14:textId="77777777" w:rsidR="004C037A" w:rsidRPr="00813058" w:rsidRDefault="004C037A" w:rsidP="00813058">
            <w:pPr>
              <w:spacing w:line="360" w:lineRule="auto"/>
            </w:pPr>
          </w:p>
          <w:p w14:paraId="39D39E8A" w14:textId="79B1E4A0" w:rsidR="005C0CB7" w:rsidRPr="00813058" w:rsidRDefault="005C0CB7" w:rsidP="00813058">
            <w:pPr>
              <w:spacing w:line="360" w:lineRule="auto"/>
            </w:pPr>
            <w:r w:rsidRPr="00813058">
              <w:t>Competitive Parity</w:t>
            </w:r>
          </w:p>
        </w:tc>
        <w:tc>
          <w:tcPr>
            <w:tcW w:w="1850" w:type="dxa"/>
          </w:tcPr>
          <w:p w14:paraId="4BF37315" w14:textId="77777777" w:rsidR="004C037A" w:rsidRPr="00813058" w:rsidRDefault="004C037A" w:rsidP="00813058">
            <w:pPr>
              <w:spacing w:line="360" w:lineRule="auto"/>
            </w:pPr>
          </w:p>
          <w:p w14:paraId="0675D998" w14:textId="1F7C11BE" w:rsidR="00107ECC" w:rsidRPr="00813058" w:rsidRDefault="001964ED" w:rsidP="00813058">
            <w:pPr>
              <w:spacing w:line="360" w:lineRule="auto"/>
            </w:pPr>
            <w:r w:rsidRPr="00813058">
              <w:t>Euromonitor (2025, p. 41)</w:t>
            </w:r>
          </w:p>
        </w:tc>
      </w:tr>
      <w:tr w:rsidR="004C037A" w:rsidRPr="00813058" w14:paraId="61FDDE19" w14:textId="77777777" w:rsidTr="00840C56">
        <w:tc>
          <w:tcPr>
            <w:tcW w:w="1409" w:type="dxa"/>
          </w:tcPr>
          <w:p w14:paraId="75C01F63" w14:textId="77777777" w:rsidR="00FC540A" w:rsidRPr="00813058" w:rsidRDefault="00FC540A" w:rsidP="00813058">
            <w:pPr>
              <w:spacing w:line="360" w:lineRule="auto"/>
            </w:pPr>
          </w:p>
          <w:p w14:paraId="7D990770" w14:textId="77777777" w:rsidR="004C037A" w:rsidRPr="00813058" w:rsidRDefault="008B7CFF" w:rsidP="00813058">
            <w:pPr>
              <w:spacing w:line="360" w:lineRule="auto"/>
            </w:pPr>
            <w:r w:rsidRPr="00813058">
              <w:t>Cocoa Life Programme</w:t>
            </w:r>
          </w:p>
          <w:p w14:paraId="3813B81E" w14:textId="61C24AE5" w:rsidR="00FC540A" w:rsidRPr="00813058" w:rsidRDefault="00FC540A" w:rsidP="00813058">
            <w:pPr>
              <w:spacing w:line="360" w:lineRule="auto"/>
            </w:pPr>
          </w:p>
        </w:tc>
        <w:tc>
          <w:tcPr>
            <w:tcW w:w="1152" w:type="dxa"/>
          </w:tcPr>
          <w:p w14:paraId="4811924C" w14:textId="77777777" w:rsidR="004C037A" w:rsidRPr="00813058" w:rsidRDefault="004C037A" w:rsidP="00813058">
            <w:pPr>
              <w:spacing w:line="360" w:lineRule="auto"/>
            </w:pPr>
          </w:p>
          <w:p w14:paraId="678B3262" w14:textId="1A044C24" w:rsidR="00C631CB" w:rsidRPr="00813058" w:rsidRDefault="00D238E2" w:rsidP="00813058">
            <w:pPr>
              <w:spacing w:line="360" w:lineRule="auto"/>
            </w:pPr>
            <w:r w:rsidRPr="00813058">
              <w:t xml:space="preserve">Yes </w:t>
            </w:r>
          </w:p>
        </w:tc>
        <w:tc>
          <w:tcPr>
            <w:tcW w:w="865" w:type="dxa"/>
          </w:tcPr>
          <w:p w14:paraId="6F3194BF" w14:textId="77777777" w:rsidR="002F3A6E" w:rsidRPr="00813058" w:rsidRDefault="002F3A6E" w:rsidP="00813058">
            <w:pPr>
              <w:spacing w:line="360" w:lineRule="auto"/>
            </w:pPr>
          </w:p>
          <w:p w14:paraId="6218D17C" w14:textId="3E3415B5" w:rsidR="004C037A" w:rsidRPr="00813058" w:rsidRDefault="002F3A6E" w:rsidP="00813058">
            <w:pPr>
              <w:spacing w:line="360" w:lineRule="auto"/>
            </w:pPr>
            <w:r w:rsidRPr="00813058">
              <w:t xml:space="preserve">Partial </w:t>
            </w:r>
          </w:p>
        </w:tc>
        <w:tc>
          <w:tcPr>
            <w:tcW w:w="1309" w:type="dxa"/>
          </w:tcPr>
          <w:p w14:paraId="548412B8" w14:textId="77777777" w:rsidR="004C037A" w:rsidRPr="00813058" w:rsidRDefault="004C037A" w:rsidP="00813058">
            <w:pPr>
              <w:spacing w:line="360" w:lineRule="auto"/>
            </w:pPr>
          </w:p>
          <w:p w14:paraId="6D2973DC" w14:textId="67B30B27" w:rsidR="002F3A6E" w:rsidRPr="00813058" w:rsidRDefault="002F3A6E" w:rsidP="00813058">
            <w:pPr>
              <w:spacing w:line="360" w:lineRule="auto"/>
            </w:pPr>
            <w:r w:rsidRPr="00813058">
              <w:t xml:space="preserve">Partial </w:t>
            </w:r>
          </w:p>
        </w:tc>
        <w:tc>
          <w:tcPr>
            <w:tcW w:w="1308" w:type="dxa"/>
          </w:tcPr>
          <w:p w14:paraId="21EF70AA" w14:textId="77777777" w:rsidR="004C037A" w:rsidRPr="00813058" w:rsidRDefault="004C037A" w:rsidP="00813058">
            <w:pPr>
              <w:spacing w:line="360" w:lineRule="auto"/>
            </w:pPr>
          </w:p>
          <w:p w14:paraId="08F605EE" w14:textId="77777777" w:rsidR="00BA7943" w:rsidRPr="00813058" w:rsidRDefault="00BA7943" w:rsidP="00813058">
            <w:pPr>
              <w:spacing w:line="360" w:lineRule="auto"/>
            </w:pPr>
            <w:r w:rsidRPr="00813058">
              <w:t xml:space="preserve">Yes </w:t>
            </w:r>
          </w:p>
          <w:p w14:paraId="6A4EBBC0" w14:textId="06C9CB9A" w:rsidR="00BA7943" w:rsidRPr="00813058" w:rsidRDefault="00BA7943" w:rsidP="00813058">
            <w:pPr>
              <w:spacing w:line="360" w:lineRule="auto"/>
            </w:pPr>
          </w:p>
        </w:tc>
        <w:tc>
          <w:tcPr>
            <w:tcW w:w="1458" w:type="dxa"/>
          </w:tcPr>
          <w:p w14:paraId="0BA894FE" w14:textId="77777777" w:rsidR="004C037A" w:rsidRPr="00813058" w:rsidRDefault="004C037A" w:rsidP="00813058">
            <w:pPr>
              <w:spacing w:line="360" w:lineRule="auto"/>
            </w:pPr>
          </w:p>
          <w:p w14:paraId="6985A61D" w14:textId="5EB1BC03" w:rsidR="005C0CB7" w:rsidRPr="00813058" w:rsidRDefault="005C0CB7" w:rsidP="00813058">
            <w:pPr>
              <w:spacing w:line="360" w:lineRule="auto"/>
            </w:pPr>
            <w:r w:rsidRPr="00813058">
              <w:t>Moderate Advantage</w:t>
            </w:r>
          </w:p>
        </w:tc>
        <w:tc>
          <w:tcPr>
            <w:tcW w:w="1850" w:type="dxa"/>
          </w:tcPr>
          <w:p w14:paraId="3B84A3E8" w14:textId="77777777" w:rsidR="004C037A" w:rsidRPr="00813058" w:rsidRDefault="004C037A" w:rsidP="00813058">
            <w:pPr>
              <w:spacing w:line="360" w:lineRule="auto"/>
            </w:pPr>
          </w:p>
          <w:p w14:paraId="47429FEB" w14:textId="1BFF7842" w:rsidR="001964ED" w:rsidRPr="00813058" w:rsidRDefault="001964ED" w:rsidP="00813058">
            <w:pPr>
              <w:spacing w:line="360" w:lineRule="auto"/>
            </w:pPr>
            <w:r w:rsidRPr="00813058">
              <w:t>Cocoa Life (2025, p. 22)</w:t>
            </w:r>
          </w:p>
        </w:tc>
      </w:tr>
      <w:tr w:rsidR="004C037A" w:rsidRPr="00813058" w14:paraId="1A6747B4" w14:textId="77777777" w:rsidTr="00840C56">
        <w:tc>
          <w:tcPr>
            <w:tcW w:w="1409" w:type="dxa"/>
          </w:tcPr>
          <w:p w14:paraId="3291B186" w14:textId="77777777" w:rsidR="00FC540A" w:rsidRPr="00813058" w:rsidRDefault="00FC540A" w:rsidP="00813058">
            <w:pPr>
              <w:spacing w:line="360" w:lineRule="auto"/>
            </w:pPr>
          </w:p>
          <w:p w14:paraId="2CD26B1C" w14:textId="77777777" w:rsidR="004C037A" w:rsidRPr="00813058" w:rsidRDefault="00AB3A97" w:rsidP="00813058">
            <w:pPr>
              <w:spacing w:line="360" w:lineRule="auto"/>
            </w:pPr>
            <w:r w:rsidRPr="00813058">
              <w:t>Emotional Marketing</w:t>
            </w:r>
          </w:p>
          <w:p w14:paraId="633E5C37" w14:textId="72BF5E4D" w:rsidR="00FC540A" w:rsidRPr="00813058" w:rsidRDefault="00FC540A" w:rsidP="00813058">
            <w:pPr>
              <w:spacing w:line="360" w:lineRule="auto"/>
            </w:pPr>
          </w:p>
        </w:tc>
        <w:tc>
          <w:tcPr>
            <w:tcW w:w="1152" w:type="dxa"/>
          </w:tcPr>
          <w:p w14:paraId="6F784978" w14:textId="77777777" w:rsidR="004C037A" w:rsidRPr="00813058" w:rsidRDefault="004C037A" w:rsidP="00813058">
            <w:pPr>
              <w:spacing w:line="360" w:lineRule="auto"/>
            </w:pPr>
          </w:p>
          <w:p w14:paraId="6A64A2D6" w14:textId="757E787D" w:rsidR="00D238E2" w:rsidRPr="00813058" w:rsidRDefault="00D238E2" w:rsidP="00813058">
            <w:pPr>
              <w:spacing w:line="360" w:lineRule="auto"/>
            </w:pPr>
            <w:r w:rsidRPr="00813058">
              <w:t xml:space="preserve">Yes </w:t>
            </w:r>
          </w:p>
        </w:tc>
        <w:tc>
          <w:tcPr>
            <w:tcW w:w="865" w:type="dxa"/>
          </w:tcPr>
          <w:p w14:paraId="78DCE2BE" w14:textId="77777777" w:rsidR="004C037A" w:rsidRPr="00813058" w:rsidRDefault="004C037A" w:rsidP="00813058">
            <w:pPr>
              <w:spacing w:line="360" w:lineRule="auto"/>
            </w:pPr>
          </w:p>
          <w:p w14:paraId="31C7EB6C" w14:textId="713739C9" w:rsidR="002F3A6E" w:rsidRPr="00813058" w:rsidRDefault="002F3A6E" w:rsidP="00813058">
            <w:pPr>
              <w:spacing w:line="360" w:lineRule="auto"/>
            </w:pPr>
            <w:r w:rsidRPr="00813058">
              <w:t xml:space="preserve">Yes </w:t>
            </w:r>
          </w:p>
        </w:tc>
        <w:tc>
          <w:tcPr>
            <w:tcW w:w="1309" w:type="dxa"/>
          </w:tcPr>
          <w:p w14:paraId="074F8765" w14:textId="77777777" w:rsidR="004C037A" w:rsidRPr="00813058" w:rsidRDefault="004C037A" w:rsidP="00813058">
            <w:pPr>
              <w:spacing w:line="360" w:lineRule="auto"/>
            </w:pPr>
          </w:p>
          <w:p w14:paraId="5D9F557D" w14:textId="5D32210E" w:rsidR="002F3A6E" w:rsidRPr="00813058" w:rsidRDefault="002F3A6E" w:rsidP="00813058">
            <w:pPr>
              <w:spacing w:line="360" w:lineRule="auto"/>
            </w:pPr>
            <w:r w:rsidRPr="00813058">
              <w:t xml:space="preserve">Yes </w:t>
            </w:r>
          </w:p>
        </w:tc>
        <w:tc>
          <w:tcPr>
            <w:tcW w:w="1308" w:type="dxa"/>
          </w:tcPr>
          <w:p w14:paraId="100C779F" w14:textId="77777777" w:rsidR="004C037A" w:rsidRPr="00813058" w:rsidRDefault="004C037A" w:rsidP="00813058">
            <w:pPr>
              <w:spacing w:line="360" w:lineRule="auto"/>
            </w:pPr>
          </w:p>
          <w:p w14:paraId="449F92A6" w14:textId="378A54AE" w:rsidR="00BA7943" w:rsidRPr="00813058" w:rsidRDefault="00BA7943" w:rsidP="00813058">
            <w:pPr>
              <w:spacing w:line="360" w:lineRule="auto"/>
            </w:pPr>
            <w:r w:rsidRPr="00813058">
              <w:t xml:space="preserve">Yes </w:t>
            </w:r>
          </w:p>
        </w:tc>
        <w:tc>
          <w:tcPr>
            <w:tcW w:w="1458" w:type="dxa"/>
          </w:tcPr>
          <w:p w14:paraId="5608DA66" w14:textId="77777777" w:rsidR="004C037A" w:rsidRPr="00813058" w:rsidRDefault="004C037A" w:rsidP="00813058">
            <w:pPr>
              <w:spacing w:line="360" w:lineRule="auto"/>
            </w:pPr>
          </w:p>
          <w:p w14:paraId="38C9B5E8" w14:textId="7F42EB97" w:rsidR="00706767" w:rsidRPr="00813058" w:rsidRDefault="00706767" w:rsidP="00813058">
            <w:pPr>
              <w:spacing w:line="360" w:lineRule="auto"/>
            </w:pPr>
            <w:r w:rsidRPr="00813058">
              <w:t>Sustained Advantage</w:t>
            </w:r>
          </w:p>
        </w:tc>
        <w:tc>
          <w:tcPr>
            <w:tcW w:w="1850" w:type="dxa"/>
          </w:tcPr>
          <w:p w14:paraId="140DF8E0" w14:textId="77777777" w:rsidR="004C037A" w:rsidRPr="00813058" w:rsidRDefault="004C037A" w:rsidP="00813058">
            <w:pPr>
              <w:spacing w:line="360" w:lineRule="auto"/>
            </w:pPr>
          </w:p>
          <w:p w14:paraId="0BF2DA52" w14:textId="77777777" w:rsidR="001964ED" w:rsidRPr="00813058" w:rsidRDefault="001964ED" w:rsidP="00813058">
            <w:pPr>
              <w:spacing w:line="360" w:lineRule="auto"/>
            </w:pPr>
            <w:r w:rsidRPr="00813058">
              <w:t>Mondelēz International (2024, p. 12)</w:t>
            </w:r>
          </w:p>
          <w:p w14:paraId="2D5469B0" w14:textId="69752A77" w:rsidR="001964ED" w:rsidRPr="00813058" w:rsidRDefault="001964ED" w:rsidP="00813058">
            <w:pPr>
              <w:spacing w:line="360" w:lineRule="auto"/>
            </w:pPr>
          </w:p>
        </w:tc>
      </w:tr>
    </w:tbl>
    <w:p w14:paraId="0933066C" w14:textId="77777777" w:rsidR="00FB6762" w:rsidRPr="00813058" w:rsidRDefault="00FB6762" w:rsidP="00813058">
      <w:pPr>
        <w:spacing w:line="360" w:lineRule="auto"/>
      </w:pPr>
    </w:p>
    <w:p w14:paraId="32B0154B" w14:textId="0DA6FFC7" w:rsidR="00AA0140" w:rsidRDefault="00AA014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9" w:name="_Toc236160658"/>
      <w:r w:rsidRPr="00813058">
        <w:rPr>
          <w:rFonts w:eastAsia="Times New Roman" w:cs="Times New Roman"/>
          <w:b/>
          <w:bCs/>
          <w:kern w:val="0"/>
          <w:sz w:val="36"/>
          <w:szCs w:val="36"/>
          <w:lang w:eastAsia="en-GB"/>
          <w14:ligatures w14:val="none"/>
        </w:rPr>
        <w:lastRenderedPageBreak/>
        <w:t>2.3 SWOT Analysis</w:t>
      </w:r>
      <w:bookmarkEnd w:id="19"/>
    </w:p>
    <w:p w14:paraId="1EF5C4A4" w14:textId="63116898" w:rsidR="00385759" w:rsidRPr="00813058" w:rsidRDefault="00385759"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"https://powerslides.com/wp-content/uploads/2016/09/SWOT-Matrix-Diagram-Template-1.jpg" \* MERGEFORMATINET </w:instrText>
      </w:r>
      <w:r>
        <w:fldChar w:fldCharType="separate"/>
      </w:r>
      <w:r>
        <w:rPr>
          <w:noProof/>
        </w:rPr>
        <w:drawing>
          <wp:inline distT="0" distB="0" distL="0" distR="0" wp14:anchorId="3EABFE44" wp14:editId="6B48CDF0">
            <wp:extent cx="5731510" cy="3218815"/>
            <wp:effectExtent l="0" t="0" r="0" b="0"/>
            <wp:docPr id="171323022" name="Picture 5" descr="SWOT Matrix Diagrams | Download &amp; Edit | Power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Matrix Diagrams | Download &amp; Edit | PowerSli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fldChar w:fldCharType="end"/>
      </w:r>
    </w:p>
    <w:p w14:paraId="26959B7D" w14:textId="4BDB9A1B" w:rsidR="00F83C87" w:rsidRDefault="00F83C87" w:rsidP="00F83C87">
      <w:pPr>
        <w:spacing w:before="100" w:beforeAutospacing="1" w:after="100" w:afterAutospacing="1" w:line="360" w:lineRule="auto"/>
        <w:jc w:val="center"/>
        <w:outlineLvl w:val="2"/>
      </w:pPr>
      <w:bookmarkStart w:id="20" w:name="_Toc236160659"/>
      <w:r>
        <w:rPr>
          <w:rStyle w:val="Strong"/>
        </w:rPr>
        <w:t>Figure 3:</w:t>
      </w:r>
      <w:r>
        <w:t xml:space="preserve"> SWOT Matrix Diagram</w:t>
      </w:r>
    </w:p>
    <w:p w14:paraId="2E497B8F" w14:textId="410637C0" w:rsidR="00F83C87" w:rsidRDefault="00F83C87" w:rsidP="00F83C87">
      <w:pPr>
        <w:spacing w:before="100" w:beforeAutospacing="1" w:after="100" w:afterAutospacing="1" w:line="360" w:lineRule="auto"/>
        <w:jc w:val="center"/>
        <w:outlineLvl w:val="2"/>
        <w:rPr>
          <w:rFonts w:eastAsia="Times New Roman" w:cs="Times New Roman"/>
          <w:i/>
          <w:iCs/>
          <w:kern w:val="0"/>
          <w:lang w:eastAsia="en-GB"/>
          <w14:ligatures w14:val="none"/>
        </w:rPr>
      </w:pPr>
      <w:r w:rsidRPr="00F83C87">
        <w:rPr>
          <w:rStyle w:val="Emphasis"/>
          <w:b/>
          <w:bCs/>
          <w:i w:val="0"/>
          <w:iCs w:val="0"/>
        </w:rPr>
        <w:t>Source</w:t>
      </w:r>
      <w:r>
        <w:rPr>
          <w:rStyle w:val="Emphasis"/>
        </w:rPr>
        <w:t xml:space="preserve">: </w:t>
      </w:r>
      <w:r w:rsidRPr="00F83C87">
        <w:rPr>
          <w:rStyle w:val="Emphasis"/>
          <w:i w:val="0"/>
          <w:iCs w:val="0"/>
        </w:rPr>
        <w:t>Dyson (2004)</w:t>
      </w:r>
    </w:p>
    <w:p w14:paraId="282DAD86" w14:textId="3B5B07DD" w:rsidR="00AA0140" w:rsidRPr="00813058" w:rsidRDefault="00AA0140"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SWOT</w:t>
      </w:r>
      <w:bookmarkEnd w:id="20"/>
    </w:p>
    <w:p w14:paraId="7B66B366" w14:textId="77777777" w:rsidR="00AA0140" w:rsidRPr="00813058" w:rsidRDefault="00AA0140"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SWOT evaluates internal strengths and weaknesses, and external opportunities and threats. It helps managers align internal capabilities with external conditions (Dyson, 2004, p. 632).</w:t>
      </w:r>
    </w:p>
    <w:p w14:paraId="2DFD3DB7" w14:textId="77777777"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1" w:name="_Toc236160660"/>
      <w:r w:rsidRPr="009B0658">
        <w:rPr>
          <w:rFonts w:eastAsia="Times New Roman" w:cs="Times New Roman"/>
          <w:b/>
          <w:bCs/>
          <w:kern w:val="0"/>
          <w:sz w:val="28"/>
          <w:szCs w:val="28"/>
          <w:lang w:eastAsia="en-GB"/>
          <w14:ligatures w14:val="none"/>
        </w:rPr>
        <w:t>2.3.1 Strengths</w:t>
      </w:r>
      <w:bookmarkEnd w:id="21"/>
    </w:p>
    <w:p w14:paraId="089AD996" w14:textId="3DF26B1B" w:rsidR="00660E40" w:rsidRDefault="00EB2B27"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2" w:name="_Toc236160661"/>
      <w:r>
        <w:t xml:space="preserve">Cadbury’s strengths reinforce its competitive position through strong brand equity, supported by high consumer recognition and loyalty (Kantar, 2025, p. 14). The company also benefits from an extensive distribution network that ensures wide product availability across multiple retail channels (Mintel, 2025, p. 22). In addition, Cadbury demonstrates sustainability leadership through its Cocoa Life programme, which </w:t>
      </w:r>
      <w:r>
        <w:lastRenderedPageBreak/>
        <w:t>enhances ethical sourcing and strengthens its reputation for responsible production (Cocoa Life, 2025, p. 18).</w:t>
      </w:r>
    </w:p>
    <w:p w14:paraId="4B1E7672" w14:textId="0DC2E369"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2.3.2 Weaknesses</w:t>
      </w:r>
      <w:bookmarkEnd w:id="22"/>
    </w:p>
    <w:p w14:paraId="6351C0D3" w14:textId="77777777" w:rsidR="004C4BB5" w:rsidRDefault="004C4BB5" w:rsidP="00813058">
      <w:pPr>
        <w:spacing w:before="100" w:beforeAutospacing="1" w:after="100" w:afterAutospacing="1" w:line="360" w:lineRule="auto"/>
        <w:outlineLvl w:val="2"/>
      </w:pPr>
      <w:bookmarkStart w:id="23" w:name="_Toc236160662"/>
      <w:r>
        <w:t>Cadbury faces several internal limitations, including the high sugar content in many of its core products, which raises health concerns among increasingly health</w:t>
      </w:r>
      <w:r>
        <w:noBreakHyphen/>
        <w:t>conscious consumers (NHS, 2024, p. 7). The company is also heavily dependent on cocoa supply, making it vulnerable to climate</w:t>
      </w:r>
      <w:r>
        <w:noBreakHyphen/>
        <w:t xml:space="preserve">related disruptions and sustainability risks (Bansal &amp; </w:t>
      </w:r>
      <w:proofErr w:type="spellStart"/>
      <w:r>
        <w:t>DesJardine</w:t>
      </w:r>
      <w:proofErr w:type="spellEnd"/>
      <w:r>
        <w:t>, 2022, p. 73). In addition, Cadbury has a limited presence in the premium chocolate segment, where competitors hold stronger positions and capture higher margins (Euromonitor, 2025, p. 41).</w:t>
      </w:r>
    </w:p>
    <w:p w14:paraId="6DB1351F" w14:textId="2454C68C"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2.3.3 Opportunities</w:t>
      </w:r>
      <w:bookmarkEnd w:id="23"/>
    </w:p>
    <w:p w14:paraId="4CD08874" w14:textId="77777777" w:rsidR="000949CB" w:rsidRDefault="000949CB" w:rsidP="00813058">
      <w:pPr>
        <w:spacing w:before="100" w:beforeAutospacing="1" w:after="100" w:afterAutospacing="1" w:line="360" w:lineRule="auto"/>
        <w:outlineLvl w:val="2"/>
      </w:pPr>
      <w:bookmarkStart w:id="24" w:name="_Toc236160663"/>
      <w:r>
        <w:t>Cadbury can leverage several external opportunities, including the growing consumer demand for ethically sourced products, which strengthens the appeal of its sustainability initiatives (Fairtrade Foundation, 2025, p. 12). There is also rising interest in reduced</w:t>
      </w:r>
      <w:r>
        <w:noBreakHyphen/>
        <w:t>sugar and vegan snacks, creating scope for product diversification and healthier alternatives (Mintel, 2025, p. 33). Additionally, the expansion of digital marketing and e</w:t>
      </w:r>
      <w:r>
        <w:noBreakHyphen/>
        <w:t>commerce provides Cadbury with new channels to reach consumers more effectively and enhance online sales performance (Mondelēz International, 2024, p. 12).</w:t>
      </w:r>
    </w:p>
    <w:p w14:paraId="4D745002" w14:textId="6CD1EF26"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2.3.4 Threats</w:t>
      </w:r>
      <w:bookmarkEnd w:id="24"/>
    </w:p>
    <w:p w14:paraId="2B7C09BD" w14:textId="0DA14613" w:rsidR="00660E40" w:rsidRDefault="00A30B56" w:rsidP="00813058">
      <w:pPr>
        <w:spacing w:line="360" w:lineRule="auto"/>
        <w:rPr>
          <w:rFonts w:cs="Times New Roman"/>
          <w:b/>
          <w:bCs/>
          <w:sz w:val="28"/>
          <w:szCs w:val="28"/>
        </w:rPr>
      </w:pPr>
      <w:r>
        <w:t>Cadbury faces several external threats, including intense competition from major confectionery players such as Mars, Nestlé and Ferrero, which increases pressure on market share and pricing (Euromonitor, 2025, p. 44). The company is also affected by growing regulatory scrutiny on sugar content, which may require reformulation or additional compliance costs (Hill et al., 2022, p. 41). In addition, rising production costs driven by inflation continue to challenge profitability and operational efficiency (DEFRA, 2024, p. 9).</w:t>
      </w:r>
    </w:p>
    <w:p w14:paraId="1657D29C" w14:textId="30A5C77C" w:rsidR="0000224B" w:rsidRPr="009B0658" w:rsidRDefault="00653137" w:rsidP="00813058">
      <w:pPr>
        <w:spacing w:line="360" w:lineRule="auto"/>
        <w:rPr>
          <w:rFonts w:cs="Times New Roman"/>
          <w:b/>
          <w:bCs/>
          <w:sz w:val="28"/>
          <w:szCs w:val="28"/>
        </w:rPr>
      </w:pPr>
      <w:r w:rsidRPr="009B0658">
        <w:rPr>
          <w:rFonts w:cs="Times New Roman"/>
          <w:b/>
          <w:bCs/>
          <w:sz w:val="28"/>
          <w:szCs w:val="28"/>
        </w:rPr>
        <w:lastRenderedPageBreak/>
        <w:t>2.3.5 SWOT Summary Table</w:t>
      </w:r>
    </w:p>
    <w:tbl>
      <w:tblPr>
        <w:tblStyle w:val="TableGrid"/>
        <w:tblW w:w="0" w:type="auto"/>
        <w:tblLook w:val="04A0" w:firstRow="1" w:lastRow="0" w:firstColumn="1" w:lastColumn="0" w:noHBand="0" w:noVBand="1"/>
      </w:tblPr>
      <w:tblGrid>
        <w:gridCol w:w="2263"/>
        <w:gridCol w:w="6753"/>
      </w:tblGrid>
      <w:tr w:rsidR="00187D4F" w:rsidRPr="00813058" w14:paraId="4F99E95E" w14:textId="77777777" w:rsidTr="00521039">
        <w:tc>
          <w:tcPr>
            <w:tcW w:w="2263" w:type="dxa"/>
          </w:tcPr>
          <w:p w14:paraId="7CF1F329" w14:textId="77777777" w:rsidR="0015439E" w:rsidRPr="00813058" w:rsidRDefault="0015439E" w:rsidP="00813058">
            <w:pPr>
              <w:spacing w:line="360" w:lineRule="auto"/>
              <w:rPr>
                <w:b/>
                <w:bCs/>
              </w:rPr>
            </w:pPr>
          </w:p>
          <w:p w14:paraId="67FCCE1D" w14:textId="7F1216CB" w:rsidR="00187D4F" w:rsidRPr="00813058" w:rsidRDefault="0015439E" w:rsidP="00813058">
            <w:pPr>
              <w:spacing w:line="360" w:lineRule="auto"/>
              <w:rPr>
                <w:b/>
                <w:bCs/>
              </w:rPr>
            </w:pPr>
            <w:r w:rsidRPr="00813058">
              <w:rPr>
                <w:b/>
                <w:bCs/>
              </w:rPr>
              <w:t>Category</w:t>
            </w:r>
          </w:p>
          <w:p w14:paraId="3ABB5B49" w14:textId="4C9C0002" w:rsidR="0015439E" w:rsidRPr="00813058" w:rsidRDefault="0015439E" w:rsidP="00813058">
            <w:pPr>
              <w:spacing w:line="360" w:lineRule="auto"/>
              <w:rPr>
                <w:rFonts w:cs="Times New Roman"/>
                <w:b/>
                <w:bCs/>
                <w:sz w:val="36"/>
                <w:szCs w:val="36"/>
              </w:rPr>
            </w:pPr>
          </w:p>
        </w:tc>
        <w:tc>
          <w:tcPr>
            <w:tcW w:w="6753" w:type="dxa"/>
          </w:tcPr>
          <w:p w14:paraId="3A8A9EBA" w14:textId="77777777" w:rsidR="003556DC" w:rsidRPr="00813058" w:rsidRDefault="003556DC" w:rsidP="00813058">
            <w:pPr>
              <w:spacing w:line="360" w:lineRule="auto"/>
              <w:rPr>
                <w:b/>
                <w:bCs/>
              </w:rPr>
            </w:pPr>
          </w:p>
          <w:p w14:paraId="40A9DD41" w14:textId="608A73D5" w:rsidR="003556DC" w:rsidRPr="00813058" w:rsidRDefault="003556DC" w:rsidP="00813058">
            <w:pPr>
              <w:spacing w:line="360" w:lineRule="auto"/>
              <w:rPr>
                <w:rFonts w:cs="Times New Roman"/>
                <w:b/>
                <w:bCs/>
                <w:sz w:val="36"/>
                <w:szCs w:val="36"/>
              </w:rPr>
            </w:pPr>
            <w:r w:rsidRPr="00813058">
              <w:rPr>
                <w:b/>
                <w:bCs/>
              </w:rPr>
              <w:t>Key Points</w:t>
            </w:r>
          </w:p>
        </w:tc>
      </w:tr>
      <w:tr w:rsidR="00187D4F" w:rsidRPr="00813058" w14:paraId="139E85FF" w14:textId="77777777" w:rsidTr="00521039">
        <w:tc>
          <w:tcPr>
            <w:tcW w:w="2263" w:type="dxa"/>
          </w:tcPr>
          <w:p w14:paraId="6EB0C7DE" w14:textId="77777777" w:rsidR="006503C9" w:rsidRPr="00813058" w:rsidRDefault="006503C9" w:rsidP="00813058">
            <w:pPr>
              <w:spacing w:line="360" w:lineRule="auto"/>
            </w:pPr>
          </w:p>
          <w:p w14:paraId="294FBCE0" w14:textId="730DACF2" w:rsidR="00187D4F" w:rsidRPr="00813058" w:rsidRDefault="006503C9" w:rsidP="00813058">
            <w:pPr>
              <w:spacing w:line="360" w:lineRule="auto"/>
            </w:pPr>
            <w:r w:rsidRPr="00813058">
              <w:t>Strengths</w:t>
            </w:r>
          </w:p>
          <w:p w14:paraId="5E9AA46C" w14:textId="226CBA4E" w:rsidR="006503C9" w:rsidRPr="00813058" w:rsidRDefault="006503C9" w:rsidP="00813058">
            <w:pPr>
              <w:spacing w:line="360" w:lineRule="auto"/>
              <w:rPr>
                <w:rFonts w:cs="Times New Roman"/>
                <w:b/>
                <w:bCs/>
                <w:sz w:val="36"/>
                <w:szCs w:val="36"/>
              </w:rPr>
            </w:pPr>
          </w:p>
        </w:tc>
        <w:tc>
          <w:tcPr>
            <w:tcW w:w="6753" w:type="dxa"/>
          </w:tcPr>
          <w:p w14:paraId="6CDFF586" w14:textId="77777777" w:rsidR="000A56B3" w:rsidRPr="00813058" w:rsidRDefault="000A56B3" w:rsidP="00813058">
            <w:pPr>
              <w:spacing w:line="360" w:lineRule="auto"/>
            </w:pPr>
          </w:p>
          <w:p w14:paraId="7CCC7D51" w14:textId="77777777" w:rsidR="003556DC" w:rsidRPr="00813058" w:rsidRDefault="000A56B3" w:rsidP="00813058">
            <w:pPr>
              <w:spacing w:line="360" w:lineRule="auto"/>
            </w:pPr>
            <w:r w:rsidRPr="00813058">
              <w:t>Strong brand equity; extensive distribution; sustainability leadership</w:t>
            </w:r>
          </w:p>
          <w:p w14:paraId="6DA2A4F0" w14:textId="1997BAA4" w:rsidR="000A56B3" w:rsidRPr="00813058" w:rsidRDefault="000A56B3" w:rsidP="00813058">
            <w:pPr>
              <w:spacing w:line="360" w:lineRule="auto"/>
              <w:rPr>
                <w:rFonts w:cs="Times New Roman"/>
                <w:b/>
                <w:bCs/>
                <w:sz w:val="36"/>
                <w:szCs w:val="36"/>
              </w:rPr>
            </w:pPr>
          </w:p>
        </w:tc>
      </w:tr>
      <w:tr w:rsidR="00187D4F" w:rsidRPr="00813058" w14:paraId="2967EFD9" w14:textId="77777777" w:rsidTr="00521039">
        <w:tc>
          <w:tcPr>
            <w:tcW w:w="2263" w:type="dxa"/>
          </w:tcPr>
          <w:p w14:paraId="4BF39F64" w14:textId="77777777" w:rsidR="006503C9" w:rsidRPr="00813058" w:rsidRDefault="006503C9" w:rsidP="00813058">
            <w:pPr>
              <w:spacing w:line="360" w:lineRule="auto"/>
            </w:pPr>
          </w:p>
          <w:p w14:paraId="16C57570" w14:textId="3037137E" w:rsidR="00187D4F" w:rsidRPr="00813058" w:rsidRDefault="006503C9" w:rsidP="00813058">
            <w:pPr>
              <w:spacing w:line="360" w:lineRule="auto"/>
            </w:pPr>
            <w:r w:rsidRPr="00813058">
              <w:t>Weaknesses</w:t>
            </w:r>
          </w:p>
          <w:p w14:paraId="43875663" w14:textId="308658A1" w:rsidR="006503C9" w:rsidRPr="00813058" w:rsidRDefault="006503C9" w:rsidP="00813058">
            <w:pPr>
              <w:spacing w:line="360" w:lineRule="auto"/>
              <w:rPr>
                <w:rFonts w:cs="Times New Roman"/>
                <w:b/>
                <w:bCs/>
                <w:sz w:val="36"/>
                <w:szCs w:val="36"/>
              </w:rPr>
            </w:pPr>
          </w:p>
        </w:tc>
        <w:tc>
          <w:tcPr>
            <w:tcW w:w="6753" w:type="dxa"/>
          </w:tcPr>
          <w:p w14:paraId="7BAAD362" w14:textId="77777777" w:rsidR="00CD659D" w:rsidRPr="00813058" w:rsidRDefault="00CD659D" w:rsidP="00813058">
            <w:pPr>
              <w:spacing w:line="360" w:lineRule="auto"/>
            </w:pPr>
          </w:p>
          <w:p w14:paraId="2DB223CF" w14:textId="26148123" w:rsidR="00187D4F" w:rsidRPr="00813058" w:rsidRDefault="00CD659D" w:rsidP="00813058">
            <w:pPr>
              <w:spacing w:line="360" w:lineRule="auto"/>
            </w:pPr>
            <w:r w:rsidRPr="00813058">
              <w:t>High sugar content; cocoa supply risks; weak premium positioning</w:t>
            </w:r>
          </w:p>
          <w:p w14:paraId="3A09EA22" w14:textId="7D07CAA9" w:rsidR="00CD659D" w:rsidRPr="00813058" w:rsidRDefault="00CD659D" w:rsidP="00813058">
            <w:pPr>
              <w:spacing w:line="360" w:lineRule="auto"/>
              <w:rPr>
                <w:rFonts w:cs="Times New Roman"/>
                <w:b/>
                <w:bCs/>
                <w:sz w:val="36"/>
                <w:szCs w:val="36"/>
              </w:rPr>
            </w:pPr>
          </w:p>
        </w:tc>
      </w:tr>
      <w:tr w:rsidR="00187D4F" w:rsidRPr="00813058" w14:paraId="2D141CCC" w14:textId="77777777" w:rsidTr="00521039">
        <w:tc>
          <w:tcPr>
            <w:tcW w:w="2263" w:type="dxa"/>
          </w:tcPr>
          <w:p w14:paraId="455086C0" w14:textId="77777777" w:rsidR="0077514C" w:rsidRPr="00813058" w:rsidRDefault="0077514C" w:rsidP="00813058">
            <w:pPr>
              <w:spacing w:line="360" w:lineRule="auto"/>
            </w:pPr>
          </w:p>
          <w:p w14:paraId="7ECA199F" w14:textId="77777777" w:rsidR="00187D4F" w:rsidRPr="00813058" w:rsidRDefault="0077514C" w:rsidP="00813058">
            <w:pPr>
              <w:spacing w:line="360" w:lineRule="auto"/>
            </w:pPr>
            <w:r w:rsidRPr="00813058">
              <w:t>Opportunities</w:t>
            </w:r>
          </w:p>
          <w:p w14:paraId="136914FA" w14:textId="62D29FFD" w:rsidR="0077514C" w:rsidRPr="00813058" w:rsidRDefault="0077514C" w:rsidP="00813058">
            <w:pPr>
              <w:spacing w:line="360" w:lineRule="auto"/>
              <w:rPr>
                <w:rFonts w:cs="Times New Roman"/>
                <w:b/>
                <w:bCs/>
                <w:sz w:val="36"/>
                <w:szCs w:val="36"/>
              </w:rPr>
            </w:pPr>
          </w:p>
        </w:tc>
        <w:tc>
          <w:tcPr>
            <w:tcW w:w="6753" w:type="dxa"/>
          </w:tcPr>
          <w:p w14:paraId="2F34C86F" w14:textId="77777777" w:rsidR="00CD659D" w:rsidRPr="00813058" w:rsidRDefault="00CD659D" w:rsidP="00813058">
            <w:pPr>
              <w:spacing w:line="360" w:lineRule="auto"/>
            </w:pPr>
          </w:p>
          <w:p w14:paraId="11537E96" w14:textId="77777777" w:rsidR="00187D4F" w:rsidRPr="00813058" w:rsidRDefault="00CD659D" w:rsidP="00813058">
            <w:pPr>
              <w:spacing w:line="360" w:lineRule="auto"/>
            </w:pPr>
            <w:r w:rsidRPr="00813058">
              <w:t>Ethical sourcing demand; healthier product innovation; digital growth</w:t>
            </w:r>
          </w:p>
          <w:p w14:paraId="415676B0" w14:textId="3ACEEBB1" w:rsidR="00CD659D" w:rsidRPr="00813058" w:rsidRDefault="00CD659D" w:rsidP="00813058">
            <w:pPr>
              <w:spacing w:line="360" w:lineRule="auto"/>
              <w:rPr>
                <w:rFonts w:cs="Times New Roman"/>
                <w:b/>
                <w:bCs/>
                <w:sz w:val="36"/>
                <w:szCs w:val="36"/>
              </w:rPr>
            </w:pPr>
          </w:p>
        </w:tc>
      </w:tr>
      <w:tr w:rsidR="00187D4F" w:rsidRPr="00813058" w14:paraId="34232813" w14:textId="77777777" w:rsidTr="00521039">
        <w:tc>
          <w:tcPr>
            <w:tcW w:w="2263" w:type="dxa"/>
          </w:tcPr>
          <w:p w14:paraId="2861870E" w14:textId="77777777" w:rsidR="0077514C" w:rsidRPr="00813058" w:rsidRDefault="0077514C" w:rsidP="00813058">
            <w:pPr>
              <w:spacing w:line="360" w:lineRule="auto"/>
            </w:pPr>
          </w:p>
          <w:p w14:paraId="1338DC42" w14:textId="77777777" w:rsidR="00187D4F" w:rsidRPr="00813058" w:rsidRDefault="0077514C" w:rsidP="00813058">
            <w:pPr>
              <w:spacing w:line="360" w:lineRule="auto"/>
            </w:pPr>
            <w:r w:rsidRPr="00813058">
              <w:t>Threats</w:t>
            </w:r>
          </w:p>
          <w:p w14:paraId="77A1964C" w14:textId="7240509D" w:rsidR="0077514C" w:rsidRPr="00813058" w:rsidRDefault="0077514C" w:rsidP="00813058">
            <w:pPr>
              <w:spacing w:line="360" w:lineRule="auto"/>
              <w:rPr>
                <w:rFonts w:cs="Times New Roman"/>
                <w:b/>
                <w:bCs/>
                <w:sz w:val="36"/>
                <w:szCs w:val="36"/>
              </w:rPr>
            </w:pPr>
          </w:p>
        </w:tc>
        <w:tc>
          <w:tcPr>
            <w:tcW w:w="6753" w:type="dxa"/>
          </w:tcPr>
          <w:p w14:paraId="6EA7232A" w14:textId="77777777" w:rsidR="00521039" w:rsidRPr="00813058" w:rsidRDefault="00521039" w:rsidP="00813058">
            <w:pPr>
              <w:spacing w:line="360" w:lineRule="auto"/>
            </w:pPr>
          </w:p>
          <w:p w14:paraId="0D0FD9CC" w14:textId="319CFD1E" w:rsidR="00187D4F" w:rsidRPr="00813058" w:rsidRDefault="00521039" w:rsidP="00813058">
            <w:pPr>
              <w:spacing w:line="360" w:lineRule="auto"/>
              <w:rPr>
                <w:rFonts w:cs="Times New Roman"/>
                <w:b/>
                <w:bCs/>
                <w:sz w:val="36"/>
                <w:szCs w:val="36"/>
              </w:rPr>
            </w:pPr>
            <w:r w:rsidRPr="00813058">
              <w:t>Intense competition; sugar regulations; rising production costs</w:t>
            </w:r>
          </w:p>
        </w:tc>
      </w:tr>
    </w:tbl>
    <w:p w14:paraId="3143BB66" w14:textId="77777777" w:rsidR="0047571A" w:rsidRDefault="0047571A"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C99E3C9" w14:textId="77777777" w:rsidR="00CF0FFF" w:rsidRDefault="00CF0FF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25" w:name="_Toc236160664"/>
    </w:p>
    <w:p w14:paraId="79C1D40E" w14:textId="77777777" w:rsidR="00CF0FFF" w:rsidRDefault="00CF0FF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63C5C1CF" w14:textId="77777777" w:rsidR="00C256EF" w:rsidRDefault="00C256E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D0303D6" w14:textId="1557C8F9" w:rsidR="00FE7A09" w:rsidRDefault="00FE7A09"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2.4 Porter’s Five Forces Analysis</w:t>
      </w:r>
      <w:bookmarkEnd w:id="25"/>
    </w:p>
    <w:p w14:paraId="5B534A06" w14:textId="57E594D3" w:rsidR="00AB3CE8" w:rsidRPr="00813058" w:rsidRDefault="00AB3CE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"https://images.edrawmax.com/examples/poster-five-forces-examples/exp2.png" \* MERGEFORMATINET </w:instrText>
      </w:r>
      <w:r>
        <w:fldChar w:fldCharType="separate"/>
      </w:r>
      <w:r>
        <w:rPr>
          <w:noProof/>
        </w:rPr>
        <w:drawing>
          <wp:inline distT="0" distB="0" distL="0" distR="0" wp14:anchorId="28D242E8" wp14:editId="4F0D9A4E">
            <wp:extent cx="5731510" cy="3200400"/>
            <wp:effectExtent l="0" t="0" r="0" b="0"/>
            <wp:docPr id="1751336361" name="Picture 6" descr="Free Editable Five Forces Diagram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ditable Five Forces Diagram Examples | EdrawMax On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r>
        <w:fldChar w:fldCharType="end"/>
      </w:r>
    </w:p>
    <w:p w14:paraId="502AFDAF" w14:textId="2004FAD3" w:rsidR="00C87FAF" w:rsidRDefault="00C87FAF" w:rsidP="007E79D1">
      <w:pPr>
        <w:spacing w:before="100" w:beforeAutospacing="1" w:after="100" w:afterAutospacing="1" w:line="360" w:lineRule="auto"/>
        <w:jc w:val="center"/>
        <w:outlineLvl w:val="2"/>
      </w:pPr>
      <w:bookmarkStart w:id="26" w:name="_Toc236160665"/>
      <w:r>
        <w:rPr>
          <w:rStyle w:val="Strong"/>
        </w:rPr>
        <w:t>Figure 4:</w:t>
      </w:r>
      <w:r>
        <w:t xml:space="preserve"> Porter’s Five Forces Diagram</w:t>
      </w:r>
    </w:p>
    <w:p w14:paraId="6DB9ADA7" w14:textId="1B7E1CFE" w:rsidR="00475135" w:rsidRDefault="00C87FAF" w:rsidP="007E79D1">
      <w:pPr>
        <w:spacing w:before="100" w:beforeAutospacing="1" w:after="100" w:afterAutospacing="1" w:line="360" w:lineRule="auto"/>
        <w:jc w:val="center"/>
        <w:outlineLvl w:val="2"/>
        <w:rPr>
          <w:rFonts w:eastAsia="Times New Roman" w:cs="Times New Roman"/>
          <w:b/>
          <w:bCs/>
          <w:kern w:val="0"/>
          <w:sz w:val="27"/>
          <w:szCs w:val="27"/>
          <w:lang w:eastAsia="en-GB"/>
          <w14:ligatures w14:val="none"/>
        </w:rPr>
      </w:pPr>
      <w:r w:rsidRPr="007E79D1">
        <w:rPr>
          <w:rStyle w:val="Emphasis"/>
          <w:b/>
          <w:bCs/>
          <w:i w:val="0"/>
          <w:iCs w:val="0"/>
        </w:rPr>
        <w:t>Source</w:t>
      </w:r>
      <w:r>
        <w:rPr>
          <w:rStyle w:val="Emphasis"/>
        </w:rPr>
        <w:t xml:space="preserve">: </w:t>
      </w:r>
      <w:r w:rsidRPr="007E79D1">
        <w:rPr>
          <w:rStyle w:val="Emphasis"/>
          <w:i w:val="0"/>
          <w:iCs w:val="0"/>
        </w:rPr>
        <w:t>Porter (2008)</w:t>
      </w:r>
    </w:p>
    <w:p w14:paraId="77B72D4A" w14:textId="3914CAED" w:rsidR="00FE7A09" w:rsidRPr="00813058" w:rsidRDefault="00FE7A09"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Porter’s Five Forces</w:t>
      </w:r>
      <w:bookmarkEnd w:id="26"/>
    </w:p>
    <w:p w14:paraId="49515629"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Porter’s Five Forces analyses competitive pressures within an industry (Porter, 2008, p. 3). It evaluates rivalry, new entrants, substitutes, buyer power and supplier power.</w:t>
      </w:r>
    </w:p>
    <w:p w14:paraId="50633A7C" w14:textId="77777777" w:rsidR="00FE7A09" w:rsidRPr="009B0658"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7" w:name="_Toc236160666"/>
      <w:r w:rsidRPr="009B0658">
        <w:rPr>
          <w:rFonts w:eastAsia="Times New Roman" w:cs="Times New Roman"/>
          <w:b/>
          <w:bCs/>
          <w:kern w:val="0"/>
          <w:sz w:val="28"/>
          <w:szCs w:val="28"/>
          <w:lang w:eastAsia="en-GB"/>
          <w14:ligatures w14:val="none"/>
        </w:rPr>
        <w:t>2.4.1 Competitive Rivalry (High)</w:t>
      </w:r>
      <w:bookmarkEnd w:id="27"/>
    </w:p>
    <w:p w14:paraId="09C78DDA"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faces strong competition from Mars, Nestlé and Ferrero. These firms invest heavily in marketing and seasonal launches, increasing rivalry (Euromonitor, 2025, p. 44). Seasonal peaks intensify competition further.</w:t>
      </w:r>
    </w:p>
    <w:p w14:paraId="47999FC3" w14:textId="77777777" w:rsidR="00FE7A09" w:rsidRPr="009B0658"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8" w:name="_Toc236160667"/>
      <w:r w:rsidRPr="009B0658">
        <w:rPr>
          <w:rFonts w:eastAsia="Times New Roman" w:cs="Times New Roman"/>
          <w:b/>
          <w:bCs/>
          <w:kern w:val="0"/>
          <w:sz w:val="28"/>
          <w:szCs w:val="28"/>
          <w:lang w:eastAsia="en-GB"/>
          <w14:ligatures w14:val="none"/>
        </w:rPr>
        <w:t>2.4.2 Threat of New Entrants (Low)</w:t>
      </w:r>
      <w:bookmarkEnd w:id="28"/>
    </w:p>
    <w:p w14:paraId="6B92E530" w14:textId="7835A953"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High entry barriers</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capital requirements, brand loyalty and strict food regulations</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limit new entrants (Porter, 2008, p. 7; Hitt et al., 2020, p. 58).</w:t>
      </w:r>
    </w:p>
    <w:p w14:paraId="7D6F4B1C"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9" w:name="_Toc236160668"/>
      <w:r w:rsidRPr="003B239A">
        <w:rPr>
          <w:rFonts w:eastAsia="Times New Roman" w:cs="Times New Roman"/>
          <w:b/>
          <w:bCs/>
          <w:kern w:val="0"/>
          <w:sz w:val="28"/>
          <w:szCs w:val="28"/>
          <w:lang w:eastAsia="en-GB"/>
          <w14:ligatures w14:val="none"/>
        </w:rPr>
        <w:lastRenderedPageBreak/>
        <w:t>2.4.3 Threat of Substitutes (Moderate–High)</w:t>
      </w:r>
      <w:bookmarkEnd w:id="29"/>
    </w:p>
    <w:p w14:paraId="31A167EF"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Healthier snacks such as cereal bars and protein snacks are gaining popularity (Mintel, 2025, p. 33). Public health campaigns increase substitution risk (NHS, 2024, p. 7).</w:t>
      </w:r>
    </w:p>
    <w:p w14:paraId="181D11EB"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0" w:name="_Toc236160669"/>
      <w:r w:rsidRPr="003B239A">
        <w:rPr>
          <w:rFonts w:eastAsia="Times New Roman" w:cs="Times New Roman"/>
          <w:b/>
          <w:bCs/>
          <w:kern w:val="0"/>
          <w:sz w:val="28"/>
          <w:szCs w:val="28"/>
          <w:lang w:eastAsia="en-GB"/>
          <w14:ligatures w14:val="none"/>
        </w:rPr>
        <w:t>2.4.4 Bargaining Power of Buyers (High)</w:t>
      </w:r>
      <w:bookmarkEnd w:id="30"/>
    </w:p>
    <w:p w14:paraId="2E4532E6"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Retailers like Tesco and Sainsbury’s have strong bargaining power due to volume purchasing and control over shelf space (Grant, 2021, p. 67). Consumers also have low switching costs.</w:t>
      </w:r>
    </w:p>
    <w:p w14:paraId="2FBE62D2"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1" w:name="_Toc236160670"/>
      <w:r w:rsidRPr="003B239A">
        <w:rPr>
          <w:rFonts w:eastAsia="Times New Roman" w:cs="Times New Roman"/>
          <w:b/>
          <w:bCs/>
          <w:kern w:val="0"/>
          <w:sz w:val="28"/>
          <w:szCs w:val="28"/>
          <w:lang w:eastAsia="en-GB"/>
          <w14:ligatures w14:val="none"/>
        </w:rPr>
        <w:t>2.4.5 Bargaining Power of Suppliers (Moderate)</w:t>
      </w:r>
      <w:bookmarkEnd w:id="31"/>
    </w:p>
    <w:p w14:paraId="35E1CDC8"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Cocoa supply is vulnerable to climate change and geopolitical instability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 Cocoa Life helps reduce supplier dependency (Cocoa Life, 2025, p. 22).</w:t>
      </w:r>
    </w:p>
    <w:p w14:paraId="0AA897E4"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bookmarkStart w:id="32" w:name="_Toc236160671"/>
    </w:p>
    <w:p w14:paraId="70A48338"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F0EC4B0"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DA859EE"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F3DAB23"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2BDC7908"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DA4BA49"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08905710"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10CDEB7"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273A129" w14:textId="2468BC4F" w:rsidR="00C237B4" w:rsidRPr="003B239A" w:rsidRDefault="00C237B4"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r w:rsidRPr="003B239A">
        <w:rPr>
          <w:rFonts w:eastAsia="Times New Roman" w:cs="Times New Roman"/>
          <w:b/>
          <w:bCs/>
          <w:kern w:val="36"/>
          <w:sz w:val="28"/>
          <w:szCs w:val="28"/>
          <w:lang w:eastAsia="en-GB"/>
          <w14:ligatures w14:val="none"/>
        </w:rPr>
        <w:lastRenderedPageBreak/>
        <w:t>2.4.6 Porter’s Five Forces Summary Table</w:t>
      </w:r>
      <w:bookmarkEnd w:id="32"/>
    </w:p>
    <w:tbl>
      <w:tblPr>
        <w:tblStyle w:val="TableGrid"/>
        <w:tblW w:w="9634" w:type="dxa"/>
        <w:tblLook w:val="04A0" w:firstRow="1" w:lastRow="0" w:firstColumn="1" w:lastColumn="0" w:noHBand="0" w:noVBand="1"/>
      </w:tblPr>
      <w:tblGrid>
        <w:gridCol w:w="2254"/>
        <w:gridCol w:w="1852"/>
        <w:gridCol w:w="2656"/>
        <w:gridCol w:w="2872"/>
      </w:tblGrid>
      <w:tr w:rsidR="006C6B8D" w:rsidRPr="00813058" w14:paraId="2AFED8F9" w14:textId="77777777" w:rsidTr="00571928">
        <w:tc>
          <w:tcPr>
            <w:tcW w:w="2254" w:type="dxa"/>
          </w:tcPr>
          <w:p w14:paraId="64A8BF22" w14:textId="77777777" w:rsidR="00EF3C0C" w:rsidRPr="00813058" w:rsidRDefault="00EF3C0C" w:rsidP="00813058">
            <w:pPr>
              <w:spacing w:line="360" w:lineRule="auto"/>
              <w:rPr>
                <w:b/>
                <w:bCs/>
              </w:rPr>
            </w:pPr>
          </w:p>
          <w:p w14:paraId="3AF4743B" w14:textId="77777777" w:rsidR="006C6B8D" w:rsidRPr="00813058" w:rsidRDefault="00A457A8" w:rsidP="00813058">
            <w:pPr>
              <w:spacing w:line="360" w:lineRule="auto"/>
              <w:rPr>
                <w:b/>
                <w:bCs/>
              </w:rPr>
            </w:pPr>
            <w:r w:rsidRPr="00813058">
              <w:rPr>
                <w:b/>
                <w:bCs/>
              </w:rPr>
              <w:t>Force</w:t>
            </w:r>
          </w:p>
          <w:p w14:paraId="0A0BA614" w14:textId="7818A617" w:rsidR="00EF3C0C" w:rsidRPr="00813058" w:rsidRDefault="00EF3C0C" w:rsidP="00813058">
            <w:pPr>
              <w:spacing w:line="360" w:lineRule="auto"/>
              <w:rPr>
                <w:rFonts w:cs="Times New Roman"/>
                <w:b/>
                <w:bCs/>
                <w:sz w:val="36"/>
                <w:szCs w:val="36"/>
              </w:rPr>
            </w:pPr>
          </w:p>
        </w:tc>
        <w:tc>
          <w:tcPr>
            <w:tcW w:w="1852" w:type="dxa"/>
          </w:tcPr>
          <w:p w14:paraId="7703106E" w14:textId="77777777" w:rsidR="00EF3C0C" w:rsidRPr="00813058" w:rsidRDefault="00EF3C0C" w:rsidP="00813058">
            <w:pPr>
              <w:spacing w:line="360" w:lineRule="auto"/>
              <w:rPr>
                <w:b/>
                <w:bCs/>
              </w:rPr>
            </w:pPr>
          </w:p>
          <w:p w14:paraId="7BEF1618" w14:textId="4F1BC28A" w:rsidR="006C6B8D" w:rsidRPr="00813058" w:rsidRDefault="008011DD" w:rsidP="00813058">
            <w:pPr>
              <w:spacing w:line="360" w:lineRule="auto"/>
              <w:rPr>
                <w:rFonts w:cs="Times New Roman"/>
                <w:b/>
                <w:bCs/>
                <w:sz w:val="36"/>
                <w:szCs w:val="36"/>
              </w:rPr>
            </w:pPr>
            <w:r w:rsidRPr="00813058">
              <w:rPr>
                <w:b/>
                <w:bCs/>
              </w:rPr>
              <w:t>Intensity</w:t>
            </w:r>
          </w:p>
        </w:tc>
        <w:tc>
          <w:tcPr>
            <w:tcW w:w="2656" w:type="dxa"/>
          </w:tcPr>
          <w:p w14:paraId="7882C359" w14:textId="77777777" w:rsidR="00EF3C0C" w:rsidRPr="00813058" w:rsidRDefault="00EF3C0C" w:rsidP="00813058">
            <w:pPr>
              <w:spacing w:line="360" w:lineRule="auto"/>
              <w:rPr>
                <w:b/>
                <w:bCs/>
              </w:rPr>
            </w:pPr>
          </w:p>
          <w:p w14:paraId="1E2F85D7" w14:textId="4B9A462B" w:rsidR="006C6B8D" w:rsidRPr="00813058" w:rsidRDefault="00F628C8" w:rsidP="00813058">
            <w:pPr>
              <w:spacing w:line="360" w:lineRule="auto"/>
              <w:rPr>
                <w:rFonts w:cs="Times New Roman"/>
                <w:b/>
                <w:bCs/>
                <w:sz w:val="36"/>
                <w:szCs w:val="36"/>
              </w:rPr>
            </w:pPr>
            <w:r w:rsidRPr="00813058">
              <w:rPr>
                <w:b/>
                <w:bCs/>
              </w:rPr>
              <w:t>Key Points</w:t>
            </w:r>
          </w:p>
        </w:tc>
        <w:tc>
          <w:tcPr>
            <w:tcW w:w="2872" w:type="dxa"/>
          </w:tcPr>
          <w:p w14:paraId="00BCE218" w14:textId="77777777" w:rsidR="00EF3C0C" w:rsidRPr="00813058" w:rsidRDefault="00EF3C0C" w:rsidP="00813058">
            <w:pPr>
              <w:spacing w:line="360" w:lineRule="auto"/>
              <w:rPr>
                <w:b/>
                <w:bCs/>
              </w:rPr>
            </w:pPr>
          </w:p>
          <w:p w14:paraId="202E4AF8" w14:textId="693A65AB" w:rsidR="006C6B8D" w:rsidRPr="00813058" w:rsidRDefault="00977E27" w:rsidP="00813058">
            <w:pPr>
              <w:spacing w:line="360" w:lineRule="auto"/>
              <w:rPr>
                <w:rFonts w:cs="Times New Roman"/>
                <w:b/>
                <w:bCs/>
                <w:sz w:val="36"/>
                <w:szCs w:val="36"/>
              </w:rPr>
            </w:pPr>
            <w:r w:rsidRPr="00813058">
              <w:rPr>
                <w:b/>
                <w:bCs/>
              </w:rPr>
              <w:t>Reference</w:t>
            </w:r>
          </w:p>
        </w:tc>
      </w:tr>
      <w:tr w:rsidR="006C6B8D" w:rsidRPr="00813058" w14:paraId="668C0052" w14:textId="77777777" w:rsidTr="00571928">
        <w:tc>
          <w:tcPr>
            <w:tcW w:w="2254" w:type="dxa"/>
          </w:tcPr>
          <w:p w14:paraId="532EB36E" w14:textId="77777777" w:rsidR="004B15BD" w:rsidRPr="00813058" w:rsidRDefault="004B15BD" w:rsidP="00813058">
            <w:pPr>
              <w:spacing w:line="360" w:lineRule="auto"/>
            </w:pPr>
          </w:p>
          <w:p w14:paraId="0DD689DF" w14:textId="26C0F2C8" w:rsidR="006C6B8D" w:rsidRPr="00813058" w:rsidRDefault="00A457A8" w:rsidP="00813058">
            <w:pPr>
              <w:spacing w:line="360" w:lineRule="auto"/>
              <w:rPr>
                <w:rFonts w:cs="Times New Roman"/>
                <w:b/>
                <w:bCs/>
                <w:sz w:val="36"/>
                <w:szCs w:val="36"/>
              </w:rPr>
            </w:pPr>
            <w:r w:rsidRPr="00813058">
              <w:t>Competitive Rivalry</w:t>
            </w:r>
          </w:p>
        </w:tc>
        <w:tc>
          <w:tcPr>
            <w:tcW w:w="1852" w:type="dxa"/>
          </w:tcPr>
          <w:p w14:paraId="252942D2" w14:textId="77777777" w:rsidR="004B15BD" w:rsidRPr="00813058" w:rsidRDefault="004B15BD" w:rsidP="00813058">
            <w:pPr>
              <w:spacing w:line="360" w:lineRule="auto"/>
            </w:pPr>
          </w:p>
          <w:p w14:paraId="7A73F970" w14:textId="41A65575" w:rsidR="006C6B8D" w:rsidRPr="00813058" w:rsidRDefault="008011DD" w:rsidP="00813058">
            <w:pPr>
              <w:spacing w:line="360" w:lineRule="auto"/>
              <w:rPr>
                <w:rFonts w:cs="Times New Roman"/>
                <w:b/>
                <w:bCs/>
                <w:sz w:val="36"/>
                <w:szCs w:val="36"/>
              </w:rPr>
            </w:pPr>
            <w:r w:rsidRPr="00813058">
              <w:t>High</w:t>
            </w:r>
          </w:p>
        </w:tc>
        <w:tc>
          <w:tcPr>
            <w:tcW w:w="2656" w:type="dxa"/>
          </w:tcPr>
          <w:p w14:paraId="6CAD7FBB" w14:textId="77777777" w:rsidR="004B15BD" w:rsidRPr="00813058" w:rsidRDefault="004B15BD" w:rsidP="00813058">
            <w:pPr>
              <w:spacing w:line="360" w:lineRule="auto"/>
            </w:pPr>
          </w:p>
          <w:p w14:paraId="39B6CE09" w14:textId="77777777" w:rsidR="006C6B8D" w:rsidRPr="00813058" w:rsidRDefault="00F628C8" w:rsidP="00813058">
            <w:pPr>
              <w:spacing w:line="360" w:lineRule="auto"/>
            </w:pPr>
            <w:r w:rsidRPr="00813058">
              <w:t>Strong competition from Mars, Nestlé, Ferrero</w:t>
            </w:r>
          </w:p>
          <w:p w14:paraId="4E353E30" w14:textId="3AF5398C" w:rsidR="004B15BD" w:rsidRPr="00813058" w:rsidRDefault="004B15BD" w:rsidP="00813058">
            <w:pPr>
              <w:spacing w:line="360" w:lineRule="auto"/>
              <w:rPr>
                <w:rFonts w:cs="Times New Roman"/>
                <w:b/>
                <w:bCs/>
                <w:sz w:val="36"/>
                <w:szCs w:val="36"/>
              </w:rPr>
            </w:pPr>
          </w:p>
        </w:tc>
        <w:tc>
          <w:tcPr>
            <w:tcW w:w="2872" w:type="dxa"/>
          </w:tcPr>
          <w:p w14:paraId="00FF44A7" w14:textId="77777777" w:rsidR="004B15BD" w:rsidRPr="00813058" w:rsidRDefault="004B15BD" w:rsidP="00813058">
            <w:pPr>
              <w:spacing w:line="360" w:lineRule="auto"/>
            </w:pPr>
          </w:p>
          <w:p w14:paraId="6B9FA50E" w14:textId="350AF900" w:rsidR="006C6B8D" w:rsidRPr="00813058" w:rsidRDefault="00977E27" w:rsidP="00813058">
            <w:pPr>
              <w:spacing w:line="360" w:lineRule="auto"/>
              <w:rPr>
                <w:rFonts w:cs="Times New Roman"/>
                <w:b/>
                <w:bCs/>
                <w:sz w:val="36"/>
                <w:szCs w:val="36"/>
              </w:rPr>
            </w:pPr>
            <w:r w:rsidRPr="00813058">
              <w:t>Euromonitor (2025, p. 44)</w:t>
            </w:r>
          </w:p>
        </w:tc>
      </w:tr>
      <w:tr w:rsidR="006C6B8D" w:rsidRPr="00813058" w14:paraId="4FBB10F5" w14:textId="77777777" w:rsidTr="00571928">
        <w:tc>
          <w:tcPr>
            <w:tcW w:w="2254" w:type="dxa"/>
          </w:tcPr>
          <w:p w14:paraId="0B7EED8F" w14:textId="77777777" w:rsidR="004B15BD" w:rsidRPr="00813058" w:rsidRDefault="004B15BD" w:rsidP="00813058">
            <w:pPr>
              <w:spacing w:line="360" w:lineRule="auto"/>
            </w:pPr>
          </w:p>
          <w:p w14:paraId="14218F42" w14:textId="77777777" w:rsidR="006C6B8D" w:rsidRPr="00813058" w:rsidRDefault="009E1778" w:rsidP="00813058">
            <w:pPr>
              <w:spacing w:line="360" w:lineRule="auto"/>
            </w:pPr>
            <w:r w:rsidRPr="00813058">
              <w:t>Threat of New Entrants</w:t>
            </w:r>
          </w:p>
          <w:p w14:paraId="23F53BC2" w14:textId="5BF9715D" w:rsidR="004B15BD" w:rsidRPr="00813058" w:rsidRDefault="004B15BD" w:rsidP="00813058">
            <w:pPr>
              <w:spacing w:line="360" w:lineRule="auto"/>
              <w:rPr>
                <w:rFonts w:cs="Times New Roman"/>
                <w:b/>
                <w:bCs/>
                <w:sz w:val="36"/>
                <w:szCs w:val="36"/>
              </w:rPr>
            </w:pPr>
          </w:p>
        </w:tc>
        <w:tc>
          <w:tcPr>
            <w:tcW w:w="1852" w:type="dxa"/>
          </w:tcPr>
          <w:p w14:paraId="14194543" w14:textId="77777777" w:rsidR="004B15BD" w:rsidRPr="00813058" w:rsidRDefault="004B15BD" w:rsidP="00813058">
            <w:pPr>
              <w:spacing w:line="360" w:lineRule="auto"/>
            </w:pPr>
          </w:p>
          <w:p w14:paraId="12023F85" w14:textId="6681940B" w:rsidR="006C6B8D" w:rsidRPr="00813058" w:rsidRDefault="00DE477A" w:rsidP="00813058">
            <w:pPr>
              <w:spacing w:line="360" w:lineRule="auto"/>
              <w:rPr>
                <w:rFonts w:cs="Times New Roman"/>
                <w:b/>
                <w:bCs/>
                <w:sz w:val="36"/>
                <w:szCs w:val="36"/>
              </w:rPr>
            </w:pPr>
            <w:r w:rsidRPr="00813058">
              <w:t>Low</w:t>
            </w:r>
          </w:p>
        </w:tc>
        <w:tc>
          <w:tcPr>
            <w:tcW w:w="2656" w:type="dxa"/>
          </w:tcPr>
          <w:p w14:paraId="3EA3A9D2" w14:textId="77777777" w:rsidR="004B15BD" w:rsidRPr="00813058" w:rsidRDefault="004B15BD" w:rsidP="00813058">
            <w:pPr>
              <w:spacing w:line="360" w:lineRule="auto"/>
            </w:pPr>
          </w:p>
          <w:p w14:paraId="7B4B9413" w14:textId="2882D7F5" w:rsidR="006C6B8D" w:rsidRPr="00813058" w:rsidRDefault="00DF2865" w:rsidP="00813058">
            <w:pPr>
              <w:spacing w:line="360" w:lineRule="auto"/>
              <w:rPr>
                <w:rFonts w:cs="Times New Roman"/>
                <w:b/>
                <w:bCs/>
                <w:sz w:val="36"/>
                <w:szCs w:val="36"/>
              </w:rPr>
            </w:pPr>
            <w:r w:rsidRPr="00813058">
              <w:t>High entry barriers, strong brand loyalty</w:t>
            </w:r>
          </w:p>
        </w:tc>
        <w:tc>
          <w:tcPr>
            <w:tcW w:w="2872" w:type="dxa"/>
          </w:tcPr>
          <w:p w14:paraId="26EFC66C" w14:textId="77777777" w:rsidR="004B15BD" w:rsidRPr="00813058" w:rsidRDefault="004B15BD" w:rsidP="00813058">
            <w:pPr>
              <w:spacing w:line="360" w:lineRule="auto"/>
            </w:pPr>
          </w:p>
          <w:p w14:paraId="1D7C970A" w14:textId="27B6B2A2" w:rsidR="006C6B8D" w:rsidRPr="00813058" w:rsidRDefault="00977E27" w:rsidP="00813058">
            <w:pPr>
              <w:spacing w:line="360" w:lineRule="auto"/>
              <w:rPr>
                <w:rFonts w:cs="Times New Roman"/>
                <w:b/>
                <w:bCs/>
                <w:sz w:val="36"/>
                <w:szCs w:val="36"/>
              </w:rPr>
            </w:pPr>
            <w:r w:rsidRPr="00813058">
              <w:t>Porter (2008, p. 7)</w:t>
            </w:r>
            <w:r w:rsidR="009C24FC" w:rsidRPr="00813058">
              <w:t xml:space="preserve"> </w:t>
            </w:r>
          </w:p>
        </w:tc>
      </w:tr>
      <w:tr w:rsidR="006C6B8D" w:rsidRPr="00813058" w14:paraId="7E1A8371" w14:textId="77777777" w:rsidTr="00571928">
        <w:tc>
          <w:tcPr>
            <w:tcW w:w="2254" w:type="dxa"/>
          </w:tcPr>
          <w:p w14:paraId="1220CB15" w14:textId="77777777" w:rsidR="004B15BD" w:rsidRPr="00813058" w:rsidRDefault="004B15BD" w:rsidP="00813058">
            <w:pPr>
              <w:spacing w:line="360" w:lineRule="auto"/>
            </w:pPr>
          </w:p>
          <w:p w14:paraId="31760C2C" w14:textId="77777777" w:rsidR="006C6B8D" w:rsidRPr="00813058" w:rsidRDefault="009E1778" w:rsidP="00813058">
            <w:pPr>
              <w:spacing w:line="360" w:lineRule="auto"/>
            </w:pPr>
            <w:r w:rsidRPr="00813058">
              <w:t>Threat of Substitutes</w:t>
            </w:r>
          </w:p>
          <w:p w14:paraId="568654EE" w14:textId="579BE158" w:rsidR="004B15BD" w:rsidRPr="00813058" w:rsidRDefault="004B15BD" w:rsidP="00813058">
            <w:pPr>
              <w:spacing w:line="360" w:lineRule="auto"/>
              <w:rPr>
                <w:rFonts w:cs="Times New Roman"/>
                <w:b/>
                <w:bCs/>
                <w:sz w:val="36"/>
                <w:szCs w:val="36"/>
              </w:rPr>
            </w:pPr>
          </w:p>
        </w:tc>
        <w:tc>
          <w:tcPr>
            <w:tcW w:w="1852" w:type="dxa"/>
          </w:tcPr>
          <w:p w14:paraId="4043DABA" w14:textId="77777777" w:rsidR="004B15BD" w:rsidRPr="00813058" w:rsidRDefault="004B15BD" w:rsidP="00813058">
            <w:pPr>
              <w:spacing w:line="360" w:lineRule="auto"/>
            </w:pPr>
          </w:p>
          <w:p w14:paraId="7A7504B3" w14:textId="18BDB134" w:rsidR="006C6B8D" w:rsidRPr="00813058" w:rsidRDefault="00DE477A" w:rsidP="00813058">
            <w:pPr>
              <w:spacing w:line="360" w:lineRule="auto"/>
              <w:rPr>
                <w:rFonts w:cs="Times New Roman"/>
                <w:b/>
                <w:bCs/>
                <w:sz w:val="36"/>
                <w:szCs w:val="36"/>
              </w:rPr>
            </w:pPr>
            <w:r w:rsidRPr="00813058">
              <w:t>Moderate–High</w:t>
            </w:r>
          </w:p>
        </w:tc>
        <w:tc>
          <w:tcPr>
            <w:tcW w:w="2656" w:type="dxa"/>
          </w:tcPr>
          <w:p w14:paraId="37B86B44" w14:textId="77777777" w:rsidR="004B15BD" w:rsidRPr="00813058" w:rsidRDefault="004B15BD" w:rsidP="00813058">
            <w:pPr>
              <w:spacing w:line="360" w:lineRule="auto"/>
            </w:pPr>
          </w:p>
          <w:p w14:paraId="764249D9" w14:textId="062AEC50" w:rsidR="006C6B8D" w:rsidRPr="00813058" w:rsidRDefault="00DF2865" w:rsidP="00813058">
            <w:pPr>
              <w:spacing w:line="360" w:lineRule="auto"/>
              <w:rPr>
                <w:rFonts w:cs="Times New Roman"/>
                <w:b/>
                <w:bCs/>
                <w:sz w:val="36"/>
                <w:szCs w:val="36"/>
              </w:rPr>
            </w:pPr>
            <w:r w:rsidRPr="00813058">
              <w:t>Healthier snacks gaining popularity</w:t>
            </w:r>
          </w:p>
        </w:tc>
        <w:tc>
          <w:tcPr>
            <w:tcW w:w="2872" w:type="dxa"/>
          </w:tcPr>
          <w:p w14:paraId="180C9F16" w14:textId="77777777" w:rsidR="004B15BD" w:rsidRPr="00813058" w:rsidRDefault="004B15BD" w:rsidP="00813058">
            <w:pPr>
              <w:spacing w:line="360" w:lineRule="auto"/>
            </w:pPr>
          </w:p>
          <w:p w14:paraId="68180F94" w14:textId="38F7DE01" w:rsidR="006C6B8D" w:rsidRPr="00813058" w:rsidRDefault="009C24FC" w:rsidP="00813058">
            <w:pPr>
              <w:spacing w:line="360" w:lineRule="auto"/>
              <w:rPr>
                <w:rFonts w:cs="Times New Roman"/>
                <w:b/>
                <w:bCs/>
                <w:sz w:val="36"/>
                <w:szCs w:val="36"/>
              </w:rPr>
            </w:pPr>
            <w:r w:rsidRPr="00813058">
              <w:t>Mintel (2025, p. 33)</w:t>
            </w:r>
          </w:p>
        </w:tc>
      </w:tr>
      <w:tr w:rsidR="006C6B8D" w:rsidRPr="00813058" w14:paraId="1D662177" w14:textId="77777777" w:rsidTr="00571928">
        <w:tc>
          <w:tcPr>
            <w:tcW w:w="2254" w:type="dxa"/>
          </w:tcPr>
          <w:p w14:paraId="43D5E455" w14:textId="77777777" w:rsidR="004B15BD" w:rsidRPr="00813058" w:rsidRDefault="004B15BD" w:rsidP="00813058">
            <w:pPr>
              <w:spacing w:line="360" w:lineRule="auto"/>
            </w:pPr>
          </w:p>
          <w:p w14:paraId="5A318EB8" w14:textId="4D72AFFA" w:rsidR="006C6B8D" w:rsidRPr="00813058" w:rsidRDefault="009E1778" w:rsidP="00813058">
            <w:pPr>
              <w:spacing w:line="360" w:lineRule="auto"/>
              <w:rPr>
                <w:rFonts w:cs="Times New Roman"/>
                <w:b/>
                <w:bCs/>
                <w:sz w:val="36"/>
                <w:szCs w:val="36"/>
              </w:rPr>
            </w:pPr>
            <w:r w:rsidRPr="00813058">
              <w:t>Buyer Power</w:t>
            </w:r>
          </w:p>
        </w:tc>
        <w:tc>
          <w:tcPr>
            <w:tcW w:w="1852" w:type="dxa"/>
          </w:tcPr>
          <w:p w14:paraId="0A68CA96" w14:textId="77777777" w:rsidR="004B15BD" w:rsidRPr="00813058" w:rsidRDefault="004B15BD" w:rsidP="00813058">
            <w:pPr>
              <w:spacing w:line="360" w:lineRule="auto"/>
            </w:pPr>
          </w:p>
          <w:p w14:paraId="3A3D0EAC" w14:textId="7FA57AE6" w:rsidR="006C6B8D" w:rsidRPr="00813058" w:rsidRDefault="00DE477A" w:rsidP="00813058">
            <w:pPr>
              <w:spacing w:line="360" w:lineRule="auto"/>
              <w:rPr>
                <w:rFonts w:cs="Times New Roman"/>
                <w:b/>
                <w:bCs/>
                <w:sz w:val="36"/>
                <w:szCs w:val="36"/>
              </w:rPr>
            </w:pPr>
            <w:r w:rsidRPr="00813058">
              <w:t>High</w:t>
            </w:r>
          </w:p>
        </w:tc>
        <w:tc>
          <w:tcPr>
            <w:tcW w:w="2656" w:type="dxa"/>
          </w:tcPr>
          <w:p w14:paraId="27222417" w14:textId="77777777" w:rsidR="004B15BD" w:rsidRPr="00813058" w:rsidRDefault="004B15BD" w:rsidP="00813058">
            <w:pPr>
              <w:spacing w:line="360" w:lineRule="auto"/>
            </w:pPr>
          </w:p>
          <w:p w14:paraId="2456FF19" w14:textId="77777777" w:rsidR="006C6B8D" w:rsidRPr="00813058" w:rsidRDefault="005E19C2" w:rsidP="00813058">
            <w:pPr>
              <w:spacing w:line="360" w:lineRule="auto"/>
            </w:pPr>
            <w:r w:rsidRPr="00813058">
              <w:t>Retailer dominance, low switching costs</w:t>
            </w:r>
          </w:p>
          <w:p w14:paraId="5368B08E" w14:textId="373FD6D9" w:rsidR="004B15BD" w:rsidRPr="00813058" w:rsidRDefault="004B15BD" w:rsidP="00813058">
            <w:pPr>
              <w:spacing w:line="360" w:lineRule="auto"/>
              <w:rPr>
                <w:rFonts w:cs="Times New Roman"/>
                <w:b/>
                <w:bCs/>
                <w:sz w:val="36"/>
                <w:szCs w:val="36"/>
              </w:rPr>
            </w:pPr>
          </w:p>
        </w:tc>
        <w:tc>
          <w:tcPr>
            <w:tcW w:w="2872" w:type="dxa"/>
          </w:tcPr>
          <w:p w14:paraId="686A34A6" w14:textId="77777777" w:rsidR="004B15BD" w:rsidRPr="00813058" w:rsidRDefault="004B15BD" w:rsidP="00813058">
            <w:pPr>
              <w:spacing w:line="360" w:lineRule="auto"/>
            </w:pPr>
          </w:p>
          <w:p w14:paraId="724A09C8" w14:textId="38852F09" w:rsidR="006C6B8D" w:rsidRPr="00813058" w:rsidRDefault="009C24FC" w:rsidP="00813058">
            <w:pPr>
              <w:spacing w:line="360" w:lineRule="auto"/>
              <w:rPr>
                <w:rFonts w:cs="Times New Roman"/>
                <w:b/>
                <w:bCs/>
                <w:sz w:val="36"/>
                <w:szCs w:val="36"/>
              </w:rPr>
            </w:pPr>
            <w:r w:rsidRPr="00813058">
              <w:t>Grant (2021, p. 67)</w:t>
            </w:r>
          </w:p>
        </w:tc>
      </w:tr>
      <w:tr w:rsidR="006C6B8D" w:rsidRPr="00813058" w14:paraId="6293BC22" w14:textId="77777777" w:rsidTr="00571928">
        <w:tc>
          <w:tcPr>
            <w:tcW w:w="2254" w:type="dxa"/>
          </w:tcPr>
          <w:p w14:paraId="6DD3BCFD" w14:textId="77777777" w:rsidR="004B15BD" w:rsidRPr="00813058" w:rsidRDefault="004B15BD" w:rsidP="00813058">
            <w:pPr>
              <w:spacing w:line="360" w:lineRule="auto"/>
            </w:pPr>
          </w:p>
          <w:p w14:paraId="721E839B" w14:textId="713087B9" w:rsidR="006C6B8D" w:rsidRPr="00813058" w:rsidRDefault="009E1778" w:rsidP="00813058">
            <w:pPr>
              <w:spacing w:line="360" w:lineRule="auto"/>
              <w:rPr>
                <w:rFonts w:cs="Times New Roman"/>
                <w:b/>
                <w:bCs/>
                <w:sz w:val="36"/>
                <w:szCs w:val="36"/>
              </w:rPr>
            </w:pPr>
            <w:r w:rsidRPr="00813058">
              <w:t>Supplier Power</w:t>
            </w:r>
          </w:p>
        </w:tc>
        <w:tc>
          <w:tcPr>
            <w:tcW w:w="1852" w:type="dxa"/>
          </w:tcPr>
          <w:p w14:paraId="5B375537" w14:textId="77777777" w:rsidR="004B15BD" w:rsidRPr="00813058" w:rsidRDefault="004B15BD" w:rsidP="00813058">
            <w:pPr>
              <w:spacing w:line="360" w:lineRule="auto"/>
            </w:pPr>
          </w:p>
          <w:p w14:paraId="17ABC60D" w14:textId="6F062E9E" w:rsidR="006C6B8D" w:rsidRPr="00813058" w:rsidRDefault="00DE477A" w:rsidP="00813058">
            <w:pPr>
              <w:spacing w:line="360" w:lineRule="auto"/>
              <w:rPr>
                <w:rFonts w:cs="Times New Roman"/>
                <w:b/>
                <w:bCs/>
                <w:sz w:val="36"/>
                <w:szCs w:val="36"/>
              </w:rPr>
            </w:pPr>
            <w:r w:rsidRPr="00813058">
              <w:t>Moderate</w:t>
            </w:r>
          </w:p>
        </w:tc>
        <w:tc>
          <w:tcPr>
            <w:tcW w:w="2656" w:type="dxa"/>
          </w:tcPr>
          <w:p w14:paraId="75F3E7A6" w14:textId="77777777" w:rsidR="004B15BD" w:rsidRPr="00813058" w:rsidRDefault="004B15BD" w:rsidP="00813058">
            <w:pPr>
              <w:spacing w:line="360" w:lineRule="auto"/>
            </w:pPr>
          </w:p>
          <w:p w14:paraId="1C8A5EDB" w14:textId="77777777" w:rsidR="006C6B8D" w:rsidRPr="00813058" w:rsidRDefault="005E19C2" w:rsidP="00813058">
            <w:pPr>
              <w:spacing w:line="360" w:lineRule="auto"/>
            </w:pPr>
            <w:r w:rsidRPr="00813058">
              <w:t>Cocoa supply risks, sustainability initiatives</w:t>
            </w:r>
          </w:p>
          <w:p w14:paraId="33D9940D" w14:textId="74CCF585" w:rsidR="004B15BD" w:rsidRPr="00813058" w:rsidRDefault="004B15BD" w:rsidP="00813058">
            <w:pPr>
              <w:spacing w:line="360" w:lineRule="auto"/>
              <w:rPr>
                <w:rFonts w:cs="Times New Roman"/>
                <w:b/>
                <w:bCs/>
                <w:sz w:val="36"/>
                <w:szCs w:val="36"/>
              </w:rPr>
            </w:pPr>
          </w:p>
        </w:tc>
        <w:tc>
          <w:tcPr>
            <w:tcW w:w="2872" w:type="dxa"/>
          </w:tcPr>
          <w:p w14:paraId="7347716C" w14:textId="77777777" w:rsidR="004B15BD" w:rsidRPr="00813058" w:rsidRDefault="004B15BD" w:rsidP="00813058">
            <w:pPr>
              <w:spacing w:line="360" w:lineRule="auto"/>
            </w:pPr>
          </w:p>
          <w:p w14:paraId="3D117A75" w14:textId="0365CBC8" w:rsidR="006C6B8D" w:rsidRPr="00813058" w:rsidRDefault="00EF3C0C" w:rsidP="00813058">
            <w:pPr>
              <w:spacing w:line="360" w:lineRule="auto"/>
              <w:rPr>
                <w:rFonts w:cs="Times New Roman"/>
                <w:b/>
                <w:bCs/>
                <w:sz w:val="36"/>
                <w:szCs w:val="36"/>
              </w:rPr>
            </w:pPr>
            <w:r w:rsidRPr="00813058">
              <w:t>Cocoa Life (2025, p. 22)</w:t>
            </w:r>
          </w:p>
        </w:tc>
      </w:tr>
    </w:tbl>
    <w:p w14:paraId="278549DC" w14:textId="77777777" w:rsidR="00655123" w:rsidRDefault="00655123"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33" w:name="_Toc236160672"/>
    </w:p>
    <w:p w14:paraId="78E73F81" w14:textId="3F6F4035" w:rsidR="000550BF" w:rsidRPr="00813058" w:rsidRDefault="000550BF"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3. Corporate Social Responsibility and Performance Measurement</w:t>
      </w:r>
      <w:bookmarkEnd w:id="33"/>
    </w:p>
    <w:p w14:paraId="5A7C3870" w14:textId="77777777" w:rsidR="000550BF" w:rsidRDefault="000550B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34" w:name="_Toc236160673"/>
      <w:r w:rsidRPr="00813058">
        <w:rPr>
          <w:rFonts w:eastAsia="Times New Roman" w:cs="Times New Roman"/>
          <w:b/>
          <w:bCs/>
          <w:kern w:val="0"/>
          <w:sz w:val="36"/>
          <w:szCs w:val="36"/>
          <w:lang w:eastAsia="en-GB"/>
          <w14:ligatures w14:val="none"/>
        </w:rPr>
        <w:t>3.1 Corporate Social Responsibility (CSR)</w:t>
      </w:r>
      <w:bookmarkEnd w:id="34"/>
    </w:p>
    <w:p w14:paraId="424436C9" w14:textId="62C0322D" w:rsidR="00453CCC" w:rsidRPr="00813058" w:rsidRDefault="00453CC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"https://www.toolshero.com/wp-content/uploads/2022/04/carroll-csr-pyramid-model-toolshero.jpg" \* MERGEFORMATINET </w:instrText>
      </w:r>
      <w:r>
        <w:fldChar w:fldCharType="separate"/>
      </w:r>
      <w:r>
        <w:rPr>
          <w:noProof/>
        </w:rPr>
        <w:drawing>
          <wp:inline distT="0" distB="0" distL="0" distR="0" wp14:anchorId="06306AB5" wp14:editId="1E8801F7">
            <wp:extent cx="5731510" cy="4297045"/>
            <wp:effectExtent l="0" t="0" r="0" b="0"/>
            <wp:docPr id="1337165547" name="Picture 7" descr="Carrols Principles Pyramid – Carroll Csr Pyramid Example – YFM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rols Principles Pyramid – Carroll Csr Pyramid Example – YFMFV"/>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r>
        <w:fldChar w:fldCharType="end"/>
      </w:r>
    </w:p>
    <w:p w14:paraId="5E7C1D37" w14:textId="5A79B127" w:rsidR="00C7674F" w:rsidRDefault="00C7674F" w:rsidP="00C7674F">
      <w:pPr>
        <w:spacing w:before="100" w:beforeAutospacing="1" w:after="100" w:afterAutospacing="1" w:line="360" w:lineRule="auto"/>
        <w:jc w:val="center"/>
        <w:outlineLvl w:val="2"/>
      </w:pPr>
      <w:bookmarkStart w:id="35" w:name="_Toc236160674"/>
      <w:r>
        <w:rPr>
          <w:rStyle w:val="Strong"/>
        </w:rPr>
        <w:t>Figure 5:</w:t>
      </w:r>
      <w:r>
        <w:t xml:space="preserve"> Carroll’s CSR Pyramid</w:t>
      </w:r>
    </w:p>
    <w:p w14:paraId="39A0EF12" w14:textId="58981C22" w:rsidR="00C7674F" w:rsidRDefault="00C7674F" w:rsidP="00C7674F">
      <w:pPr>
        <w:spacing w:before="100" w:beforeAutospacing="1" w:after="100" w:afterAutospacing="1" w:line="360" w:lineRule="auto"/>
        <w:jc w:val="center"/>
        <w:outlineLvl w:val="2"/>
        <w:rPr>
          <w:rFonts w:eastAsia="Times New Roman" w:cs="Times New Roman"/>
          <w:i/>
          <w:iCs/>
          <w:kern w:val="0"/>
          <w:lang w:eastAsia="en-GB"/>
          <w14:ligatures w14:val="none"/>
        </w:rPr>
      </w:pPr>
      <w:r w:rsidRPr="00C7674F">
        <w:rPr>
          <w:rStyle w:val="Emphasis"/>
          <w:b/>
          <w:bCs/>
          <w:i w:val="0"/>
          <w:iCs w:val="0"/>
        </w:rPr>
        <w:t>Source:</w:t>
      </w:r>
      <w:r>
        <w:rPr>
          <w:rStyle w:val="Emphasis"/>
        </w:rPr>
        <w:t xml:space="preserve"> </w:t>
      </w:r>
      <w:r w:rsidRPr="00CC24FB">
        <w:rPr>
          <w:rStyle w:val="Emphasis"/>
          <w:i w:val="0"/>
          <w:iCs w:val="0"/>
        </w:rPr>
        <w:t>Carroll (1991)</w:t>
      </w:r>
    </w:p>
    <w:p w14:paraId="6A8E1533" w14:textId="33E6D5B2" w:rsidR="000550BF" w:rsidRPr="00813058" w:rsidRDefault="000550BF"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CSR</w:t>
      </w:r>
      <w:bookmarkEnd w:id="35"/>
    </w:p>
    <w:p w14:paraId="67D030AC" w14:textId="7839279C"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Corporate Social Responsibility (CSR) refers to an organisation’s obligation to operate ethically, contribute to sustainable development and enhance the wellbeing of its stakeholders. Carroll’s (1991, p. 40) CSR pyramid outlines four layers of responsibility</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lastRenderedPageBreak/>
        <w:t>economic, legal, ethical and philanthropic</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emphasising that organisations must balance profitability with social and environmental obligations. CSR therefore encourages companies to integrate responsible practices into their core strategies rather than treating them as optional activities.</w:t>
      </w:r>
    </w:p>
    <w:p w14:paraId="38E82CF2" w14:textId="77777777" w:rsidR="000550BF" w:rsidRPr="00603BBE"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6" w:name="_Toc236160675"/>
      <w:r w:rsidRPr="00603BBE">
        <w:rPr>
          <w:rFonts w:eastAsia="Times New Roman" w:cs="Times New Roman"/>
          <w:b/>
          <w:bCs/>
          <w:kern w:val="0"/>
          <w:sz w:val="28"/>
          <w:szCs w:val="28"/>
          <w:lang w:eastAsia="en-GB"/>
          <w14:ligatures w14:val="none"/>
        </w:rPr>
        <w:t>3.1.1 Cadbury’s CSR Approach</w:t>
      </w:r>
      <w:bookmarkEnd w:id="36"/>
    </w:p>
    <w:p w14:paraId="3E11206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approach to CSR is deeply rooted in its historical foundations. Originating from its Quaker heritage, the company has long prioritised fairness, community welfare and ethical business conduct. These values continue to shape Cadbury’s modern CSR strategy, which is centred around sustainability, ethical sourcing and community engagement. The Cocoa Life programme, in particular, reflects Cadbury’s commitment to improving conditions within the cocoa supply chain and supporting long</w:t>
      </w:r>
      <w:r w:rsidRPr="00813058">
        <w:rPr>
          <w:rFonts w:eastAsia="Times New Roman" w:cs="Times New Roman"/>
          <w:kern w:val="0"/>
          <w:lang w:eastAsia="en-GB"/>
          <w14:ligatures w14:val="none"/>
        </w:rPr>
        <w:noBreakHyphen/>
        <w:t>term environmental resilience.</w:t>
      </w:r>
    </w:p>
    <w:p w14:paraId="3215A747"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Economic Responsibility</w:t>
      </w:r>
    </w:p>
    <w:p w14:paraId="03BF12AF"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Carroll (1991, p. 40) identifies economic responsibility as the base of the CSR pyramid, highlighting the need for organisations to remain profitable and financially stable. Cadbury fulfils this responsibility by sustaining strong market performance and investing in product innovation to meet evolving consumer needs. Its leading market share in the UK chocolate sector demonstrates its ability to generate consistent revenue (Kantar, 2025, p. 14). This financial strength enables Cadbury to invest in sustainability initiatives, community programmes and long</w:t>
      </w:r>
      <w:r w:rsidRPr="00813058">
        <w:rPr>
          <w:rFonts w:eastAsia="Times New Roman" w:cs="Times New Roman"/>
          <w:kern w:val="0"/>
          <w:lang w:eastAsia="en-GB"/>
          <w14:ligatures w14:val="none"/>
        </w:rPr>
        <w:noBreakHyphen/>
        <w:t>term ethical sourcing strategies.</w:t>
      </w:r>
    </w:p>
    <w:p w14:paraId="543C666A"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Legal Responsibility</w:t>
      </w:r>
    </w:p>
    <w:p w14:paraId="2C31DC1B"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Legal responsibility requires organisations to comply with relevant laws and regulations (Carroll, 1991, p. 41). Cadbury adheres to UK food safety standards, labelling requirements and advertising regulations, particularly those concerning sugar content and marketing to children. Compliance with these regulations is essential for maintaining consumer trust and avoiding reputational damage (Hitt et al., 2020, p. 58). </w:t>
      </w:r>
      <w:r w:rsidRPr="00813058">
        <w:rPr>
          <w:rFonts w:eastAsia="Times New Roman" w:cs="Times New Roman"/>
          <w:kern w:val="0"/>
          <w:lang w:eastAsia="en-GB"/>
          <w14:ligatures w14:val="none"/>
        </w:rPr>
        <w:lastRenderedPageBreak/>
        <w:t>As regulatory scrutiny around sugar consumption increases, Cadbury must continue adapting its practices to meet legal expectations.</w:t>
      </w:r>
    </w:p>
    <w:p w14:paraId="0FD5CB5B"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Ethical Responsibility</w:t>
      </w:r>
    </w:p>
    <w:p w14:paraId="17E729D8"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Ethical responsibility involves acting beyond legal requirements to uphold moral standards (Carroll, 1991, p. 42). Cadbury demonstrates ethical responsibility through its commitment to fair labour practices, sustainable cocoa sourcing and community development. The Cocoa Life programme supports over 200,000 farmers globally, promoting ethical farming practices, improving livelihoods and reducing risks associated with child labour (Cocoa Life, 2025, p. 18). These efforts strengthen Cadbury’s reputation as a socially responsible organisation.</w:t>
      </w:r>
    </w:p>
    <w:p w14:paraId="1A3CF766" w14:textId="77777777" w:rsidR="000550BF" w:rsidRPr="002236E1"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2236E1">
        <w:rPr>
          <w:rFonts w:eastAsia="Times New Roman" w:cs="Times New Roman"/>
          <w:b/>
          <w:bCs/>
          <w:kern w:val="0"/>
          <w:sz w:val="27"/>
          <w:szCs w:val="27"/>
          <w:lang w:eastAsia="en-GB"/>
          <w14:ligatures w14:val="none"/>
        </w:rPr>
        <w:t>Philanthropic Responsibility</w:t>
      </w:r>
    </w:p>
    <w:p w14:paraId="2FEBB2D0"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Philanthropic responsibility refers to voluntary actions that benefit society (Carroll, 1991, p. 42). Cadbury engages in charitable activities such as donations to food banks, community projects and educational programmes. Mondelēz International’s Community Relief Fund highlights Cadbury’s contributions to local UK communities during periods of economic hardship (Mondelēz International, 2024, p. 15). These initiatives reinforce Cadbury’s commitment to supporting communities beyond its commercial operations.</w:t>
      </w:r>
    </w:p>
    <w:p w14:paraId="0037963B" w14:textId="77777777" w:rsidR="000550BF" w:rsidRPr="002236E1"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7" w:name="_Toc236160676"/>
      <w:r w:rsidRPr="002236E1">
        <w:rPr>
          <w:rFonts w:eastAsia="Times New Roman" w:cs="Times New Roman"/>
          <w:b/>
          <w:bCs/>
          <w:kern w:val="0"/>
          <w:sz w:val="28"/>
          <w:szCs w:val="28"/>
          <w:lang w:eastAsia="en-GB"/>
          <w14:ligatures w14:val="none"/>
        </w:rPr>
        <w:t>3.1.2 Cocoa Life Programme (Cadbury’s Flagship CSR Initiative)</w:t>
      </w:r>
      <w:bookmarkEnd w:id="37"/>
    </w:p>
    <w:p w14:paraId="6F8AFF8A"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Cocoa Life programme is Cadbury’s most significant CSR initiative and represents a long</w:t>
      </w:r>
      <w:r w:rsidRPr="00813058">
        <w:rPr>
          <w:rFonts w:eastAsia="Times New Roman" w:cs="Times New Roman"/>
          <w:kern w:val="0"/>
          <w:lang w:eastAsia="en-GB"/>
          <w14:ligatures w14:val="none"/>
        </w:rPr>
        <w:noBreakHyphen/>
        <w:t>term commitment to improving sustainability within the cocoa supply chain. The programme focuses on empowering cocoa</w:t>
      </w:r>
      <w:r w:rsidRPr="00813058">
        <w:rPr>
          <w:rFonts w:eastAsia="Times New Roman" w:cs="Times New Roman"/>
          <w:kern w:val="0"/>
          <w:lang w:eastAsia="en-GB"/>
          <w14:ligatures w14:val="none"/>
        </w:rPr>
        <w:noBreakHyphen/>
        <w:t>growing communities, enhancing environmental resilience and promoting ethical sourcing practices.</w:t>
      </w:r>
    </w:p>
    <w:p w14:paraId="427A547C" w14:textId="77777777" w:rsidR="000550BF" w:rsidRPr="002236E1"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2236E1">
        <w:rPr>
          <w:rFonts w:eastAsia="Times New Roman" w:cs="Times New Roman"/>
          <w:b/>
          <w:bCs/>
          <w:kern w:val="0"/>
          <w:sz w:val="27"/>
          <w:szCs w:val="27"/>
          <w:lang w:eastAsia="en-GB"/>
          <w14:ligatures w14:val="none"/>
        </w:rPr>
        <w:t>Key CSR Impacts of Cocoa Life</w:t>
      </w:r>
    </w:p>
    <w:p w14:paraId="6A07EACB"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Farmer Livelihoods:</w:t>
      </w:r>
      <w:r w:rsidRPr="00813058">
        <w:rPr>
          <w:rFonts w:eastAsia="Times New Roman" w:cs="Times New Roman"/>
          <w:kern w:val="0"/>
          <w:lang w:eastAsia="en-GB"/>
          <w14:ligatures w14:val="none"/>
        </w:rPr>
        <w:t xml:space="preserve"> Cocoa Life supports income diversification, agricultural training and financial stability for cocoa farmers (Cocoa Life, 2025, p. 22).</w:t>
      </w:r>
    </w:p>
    <w:p w14:paraId="4CC74E1A"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lastRenderedPageBreak/>
        <w:t>Environmental Protection:</w:t>
      </w:r>
      <w:r w:rsidRPr="00813058">
        <w:rPr>
          <w:rFonts w:eastAsia="Times New Roman" w:cs="Times New Roman"/>
          <w:kern w:val="0"/>
          <w:lang w:eastAsia="en-GB"/>
          <w14:ligatures w14:val="none"/>
        </w:rPr>
        <w:t xml:space="preserve"> The programme promotes reforestation, climate</w:t>
      </w:r>
      <w:r w:rsidRPr="00813058">
        <w:rPr>
          <w:rFonts w:eastAsia="Times New Roman" w:cs="Times New Roman"/>
          <w:kern w:val="0"/>
          <w:lang w:eastAsia="en-GB"/>
          <w14:ligatures w14:val="none"/>
        </w:rPr>
        <w:noBreakHyphen/>
        <w:t xml:space="preserve">resilient farming and biodiversity conservation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w:t>
      </w:r>
    </w:p>
    <w:p w14:paraId="150C2BEA"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Community Development:</w:t>
      </w:r>
      <w:r w:rsidRPr="00813058">
        <w:rPr>
          <w:rFonts w:eastAsia="Times New Roman" w:cs="Times New Roman"/>
          <w:kern w:val="0"/>
          <w:lang w:eastAsia="en-GB"/>
          <w14:ligatures w14:val="none"/>
        </w:rPr>
        <w:t xml:space="preserve"> Cocoa Life funds education, women’s empowerment initiatives and youth programmes in cocoa</w:t>
      </w:r>
      <w:r w:rsidRPr="00813058">
        <w:rPr>
          <w:rFonts w:eastAsia="Times New Roman" w:cs="Times New Roman"/>
          <w:kern w:val="0"/>
          <w:lang w:eastAsia="en-GB"/>
          <w14:ligatures w14:val="none"/>
        </w:rPr>
        <w:noBreakHyphen/>
        <w:t>growing regions (Fairtrade Foundation, 2025, p. 12).</w:t>
      </w:r>
    </w:p>
    <w:p w14:paraId="0EFD7C23"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Ethical Supply Chain:</w:t>
      </w:r>
      <w:r w:rsidRPr="00813058">
        <w:rPr>
          <w:rFonts w:eastAsia="Times New Roman" w:cs="Times New Roman"/>
          <w:kern w:val="0"/>
          <w:lang w:eastAsia="en-GB"/>
          <w14:ligatures w14:val="none"/>
        </w:rPr>
        <w:t xml:space="preserve"> The programme reduces risks of child labour and exploitation by promoting transparent and responsible sourcing practices (Cocoa Life, 2025, p. 18).</w:t>
      </w:r>
    </w:p>
    <w:p w14:paraId="2D90132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CSR strategy strengthens its brand reputation, aligns with consumer expectations and supports long</w:t>
      </w:r>
      <w:r w:rsidRPr="00813058">
        <w:rPr>
          <w:rFonts w:eastAsia="Times New Roman" w:cs="Times New Roman"/>
          <w:kern w:val="0"/>
          <w:lang w:eastAsia="en-GB"/>
          <w14:ligatures w14:val="none"/>
        </w:rPr>
        <w:noBreakHyphen/>
        <w:t>term sustainability in the global cocoa supply chain.</w:t>
      </w:r>
    </w:p>
    <w:p w14:paraId="0B3C4B44" w14:textId="56B53F4A" w:rsidR="000550BF" w:rsidRDefault="000550B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38" w:name="_Toc236160677"/>
      <w:r w:rsidRPr="00813058">
        <w:rPr>
          <w:rFonts w:eastAsia="Times New Roman" w:cs="Times New Roman"/>
          <w:b/>
          <w:bCs/>
          <w:kern w:val="0"/>
          <w:sz w:val="36"/>
          <w:szCs w:val="36"/>
          <w:lang w:eastAsia="en-GB"/>
          <w14:ligatures w14:val="none"/>
        </w:rPr>
        <w:t>3.2 Balanced Scorecard (BSC)</w:t>
      </w:r>
      <w:bookmarkEnd w:id="38"/>
    </w:p>
    <w:p w14:paraId="4C9DAB4F" w14:textId="6DF62CFF" w:rsidR="00B442AA" w:rsidRPr="00813058" w:rsidRDefault="00FB653A"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"https://www.peoplestrong.com/wp-content/uploads/2024/12/2-infographics_1-1024x576.png" \* MERGEFORMATINET </w:instrText>
      </w:r>
      <w:r>
        <w:fldChar w:fldCharType="separate"/>
      </w:r>
      <w:r>
        <w:rPr>
          <w:noProof/>
        </w:rPr>
        <w:drawing>
          <wp:inline distT="0" distB="0" distL="0" distR="0" wp14:anchorId="25C0B0A5" wp14:editId="5DD27598">
            <wp:extent cx="5731510" cy="3221990"/>
            <wp:effectExtent l="0" t="0" r="0" b="3810"/>
            <wp:docPr id="2016364119" name="Picture 8" descr="7 Effective Performance Appraisal Methods for Modern Work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7 Effective Performance Appraisal Methods for Modern Workfor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fldChar w:fldCharType="end"/>
      </w:r>
    </w:p>
    <w:p w14:paraId="229115B2" w14:textId="1B067430" w:rsidR="00DF728D" w:rsidRDefault="00DF728D" w:rsidP="00DF728D">
      <w:pPr>
        <w:spacing w:before="100" w:beforeAutospacing="1" w:after="100" w:afterAutospacing="1" w:line="360" w:lineRule="auto"/>
        <w:jc w:val="center"/>
        <w:outlineLvl w:val="2"/>
      </w:pPr>
      <w:bookmarkStart w:id="39" w:name="_Toc236160678"/>
      <w:r>
        <w:rPr>
          <w:rStyle w:val="Strong"/>
        </w:rPr>
        <w:t>Figure 6:</w:t>
      </w:r>
      <w:r>
        <w:t xml:space="preserve"> Balanced Scorecard Diagram</w:t>
      </w:r>
    </w:p>
    <w:p w14:paraId="68DFA008" w14:textId="2CAA7682" w:rsidR="00DF728D" w:rsidRPr="00DF728D" w:rsidRDefault="00DF728D" w:rsidP="00DF728D">
      <w:pPr>
        <w:spacing w:before="100" w:beforeAutospacing="1" w:after="100" w:afterAutospacing="1" w:line="360" w:lineRule="auto"/>
        <w:jc w:val="center"/>
        <w:outlineLvl w:val="2"/>
        <w:rPr>
          <w:rFonts w:eastAsia="Times New Roman" w:cs="Times New Roman"/>
          <w:i/>
          <w:iCs/>
          <w:kern w:val="0"/>
          <w:lang w:eastAsia="en-GB"/>
          <w14:ligatures w14:val="none"/>
        </w:rPr>
      </w:pPr>
      <w:r w:rsidRPr="00DF728D">
        <w:rPr>
          <w:rStyle w:val="Emphasis"/>
          <w:b/>
          <w:bCs/>
          <w:i w:val="0"/>
          <w:iCs w:val="0"/>
        </w:rPr>
        <w:t>Source</w:t>
      </w:r>
      <w:r w:rsidRPr="00DF728D">
        <w:rPr>
          <w:rStyle w:val="Emphasis"/>
          <w:i w:val="0"/>
          <w:iCs w:val="0"/>
        </w:rPr>
        <w:t>: Kaplan &amp; Norton (1996)</w:t>
      </w:r>
    </w:p>
    <w:p w14:paraId="37583E24" w14:textId="77777777" w:rsidR="00334A5B" w:rsidRDefault="00334A5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p>
    <w:p w14:paraId="23201FBC" w14:textId="1B376632" w:rsidR="000550BF" w:rsidRPr="00813058" w:rsidRDefault="000550BF"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lastRenderedPageBreak/>
        <w:t>Definition of Balanced Scorecard</w:t>
      </w:r>
      <w:bookmarkEnd w:id="39"/>
    </w:p>
    <w:p w14:paraId="226E3355"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Balanced Scorecard (BSC), developed by Kaplan and Norton (1996, p. 75), is a strategic performance management tool that evaluates an organisation across four perspectives: Financial, Customer, Internal Processes and Learning &amp; Growth. The BSC encourages organisations to adopt a holistic approach to performance measurement by integrating both financial and non</w:t>
      </w:r>
      <w:r w:rsidRPr="00813058">
        <w:rPr>
          <w:rFonts w:eastAsia="Times New Roman" w:cs="Times New Roman"/>
          <w:kern w:val="0"/>
          <w:lang w:eastAsia="en-GB"/>
          <w14:ligatures w14:val="none"/>
        </w:rPr>
        <w:noBreakHyphen/>
        <w:t>financial indicators.</w:t>
      </w:r>
    </w:p>
    <w:p w14:paraId="78B41B04"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0" w:name="_Toc236160679"/>
      <w:r w:rsidRPr="003A56BF">
        <w:rPr>
          <w:rFonts w:eastAsia="Times New Roman" w:cs="Times New Roman"/>
          <w:b/>
          <w:bCs/>
          <w:kern w:val="0"/>
          <w:sz w:val="28"/>
          <w:szCs w:val="28"/>
          <w:lang w:eastAsia="en-GB"/>
          <w14:ligatures w14:val="none"/>
        </w:rPr>
        <w:t>3.2.1 Financial Perspective</w:t>
      </w:r>
      <w:bookmarkEnd w:id="40"/>
    </w:p>
    <w:p w14:paraId="307D722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financial perspective focuses on profitability, cost efficiency and shareholder value (Kaplan &amp; Norton, 1996, p. 76). Cadbury demonstrates strong financial performance through its leading market share in the UK chocolate confectionery sector (Kantar, 2025, p. 14). Seasonal peaks during Easter and Christmas contribute significantly to revenue growth (Mintel, 2025, p. 22). However, rising cocoa prices and inflation present cost pressures that Cadbury must manage to maintain financial stability (DEFRA, 2024, p. 9). Balancing affordability with rising production costs is essential for sustaining profitability.</w:t>
      </w:r>
    </w:p>
    <w:p w14:paraId="5791D647"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1" w:name="_Toc236160680"/>
      <w:r w:rsidRPr="003A56BF">
        <w:rPr>
          <w:rFonts w:eastAsia="Times New Roman" w:cs="Times New Roman"/>
          <w:b/>
          <w:bCs/>
          <w:kern w:val="0"/>
          <w:sz w:val="28"/>
          <w:szCs w:val="28"/>
          <w:lang w:eastAsia="en-GB"/>
          <w14:ligatures w14:val="none"/>
        </w:rPr>
        <w:t>3.2.2 Customer Perspective</w:t>
      </w:r>
      <w:bookmarkEnd w:id="41"/>
    </w:p>
    <w:p w14:paraId="10D648E6"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customer perspective evaluates customer satisfaction, loyalty and brand perception (Kaplan &amp; Norton, 1996, p. 77). Cadbury enjoys high levels of brand loyalty due to its heritage, emotional marketing and strong product portfolio (Euromonitor, 2025, p. 41). Ethical sourcing through Cocoa Life enhances consumer trust (Fairtrade Foundation, 2025, p. 12). However, growing demand for healthier and reduced</w:t>
      </w:r>
      <w:r w:rsidRPr="00813058">
        <w:rPr>
          <w:rFonts w:eastAsia="Times New Roman" w:cs="Times New Roman"/>
          <w:kern w:val="0"/>
          <w:lang w:eastAsia="en-GB"/>
          <w14:ligatures w14:val="none"/>
        </w:rPr>
        <w:noBreakHyphen/>
        <w:t>sugar products requires Cadbury to innovate to meet evolving customer expectations (Mintel, 2025, p. 33).</w:t>
      </w:r>
    </w:p>
    <w:p w14:paraId="07B750A3"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2" w:name="_Toc236160681"/>
      <w:r w:rsidRPr="003A56BF">
        <w:rPr>
          <w:rFonts w:eastAsia="Times New Roman" w:cs="Times New Roman"/>
          <w:b/>
          <w:bCs/>
          <w:kern w:val="0"/>
          <w:sz w:val="28"/>
          <w:szCs w:val="28"/>
          <w:lang w:eastAsia="en-GB"/>
          <w14:ligatures w14:val="none"/>
        </w:rPr>
        <w:t>3.2.3 Internal Processes Perspective</w:t>
      </w:r>
      <w:bookmarkEnd w:id="42"/>
    </w:p>
    <w:p w14:paraId="1E9D2FB8"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This perspective examines operational efficiency, quality control and innovation processes (Kaplan &amp; Norton, 1996, p. 78). Cadbury benefits from advanced manufacturing technologies and strong supply chain management supported by Cocoa </w:t>
      </w:r>
      <w:r w:rsidRPr="00813058">
        <w:rPr>
          <w:rFonts w:eastAsia="Times New Roman" w:cs="Times New Roman"/>
          <w:kern w:val="0"/>
          <w:lang w:eastAsia="en-GB"/>
          <w14:ligatures w14:val="none"/>
        </w:rPr>
        <w:lastRenderedPageBreak/>
        <w:t>Life partnerships (Cocoa Life, 2025, p. 22). Continuous product innovation helps Cadbury maintain relevance in a mature market (Euromonitor, 2025, p. 41). Mondelēz’s investment in automation and data analytics further enhances Cadbury’s internal processes (Mondelēz International, 2024, p. 12).</w:t>
      </w:r>
    </w:p>
    <w:p w14:paraId="0F3C69A8"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3" w:name="_Toc236160682"/>
      <w:r w:rsidRPr="003A56BF">
        <w:rPr>
          <w:rFonts w:eastAsia="Times New Roman" w:cs="Times New Roman"/>
          <w:b/>
          <w:bCs/>
          <w:kern w:val="0"/>
          <w:sz w:val="28"/>
          <w:szCs w:val="28"/>
          <w:lang w:eastAsia="en-GB"/>
          <w14:ligatures w14:val="none"/>
        </w:rPr>
        <w:t>3.2.4 Learning and Growth Perspective</w:t>
      </w:r>
      <w:bookmarkEnd w:id="43"/>
    </w:p>
    <w:p w14:paraId="1BAE1445" w14:textId="65316B5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learning and growth perspective focuses on employee development, organisational culture and long</w:t>
      </w:r>
      <w:r w:rsidRPr="00813058">
        <w:rPr>
          <w:rFonts w:eastAsia="Times New Roman" w:cs="Times New Roman"/>
          <w:kern w:val="0"/>
          <w:lang w:eastAsia="en-GB"/>
          <w14:ligatures w14:val="none"/>
        </w:rPr>
        <w:noBreakHyphen/>
        <w:t>term capability building (Kaplan &amp; Norton, 1996, p. 79). Cadbury invests in employee training, leadership development and digital transformation initiatives. Mondelēz’s digital strategy has strengthened Cadbury’s data analytics and marketing capabilities (Lynch, 2021, p. 112). Cadbury’s organisational culture</w:t>
      </w:r>
      <w:r w:rsidR="0081459A"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rooted in heritage, ethical values and community engagement</w:t>
      </w:r>
      <w:r w:rsidR="0081459A"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supports long</w:t>
      </w:r>
      <w:r w:rsidRPr="00813058">
        <w:rPr>
          <w:rFonts w:eastAsia="Times New Roman" w:cs="Times New Roman"/>
          <w:kern w:val="0"/>
          <w:lang w:eastAsia="en-GB"/>
          <w14:ligatures w14:val="none"/>
        </w:rPr>
        <w:noBreakHyphen/>
        <w:t>term competitiveness (Kantar, 2025, p. 14).</w:t>
      </w:r>
    </w:p>
    <w:p w14:paraId="3C95109C"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bookmarkStart w:id="44" w:name="_Toc236160683"/>
    </w:p>
    <w:p w14:paraId="63CAEBC3"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AD544E1"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42F56A90"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90EEE88"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A5C43EA"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4CD01C27"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12833FCD"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5EC9CB05"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53DEEB61"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FFAB41A" w14:textId="7E7E71C1" w:rsidR="00E36AFA" w:rsidRPr="003A56BF" w:rsidRDefault="00E36AFA"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r w:rsidRPr="003A56BF">
        <w:rPr>
          <w:rFonts w:eastAsia="Times New Roman" w:cs="Times New Roman"/>
          <w:b/>
          <w:bCs/>
          <w:kern w:val="36"/>
          <w:sz w:val="28"/>
          <w:szCs w:val="28"/>
          <w:lang w:eastAsia="en-GB"/>
          <w14:ligatures w14:val="none"/>
        </w:rPr>
        <w:lastRenderedPageBreak/>
        <w:t>3.2.5 Balanced Scorecard Summary Table</w:t>
      </w:r>
      <w:bookmarkEnd w:id="44"/>
    </w:p>
    <w:tbl>
      <w:tblPr>
        <w:tblStyle w:val="TableGrid"/>
        <w:tblW w:w="9351" w:type="dxa"/>
        <w:tblLook w:val="04A0" w:firstRow="1" w:lastRow="0" w:firstColumn="1" w:lastColumn="0" w:noHBand="0" w:noVBand="1"/>
      </w:tblPr>
      <w:tblGrid>
        <w:gridCol w:w="2547"/>
        <w:gridCol w:w="3463"/>
        <w:gridCol w:w="3341"/>
      </w:tblGrid>
      <w:tr w:rsidR="00DE3C4A" w:rsidRPr="00813058" w14:paraId="59FB5A35" w14:textId="77777777" w:rsidTr="00B16DAC">
        <w:tc>
          <w:tcPr>
            <w:tcW w:w="2547" w:type="dxa"/>
          </w:tcPr>
          <w:p w14:paraId="068702F1" w14:textId="77777777" w:rsidR="004F70EF" w:rsidRPr="00813058" w:rsidRDefault="004F70EF" w:rsidP="00813058">
            <w:pPr>
              <w:spacing w:line="360" w:lineRule="auto"/>
              <w:rPr>
                <w:b/>
                <w:bCs/>
              </w:rPr>
            </w:pPr>
          </w:p>
          <w:p w14:paraId="06896EDD" w14:textId="77777777" w:rsidR="00DE3C4A" w:rsidRPr="00813058" w:rsidRDefault="00241B69" w:rsidP="00813058">
            <w:pPr>
              <w:spacing w:line="360" w:lineRule="auto"/>
              <w:rPr>
                <w:b/>
                <w:bCs/>
              </w:rPr>
            </w:pPr>
            <w:r w:rsidRPr="00813058">
              <w:rPr>
                <w:b/>
                <w:bCs/>
              </w:rPr>
              <w:t>Perspective</w:t>
            </w:r>
          </w:p>
          <w:p w14:paraId="00F6D823" w14:textId="4367F74C" w:rsidR="004F70EF" w:rsidRPr="00813058" w:rsidRDefault="004F70EF" w:rsidP="00813058">
            <w:pPr>
              <w:spacing w:line="360" w:lineRule="auto"/>
              <w:rPr>
                <w:rFonts w:cs="Times New Roman"/>
                <w:b/>
                <w:bCs/>
                <w:sz w:val="36"/>
                <w:szCs w:val="36"/>
              </w:rPr>
            </w:pPr>
          </w:p>
        </w:tc>
        <w:tc>
          <w:tcPr>
            <w:tcW w:w="3463" w:type="dxa"/>
          </w:tcPr>
          <w:p w14:paraId="7251313E" w14:textId="77777777" w:rsidR="004F70EF" w:rsidRPr="00813058" w:rsidRDefault="004F70EF" w:rsidP="00813058">
            <w:pPr>
              <w:spacing w:line="360" w:lineRule="auto"/>
              <w:rPr>
                <w:b/>
                <w:bCs/>
              </w:rPr>
            </w:pPr>
          </w:p>
          <w:p w14:paraId="18CE6B51" w14:textId="616ECA3B" w:rsidR="00DE3C4A" w:rsidRPr="00813058" w:rsidRDefault="000329EB" w:rsidP="00813058">
            <w:pPr>
              <w:spacing w:line="360" w:lineRule="auto"/>
              <w:rPr>
                <w:rFonts w:cs="Times New Roman"/>
                <w:b/>
                <w:bCs/>
                <w:sz w:val="36"/>
                <w:szCs w:val="36"/>
              </w:rPr>
            </w:pPr>
            <w:r w:rsidRPr="00813058">
              <w:rPr>
                <w:b/>
                <w:bCs/>
              </w:rPr>
              <w:t>Cadbury Key Indicators</w:t>
            </w:r>
          </w:p>
        </w:tc>
        <w:tc>
          <w:tcPr>
            <w:tcW w:w="3341" w:type="dxa"/>
          </w:tcPr>
          <w:p w14:paraId="7FF6D119" w14:textId="77777777" w:rsidR="004F70EF" w:rsidRPr="00813058" w:rsidRDefault="004F70EF" w:rsidP="00813058">
            <w:pPr>
              <w:spacing w:line="360" w:lineRule="auto"/>
              <w:rPr>
                <w:b/>
                <w:bCs/>
              </w:rPr>
            </w:pPr>
          </w:p>
          <w:p w14:paraId="41F7C989" w14:textId="2FDB025F" w:rsidR="00DE3C4A" w:rsidRPr="00813058" w:rsidRDefault="000329EB" w:rsidP="00813058">
            <w:pPr>
              <w:spacing w:line="360" w:lineRule="auto"/>
              <w:rPr>
                <w:rFonts w:cs="Times New Roman"/>
                <w:b/>
                <w:bCs/>
                <w:sz w:val="36"/>
                <w:szCs w:val="36"/>
              </w:rPr>
            </w:pPr>
            <w:r w:rsidRPr="00813058">
              <w:rPr>
                <w:b/>
                <w:bCs/>
              </w:rPr>
              <w:t>Reference</w:t>
            </w:r>
          </w:p>
        </w:tc>
      </w:tr>
      <w:tr w:rsidR="00DE3C4A" w:rsidRPr="00813058" w14:paraId="7706C496" w14:textId="77777777" w:rsidTr="00B16DAC">
        <w:tc>
          <w:tcPr>
            <w:tcW w:w="2547" w:type="dxa"/>
          </w:tcPr>
          <w:p w14:paraId="28CA4A9F" w14:textId="77777777" w:rsidR="00B9234E" w:rsidRPr="00813058" w:rsidRDefault="00B9234E" w:rsidP="00813058">
            <w:pPr>
              <w:spacing w:line="360" w:lineRule="auto"/>
            </w:pPr>
          </w:p>
          <w:p w14:paraId="1AC085CA" w14:textId="10ABC5A7" w:rsidR="00DE3C4A" w:rsidRPr="00813058" w:rsidRDefault="000329EB" w:rsidP="00813058">
            <w:pPr>
              <w:spacing w:line="360" w:lineRule="auto"/>
              <w:rPr>
                <w:rFonts w:cs="Times New Roman"/>
                <w:b/>
                <w:bCs/>
                <w:sz w:val="36"/>
                <w:szCs w:val="36"/>
              </w:rPr>
            </w:pPr>
            <w:r w:rsidRPr="00813058">
              <w:t>Financial</w:t>
            </w:r>
          </w:p>
        </w:tc>
        <w:tc>
          <w:tcPr>
            <w:tcW w:w="3463" w:type="dxa"/>
          </w:tcPr>
          <w:p w14:paraId="0A56B873" w14:textId="77777777" w:rsidR="004F70EF" w:rsidRPr="00813058" w:rsidRDefault="004F70EF" w:rsidP="00813058">
            <w:pPr>
              <w:spacing w:line="360" w:lineRule="auto"/>
            </w:pPr>
          </w:p>
          <w:p w14:paraId="513107DD" w14:textId="77777777" w:rsidR="00DE3C4A" w:rsidRPr="00813058" w:rsidRDefault="0035746E" w:rsidP="00813058">
            <w:pPr>
              <w:spacing w:line="360" w:lineRule="auto"/>
            </w:pPr>
            <w:r w:rsidRPr="00813058">
              <w:t>Market share, seasonal revenue peaks, cost pressures</w:t>
            </w:r>
          </w:p>
          <w:p w14:paraId="66D94463" w14:textId="3AC09D13" w:rsidR="004F70EF" w:rsidRPr="00813058" w:rsidRDefault="004F70EF" w:rsidP="00813058">
            <w:pPr>
              <w:spacing w:line="360" w:lineRule="auto"/>
              <w:rPr>
                <w:rFonts w:cs="Times New Roman"/>
                <w:b/>
                <w:bCs/>
                <w:sz w:val="36"/>
                <w:szCs w:val="36"/>
              </w:rPr>
            </w:pPr>
          </w:p>
        </w:tc>
        <w:tc>
          <w:tcPr>
            <w:tcW w:w="3341" w:type="dxa"/>
          </w:tcPr>
          <w:p w14:paraId="79C80293" w14:textId="77777777" w:rsidR="004F70EF" w:rsidRPr="00813058" w:rsidRDefault="004F70EF" w:rsidP="00813058">
            <w:pPr>
              <w:spacing w:line="360" w:lineRule="auto"/>
            </w:pPr>
          </w:p>
          <w:p w14:paraId="38217809" w14:textId="61078D63" w:rsidR="00DE3C4A" w:rsidRPr="00813058" w:rsidRDefault="004F70EF" w:rsidP="00813058">
            <w:pPr>
              <w:spacing w:line="360" w:lineRule="auto"/>
              <w:rPr>
                <w:rFonts w:cs="Times New Roman"/>
                <w:b/>
                <w:bCs/>
                <w:sz w:val="36"/>
                <w:szCs w:val="36"/>
              </w:rPr>
            </w:pPr>
            <w:r w:rsidRPr="00813058">
              <w:t>Mintel (2025, p. 22)</w:t>
            </w:r>
          </w:p>
        </w:tc>
      </w:tr>
      <w:tr w:rsidR="00DE3C4A" w:rsidRPr="00813058" w14:paraId="47B59D58" w14:textId="77777777" w:rsidTr="00B16DAC">
        <w:tc>
          <w:tcPr>
            <w:tcW w:w="2547" w:type="dxa"/>
          </w:tcPr>
          <w:p w14:paraId="7BD1F8B0" w14:textId="77777777" w:rsidR="00B9234E" w:rsidRPr="00813058" w:rsidRDefault="00B9234E" w:rsidP="00813058">
            <w:pPr>
              <w:spacing w:line="360" w:lineRule="auto"/>
            </w:pPr>
          </w:p>
          <w:p w14:paraId="59B0AE18" w14:textId="739D7D04" w:rsidR="00DE3C4A" w:rsidRPr="00813058" w:rsidRDefault="000329EB" w:rsidP="00813058">
            <w:pPr>
              <w:spacing w:line="360" w:lineRule="auto"/>
              <w:rPr>
                <w:rFonts w:cs="Times New Roman"/>
                <w:b/>
                <w:bCs/>
                <w:sz w:val="36"/>
                <w:szCs w:val="36"/>
              </w:rPr>
            </w:pPr>
            <w:r w:rsidRPr="00813058">
              <w:t>Customer</w:t>
            </w:r>
          </w:p>
        </w:tc>
        <w:tc>
          <w:tcPr>
            <w:tcW w:w="3463" w:type="dxa"/>
          </w:tcPr>
          <w:p w14:paraId="70FAB700" w14:textId="77777777" w:rsidR="004F70EF" w:rsidRPr="00813058" w:rsidRDefault="004F70EF" w:rsidP="00813058">
            <w:pPr>
              <w:spacing w:line="360" w:lineRule="auto"/>
            </w:pPr>
          </w:p>
          <w:p w14:paraId="7C68597E" w14:textId="77777777" w:rsidR="00DE3C4A" w:rsidRPr="00813058" w:rsidRDefault="0035746E" w:rsidP="00813058">
            <w:pPr>
              <w:spacing w:line="360" w:lineRule="auto"/>
            </w:pPr>
            <w:r w:rsidRPr="00813058">
              <w:t>High loyalty, ethical sourcing trust, health trends</w:t>
            </w:r>
          </w:p>
          <w:p w14:paraId="6A13B571" w14:textId="0917CC06" w:rsidR="004F70EF" w:rsidRPr="00813058" w:rsidRDefault="004F70EF" w:rsidP="00813058">
            <w:pPr>
              <w:spacing w:line="360" w:lineRule="auto"/>
              <w:rPr>
                <w:rFonts w:cs="Times New Roman"/>
                <w:b/>
                <w:bCs/>
                <w:sz w:val="36"/>
                <w:szCs w:val="36"/>
              </w:rPr>
            </w:pPr>
          </w:p>
        </w:tc>
        <w:tc>
          <w:tcPr>
            <w:tcW w:w="3341" w:type="dxa"/>
          </w:tcPr>
          <w:p w14:paraId="3415A7D0" w14:textId="77777777" w:rsidR="004F70EF" w:rsidRPr="00813058" w:rsidRDefault="004F70EF" w:rsidP="00813058">
            <w:pPr>
              <w:spacing w:line="360" w:lineRule="auto"/>
            </w:pPr>
          </w:p>
          <w:p w14:paraId="1124B161" w14:textId="5D4B7D60" w:rsidR="00DE3C4A" w:rsidRPr="00813058" w:rsidRDefault="004F70EF" w:rsidP="00813058">
            <w:pPr>
              <w:spacing w:line="360" w:lineRule="auto"/>
              <w:rPr>
                <w:rFonts w:cs="Times New Roman"/>
                <w:b/>
                <w:bCs/>
                <w:sz w:val="36"/>
                <w:szCs w:val="36"/>
              </w:rPr>
            </w:pPr>
            <w:r w:rsidRPr="00813058">
              <w:t>Euromonitor (2025, p. 41)</w:t>
            </w:r>
          </w:p>
        </w:tc>
      </w:tr>
      <w:tr w:rsidR="00DE3C4A" w:rsidRPr="00813058" w14:paraId="38EEC8C7" w14:textId="77777777" w:rsidTr="00B16DAC">
        <w:tc>
          <w:tcPr>
            <w:tcW w:w="2547" w:type="dxa"/>
          </w:tcPr>
          <w:p w14:paraId="1271A766" w14:textId="77777777" w:rsidR="00B9234E" w:rsidRPr="00813058" w:rsidRDefault="00B9234E" w:rsidP="00813058">
            <w:pPr>
              <w:spacing w:line="360" w:lineRule="auto"/>
            </w:pPr>
          </w:p>
          <w:p w14:paraId="1D622145" w14:textId="413E69E7" w:rsidR="00DE3C4A" w:rsidRPr="00813058" w:rsidRDefault="000329EB" w:rsidP="00813058">
            <w:pPr>
              <w:spacing w:line="360" w:lineRule="auto"/>
              <w:rPr>
                <w:rFonts w:cs="Times New Roman"/>
                <w:b/>
                <w:bCs/>
                <w:sz w:val="36"/>
                <w:szCs w:val="36"/>
              </w:rPr>
            </w:pPr>
            <w:r w:rsidRPr="00813058">
              <w:t>Internal Processes</w:t>
            </w:r>
          </w:p>
        </w:tc>
        <w:tc>
          <w:tcPr>
            <w:tcW w:w="3463" w:type="dxa"/>
          </w:tcPr>
          <w:p w14:paraId="4FA4C86E" w14:textId="77777777" w:rsidR="004F70EF" w:rsidRPr="00813058" w:rsidRDefault="004F70EF" w:rsidP="00813058">
            <w:pPr>
              <w:spacing w:line="360" w:lineRule="auto"/>
            </w:pPr>
          </w:p>
          <w:p w14:paraId="634566B9" w14:textId="77777777" w:rsidR="00DE3C4A" w:rsidRPr="00813058" w:rsidRDefault="00275AEC" w:rsidP="00813058">
            <w:pPr>
              <w:spacing w:line="360" w:lineRule="auto"/>
            </w:pPr>
            <w:r w:rsidRPr="00813058">
              <w:t>Efficient manufacturing, strong supply chain, innovation</w:t>
            </w:r>
          </w:p>
          <w:p w14:paraId="58A327E9" w14:textId="4A3E35DA" w:rsidR="004F70EF" w:rsidRPr="00813058" w:rsidRDefault="004F70EF" w:rsidP="00813058">
            <w:pPr>
              <w:spacing w:line="360" w:lineRule="auto"/>
              <w:rPr>
                <w:rFonts w:cs="Times New Roman"/>
                <w:b/>
                <w:bCs/>
                <w:sz w:val="36"/>
                <w:szCs w:val="36"/>
              </w:rPr>
            </w:pPr>
          </w:p>
        </w:tc>
        <w:tc>
          <w:tcPr>
            <w:tcW w:w="3341" w:type="dxa"/>
          </w:tcPr>
          <w:p w14:paraId="3AECEB71" w14:textId="77777777" w:rsidR="004F70EF" w:rsidRPr="00813058" w:rsidRDefault="004F70EF" w:rsidP="00813058">
            <w:pPr>
              <w:spacing w:line="360" w:lineRule="auto"/>
            </w:pPr>
          </w:p>
          <w:p w14:paraId="063EF94E" w14:textId="7FAA14CD" w:rsidR="00DE3C4A" w:rsidRPr="00813058" w:rsidRDefault="004F70EF" w:rsidP="00813058">
            <w:pPr>
              <w:spacing w:line="360" w:lineRule="auto"/>
              <w:rPr>
                <w:rFonts w:cs="Times New Roman"/>
                <w:b/>
                <w:bCs/>
                <w:sz w:val="36"/>
                <w:szCs w:val="36"/>
              </w:rPr>
            </w:pPr>
            <w:r w:rsidRPr="00813058">
              <w:t>Mondelēz (2024, p. 12)</w:t>
            </w:r>
          </w:p>
        </w:tc>
      </w:tr>
      <w:tr w:rsidR="00DE3C4A" w:rsidRPr="00813058" w14:paraId="2C1AF78C" w14:textId="77777777" w:rsidTr="00B16DAC">
        <w:tc>
          <w:tcPr>
            <w:tcW w:w="2547" w:type="dxa"/>
          </w:tcPr>
          <w:p w14:paraId="1B9097AC" w14:textId="77777777" w:rsidR="00B9234E" w:rsidRPr="00813058" w:rsidRDefault="00B9234E" w:rsidP="00813058">
            <w:pPr>
              <w:spacing w:line="360" w:lineRule="auto"/>
            </w:pPr>
          </w:p>
          <w:p w14:paraId="3B9950E9" w14:textId="2D2FBDC9" w:rsidR="00DE3C4A" w:rsidRPr="00813058" w:rsidRDefault="0035746E" w:rsidP="00813058">
            <w:pPr>
              <w:spacing w:line="360" w:lineRule="auto"/>
              <w:rPr>
                <w:rFonts w:cs="Times New Roman"/>
                <w:b/>
                <w:bCs/>
                <w:sz w:val="36"/>
                <w:szCs w:val="36"/>
              </w:rPr>
            </w:pPr>
            <w:r w:rsidRPr="00813058">
              <w:t>Learning &amp; Growth</w:t>
            </w:r>
          </w:p>
        </w:tc>
        <w:tc>
          <w:tcPr>
            <w:tcW w:w="3463" w:type="dxa"/>
          </w:tcPr>
          <w:p w14:paraId="48630445" w14:textId="77777777" w:rsidR="004F70EF" w:rsidRPr="00813058" w:rsidRDefault="004F70EF" w:rsidP="00813058">
            <w:pPr>
              <w:spacing w:line="360" w:lineRule="auto"/>
            </w:pPr>
          </w:p>
          <w:p w14:paraId="4FE6E485" w14:textId="77777777" w:rsidR="00DE3C4A" w:rsidRPr="00813058" w:rsidRDefault="00275AEC" w:rsidP="00813058">
            <w:pPr>
              <w:spacing w:line="360" w:lineRule="auto"/>
            </w:pPr>
            <w:r w:rsidRPr="00813058">
              <w:t>Employee development, strong culture, digital investment</w:t>
            </w:r>
          </w:p>
          <w:p w14:paraId="03C1D397" w14:textId="7882AE3B" w:rsidR="004F70EF" w:rsidRPr="00813058" w:rsidRDefault="004F70EF" w:rsidP="00813058">
            <w:pPr>
              <w:spacing w:line="360" w:lineRule="auto"/>
              <w:rPr>
                <w:rFonts w:cs="Times New Roman"/>
                <w:b/>
                <w:bCs/>
                <w:sz w:val="36"/>
                <w:szCs w:val="36"/>
              </w:rPr>
            </w:pPr>
          </w:p>
        </w:tc>
        <w:tc>
          <w:tcPr>
            <w:tcW w:w="3341" w:type="dxa"/>
          </w:tcPr>
          <w:p w14:paraId="2505DCA6" w14:textId="77777777" w:rsidR="004F70EF" w:rsidRPr="00813058" w:rsidRDefault="004F70EF" w:rsidP="00813058">
            <w:pPr>
              <w:spacing w:line="360" w:lineRule="auto"/>
            </w:pPr>
          </w:p>
          <w:p w14:paraId="3DDEEC45" w14:textId="67D9AE70" w:rsidR="00DE3C4A" w:rsidRPr="00813058" w:rsidRDefault="004F70EF" w:rsidP="00813058">
            <w:pPr>
              <w:spacing w:line="360" w:lineRule="auto"/>
              <w:rPr>
                <w:rFonts w:cs="Times New Roman"/>
                <w:b/>
                <w:bCs/>
                <w:sz w:val="36"/>
                <w:szCs w:val="36"/>
              </w:rPr>
            </w:pPr>
            <w:r w:rsidRPr="00813058">
              <w:t>Kaplan &amp; Norton (1996, p. 79)</w:t>
            </w:r>
          </w:p>
        </w:tc>
      </w:tr>
    </w:tbl>
    <w:p w14:paraId="695F764B" w14:textId="77777777" w:rsidR="00E36AFA" w:rsidRPr="00813058" w:rsidRDefault="00E36AFA" w:rsidP="00813058">
      <w:pPr>
        <w:spacing w:line="360" w:lineRule="auto"/>
        <w:rPr>
          <w:rFonts w:cs="Times New Roman"/>
          <w:b/>
          <w:bCs/>
          <w:sz w:val="36"/>
          <w:szCs w:val="36"/>
        </w:rPr>
      </w:pPr>
    </w:p>
    <w:p w14:paraId="6E1560E5" w14:textId="77777777" w:rsidR="004F6C0A" w:rsidRPr="00813058" w:rsidRDefault="004F6C0A" w:rsidP="00813058">
      <w:pPr>
        <w:spacing w:line="360" w:lineRule="auto"/>
        <w:rPr>
          <w:rFonts w:cs="Times New Roman"/>
          <w:b/>
          <w:bCs/>
          <w:sz w:val="36"/>
          <w:szCs w:val="36"/>
        </w:rPr>
      </w:pPr>
    </w:p>
    <w:p w14:paraId="276FB583" w14:textId="77777777" w:rsidR="00C24023" w:rsidRDefault="00C24023" w:rsidP="00813058">
      <w:pPr>
        <w:spacing w:before="100" w:beforeAutospacing="1" w:after="100" w:afterAutospacing="1" w:line="360" w:lineRule="auto"/>
        <w:outlineLvl w:val="0"/>
        <w:rPr>
          <w:rFonts w:cs="Times New Roman"/>
          <w:b/>
          <w:bCs/>
          <w:sz w:val="36"/>
          <w:szCs w:val="36"/>
        </w:rPr>
      </w:pPr>
      <w:bookmarkStart w:id="45" w:name="_Toc236160684"/>
    </w:p>
    <w:p w14:paraId="5C601128" w14:textId="4D4D3ED1" w:rsidR="00CE1EA8" w:rsidRPr="00813058" w:rsidRDefault="00CE1EA8"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4. Strategic Analysis and Organisational Change</w:t>
      </w:r>
      <w:bookmarkEnd w:id="45"/>
    </w:p>
    <w:p w14:paraId="6C7F1A0C" w14:textId="77777777" w:rsidR="00CE1EA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6" w:name="_Toc236160685"/>
      <w:r w:rsidRPr="00813058">
        <w:rPr>
          <w:rFonts w:eastAsia="Times New Roman" w:cs="Times New Roman"/>
          <w:b/>
          <w:bCs/>
          <w:kern w:val="0"/>
          <w:sz w:val="36"/>
          <w:szCs w:val="36"/>
          <w:lang w:eastAsia="en-GB"/>
          <w14:ligatures w14:val="none"/>
        </w:rPr>
        <w:t>4.1 Business Level Strategy</w:t>
      </w:r>
      <w:bookmarkEnd w:id="46"/>
    </w:p>
    <w:p w14:paraId="180AA420" w14:textId="5C705F78" w:rsidR="00785047" w:rsidRPr="00813058" w:rsidRDefault="00785047"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"https://static.vecteezy.com/system/resources/previews/047/382/613/non_2x/porters-generic-strategies-differentiation-rivalry-and-advantage-in-industrial-marketing-vector.jpg" \* MERGEFORMATINET </w:instrText>
      </w:r>
      <w:r>
        <w:fldChar w:fldCharType="separate"/>
      </w:r>
      <w:r>
        <w:rPr>
          <w:noProof/>
        </w:rPr>
        <w:drawing>
          <wp:inline distT="0" distB="0" distL="0" distR="0" wp14:anchorId="2BEF25BE" wp14:editId="5C59E74A">
            <wp:extent cx="5731510" cy="2547620"/>
            <wp:effectExtent l="0" t="0" r="0" b="5080"/>
            <wp:docPr id="200693392" name="Picture 9" descr="Porters generic strategies. Differentiation rivalry and advantag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generic strategies. Differentiation rivalry and advantage i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r>
        <w:fldChar w:fldCharType="end"/>
      </w:r>
    </w:p>
    <w:p w14:paraId="4833617D" w14:textId="762FD7F1" w:rsidR="005F1939" w:rsidRDefault="005F1939" w:rsidP="005F1939">
      <w:pPr>
        <w:spacing w:before="100" w:beforeAutospacing="1" w:after="100" w:afterAutospacing="1" w:line="360" w:lineRule="auto"/>
        <w:jc w:val="center"/>
        <w:outlineLvl w:val="2"/>
      </w:pPr>
      <w:bookmarkStart w:id="47" w:name="_Toc236160686"/>
      <w:r>
        <w:rPr>
          <w:rStyle w:val="Strong"/>
        </w:rPr>
        <w:t>Figure 7:</w:t>
      </w:r>
      <w:r>
        <w:t xml:space="preserve"> Porter’s Generic Strategies</w:t>
      </w:r>
    </w:p>
    <w:p w14:paraId="78666C3D" w14:textId="6D2F3C90" w:rsidR="00B313E6" w:rsidRDefault="005F1939" w:rsidP="005F1939">
      <w:pPr>
        <w:spacing w:before="100" w:beforeAutospacing="1" w:after="100" w:afterAutospacing="1" w:line="360" w:lineRule="auto"/>
        <w:jc w:val="center"/>
        <w:outlineLvl w:val="2"/>
        <w:rPr>
          <w:rFonts w:eastAsia="Times New Roman" w:cs="Times New Roman"/>
          <w:b/>
          <w:bCs/>
          <w:kern w:val="0"/>
          <w:sz w:val="27"/>
          <w:szCs w:val="27"/>
          <w:lang w:eastAsia="en-GB"/>
          <w14:ligatures w14:val="none"/>
        </w:rPr>
      </w:pPr>
      <w:r w:rsidRPr="005F1939">
        <w:rPr>
          <w:rStyle w:val="Emphasis"/>
          <w:b/>
          <w:bCs/>
          <w:i w:val="0"/>
          <w:iCs w:val="0"/>
        </w:rPr>
        <w:t>Source:</w:t>
      </w:r>
      <w:r>
        <w:rPr>
          <w:rStyle w:val="Emphasis"/>
        </w:rPr>
        <w:t xml:space="preserve"> </w:t>
      </w:r>
      <w:r w:rsidRPr="005F1939">
        <w:rPr>
          <w:rStyle w:val="Emphasis"/>
          <w:i w:val="0"/>
          <w:iCs w:val="0"/>
        </w:rPr>
        <w:t>Porter (1985)</w:t>
      </w:r>
    </w:p>
    <w:p w14:paraId="63173B7D" w14:textId="68BEBD06"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w:t>
      </w:r>
      <w:bookmarkEnd w:id="47"/>
    </w:p>
    <w:p w14:paraId="0D52114A"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Porter (1985, p. 11) identifies three business</w:t>
      </w:r>
      <w:r w:rsidRPr="00813058">
        <w:rPr>
          <w:rFonts w:eastAsia="Times New Roman" w:cs="Times New Roman"/>
          <w:kern w:val="0"/>
          <w:lang w:eastAsia="en-GB"/>
          <w14:ligatures w14:val="none"/>
        </w:rPr>
        <w:noBreakHyphen/>
        <w:t xml:space="preserve">level strategies that organisations can adopt to achieve competitive advantage: cost leadership, differentiation and focus. Cadbury primarily pursues a </w:t>
      </w:r>
      <w:r w:rsidRPr="00813058">
        <w:rPr>
          <w:rFonts w:eastAsia="Times New Roman" w:cs="Times New Roman"/>
          <w:b/>
          <w:bCs/>
          <w:kern w:val="0"/>
          <w:lang w:eastAsia="en-GB"/>
          <w14:ligatures w14:val="none"/>
        </w:rPr>
        <w:t>differentiation strategy</w:t>
      </w:r>
      <w:r w:rsidRPr="00813058">
        <w:rPr>
          <w:rFonts w:eastAsia="Times New Roman" w:cs="Times New Roman"/>
          <w:kern w:val="0"/>
          <w:lang w:eastAsia="en-GB"/>
          <w14:ligatures w14:val="none"/>
        </w:rPr>
        <w:t>, emphasising brand identity, emotional marketing, product innovation and ethical sourcing to distinguish itself within the highly competitive UK confectionery market.</w:t>
      </w:r>
    </w:p>
    <w:p w14:paraId="41C1824C" w14:textId="77777777" w:rsidR="00C24023" w:rsidRDefault="00C24023"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8" w:name="_Toc236160687"/>
    </w:p>
    <w:p w14:paraId="08F45C2B" w14:textId="77777777" w:rsidR="00C24023" w:rsidRDefault="00C24023"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p>
    <w:p w14:paraId="206E066C" w14:textId="37B07E91" w:rsidR="00CE1EA8" w:rsidRPr="00FC7666"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FC7666">
        <w:rPr>
          <w:rFonts w:eastAsia="Times New Roman" w:cs="Times New Roman"/>
          <w:b/>
          <w:bCs/>
          <w:kern w:val="0"/>
          <w:sz w:val="28"/>
          <w:szCs w:val="28"/>
          <w:lang w:eastAsia="en-GB"/>
          <w14:ligatures w14:val="none"/>
        </w:rPr>
        <w:lastRenderedPageBreak/>
        <w:t>4.1.1 Cadbury’s Differentiation Strategy</w:t>
      </w:r>
      <w:bookmarkEnd w:id="48"/>
    </w:p>
    <w:p w14:paraId="37F91C1A"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Strong Brand Identity</w:t>
      </w:r>
    </w:p>
    <w:p w14:paraId="6AB7D421"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differentiation is strongly supported by its emotional marketing campaigns, which reinforce brand loyalty and consumer connection. The Secret Santa campaign, for example, generated significant engagement and commercial impact, increasing Cadbury’s market share by 2.5% and contributing £230 million in seasonal revenue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This demonstrates how Cadbury leverages emotional storytelling to strengthen its brand identity and maintain relevance in a saturated market.</w:t>
      </w:r>
    </w:p>
    <w:p w14:paraId="2951E928"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Product Innovation</w:t>
      </w:r>
    </w:p>
    <w:p w14:paraId="466A5DFA"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Innovation is another core element of Cadbury’s differentiation strategy. Mondelēz’s digital</w:t>
      </w:r>
      <w:r w:rsidRPr="00813058">
        <w:rPr>
          <w:rFonts w:eastAsia="Times New Roman" w:cs="Times New Roman"/>
          <w:kern w:val="0"/>
          <w:lang w:eastAsia="en-GB"/>
          <w14:ligatures w14:val="none"/>
        </w:rPr>
        <w:noBreakHyphen/>
        <w:t>first transformation has accelerated Cadbury’s innovation cycles, enabling faster product development and improved responsiveness to consumer trends. This digital shift contributed to a 10% revenue increase in 2021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highlighting the strategic value of innovation in maintaining competitive advantage.</w:t>
      </w:r>
    </w:p>
    <w:p w14:paraId="79A40D5E"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Ethical Sourcing</w:t>
      </w:r>
    </w:p>
    <w:p w14:paraId="25A1CF47"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also differentiates itself through its commitment to ethical sourcing, particularly via the Cocoa Life programme. This initiative enhances Cadbury’s reputation for sustainability and responsible supply chain management (Cocoa Life, 2025, p. 18). Ethical sourcing resonates strongly with modern consumers, further reinforcing Cadbury’s differentiated market position.</w:t>
      </w:r>
    </w:p>
    <w:p w14:paraId="4B99A17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Cadbury’s differentiation strategy strengthens its competitive position by combining emotional branding, innovation and sustainability, enabling the company to stand out in a mature and highly competitive market.</w:t>
      </w:r>
    </w:p>
    <w:p w14:paraId="5B0C2C1C" w14:textId="77777777" w:rsidR="00C24023" w:rsidRDefault="00C24023"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9" w:name="_Toc236160688"/>
    </w:p>
    <w:p w14:paraId="5FD562A5" w14:textId="218088C8"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4.2 Corporate Level Strategy</w:t>
      </w:r>
      <w:bookmarkEnd w:id="49"/>
    </w:p>
    <w:p w14:paraId="18364828" w14:textId="77777777"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50" w:name="_Toc236160689"/>
      <w:r w:rsidRPr="00813058">
        <w:rPr>
          <w:rFonts w:eastAsia="Times New Roman" w:cs="Times New Roman"/>
          <w:b/>
          <w:bCs/>
          <w:kern w:val="0"/>
          <w:sz w:val="27"/>
          <w:szCs w:val="27"/>
          <w:lang w:eastAsia="en-GB"/>
          <w14:ligatures w14:val="none"/>
        </w:rPr>
        <w:t>Definition</w:t>
      </w:r>
      <w:bookmarkEnd w:id="50"/>
    </w:p>
    <w:p w14:paraId="757AF5C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Corporate</w:t>
      </w:r>
      <w:r w:rsidRPr="00813058">
        <w:rPr>
          <w:rFonts w:eastAsia="Times New Roman" w:cs="Times New Roman"/>
          <w:kern w:val="0"/>
          <w:lang w:eastAsia="en-GB"/>
          <w14:ligatures w14:val="none"/>
        </w:rPr>
        <w:noBreakHyphen/>
        <w:t>level strategy focuses on organisational direction, diversification, global expansion and resource allocation (Johnson et al., 2020, p. 102). For Cadbury, corporate</w:t>
      </w:r>
      <w:r w:rsidRPr="00813058">
        <w:rPr>
          <w:rFonts w:eastAsia="Times New Roman" w:cs="Times New Roman"/>
          <w:kern w:val="0"/>
          <w:lang w:eastAsia="en-GB"/>
          <w14:ligatures w14:val="none"/>
        </w:rPr>
        <w:noBreakHyphen/>
        <w:t>level strategy is shaped by Mondelēz International’s global transformation initiatives.</w:t>
      </w:r>
    </w:p>
    <w:p w14:paraId="0934C06C"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1" w:name="_Toc236160690"/>
      <w:r w:rsidRPr="0077458E">
        <w:rPr>
          <w:rFonts w:eastAsia="Times New Roman" w:cs="Times New Roman"/>
          <w:b/>
          <w:bCs/>
          <w:kern w:val="0"/>
          <w:sz w:val="28"/>
          <w:szCs w:val="28"/>
          <w:lang w:eastAsia="en-GB"/>
          <w14:ligatures w14:val="none"/>
        </w:rPr>
        <w:t>4.2.1 Mondelēz’s Transformation Strategy</w:t>
      </w:r>
      <w:bookmarkEnd w:id="51"/>
    </w:p>
    <w:p w14:paraId="47C6A7F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 has implemented a digital</w:t>
      </w:r>
      <w:r w:rsidRPr="00813058">
        <w:rPr>
          <w:rFonts w:eastAsia="Times New Roman" w:cs="Times New Roman"/>
          <w:kern w:val="0"/>
          <w:lang w:eastAsia="en-GB"/>
          <w14:ligatures w14:val="none"/>
        </w:rPr>
        <w:noBreakHyphen/>
        <w:t>first, agile manufacturing strategy that includes automated warehouses, localised sourcing, data</w:t>
      </w:r>
      <w:r w:rsidRPr="00813058">
        <w:rPr>
          <w:rFonts w:eastAsia="Times New Roman" w:cs="Times New Roman"/>
          <w:kern w:val="0"/>
          <w:lang w:eastAsia="en-GB"/>
          <w14:ligatures w14:val="none"/>
        </w:rPr>
        <w:noBreakHyphen/>
        <w:t>driven forecasting and direct</w:t>
      </w:r>
      <w:r w:rsidRPr="00813058">
        <w:rPr>
          <w:rFonts w:eastAsia="Times New Roman" w:cs="Times New Roman"/>
          <w:kern w:val="0"/>
          <w:lang w:eastAsia="en-GB"/>
          <w14:ligatures w14:val="none"/>
        </w:rPr>
        <w:noBreakHyphen/>
        <w:t>to</w:t>
      </w:r>
      <w:r w:rsidRPr="00813058">
        <w:rPr>
          <w:rFonts w:eastAsia="Times New Roman" w:cs="Times New Roman"/>
          <w:kern w:val="0"/>
          <w:lang w:eastAsia="en-GB"/>
          <w14:ligatures w14:val="none"/>
        </w:rPr>
        <w:noBreakHyphen/>
        <w:t>consumer channels. These initiatives have significantly improved operational efficiency and supply chain resilience. Mondelēz’s transformation generated savings of $1.5 billion by 2023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demonstrating the effectiveness of its strategic direction.</w:t>
      </w:r>
    </w:p>
    <w:p w14:paraId="2B2628B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Cadbury benefits directly from Mondelēz’s transformation through enhanced digital capability, improved supply chain performance and greater agility in responding to market changes.</w:t>
      </w:r>
    </w:p>
    <w:p w14:paraId="71F5A01E"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2" w:name="_Toc236160691"/>
      <w:r w:rsidRPr="0077458E">
        <w:rPr>
          <w:rFonts w:eastAsia="Times New Roman" w:cs="Times New Roman"/>
          <w:b/>
          <w:bCs/>
          <w:kern w:val="0"/>
          <w:sz w:val="28"/>
          <w:szCs w:val="28"/>
          <w:lang w:eastAsia="en-GB"/>
          <w14:ligatures w14:val="none"/>
        </w:rPr>
        <w:t>4.2.2 ERP Integration (SAP Implementation)</w:t>
      </w:r>
      <w:bookmarkEnd w:id="52"/>
    </w:p>
    <w:p w14:paraId="770C8758"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implemented SAP ERP to streamline production and distribution processes. According to the SAP case study (2022), Cadbury achieved several operational improvements:</w:t>
      </w:r>
    </w:p>
    <w:p w14:paraId="36B1431D"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Reduced operating costs</w:t>
      </w:r>
    </w:p>
    <w:p w14:paraId="49688B06"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Improved warehouse management</w:t>
      </w:r>
    </w:p>
    <w:p w14:paraId="4AAA36B4"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Better distribution coordination</w:t>
      </w:r>
    </w:p>
    <w:p w14:paraId="7F0162D7"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Enhanced forecasting accuracy</w:t>
      </w:r>
    </w:p>
    <w:p w14:paraId="7339CEE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These outcomes were achieved through thorough requirements gathering and effective system integration.</w:t>
      </w:r>
    </w:p>
    <w:p w14:paraId="0BC4983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ERP integration supports Cadbury’s differentiation strategy by improving efficiency, reducing costs and strengthening supply chain reliability.</w:t>
      </w:r>
    </w:p>
    <w:p w14:paraId="100F62E6" w14:textId="6E83399E"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53" w:name="_Toc236160692"/>
      <w:r w:rsidRPr="00813058">
        <w:rPr>
          <w:rFonts w:eastAsia="Times New Roman" w:cs="Times New Roman"/>
          <w:b/>
          <w:bCs/>
          <w:kern w:val="0"/>
          <w:sz w:val="36"/>
          <w:szCs w:val="36"/>
          <w:lang w:eastAsia="en-GB"/>
          <w14:ligatures w14:val="none"/>
        </w:rPr>
        <w:t xml:space="preserve">4.3 </w:t>
      </w:r>
      <w:proofErr w:type="spellStart"/>
      <w:r w:rsidRPr="00813058">
        <w:rPr>
          <w:rFonts w:eastAsia="Times New Roman" w:cs="Times New Roman"/>
          <w:b/>
          <w:bCs/>
          <w:kern w:val="0"/>
          <w:sz w:val="36"/>
          <w:szCs w:val="36"/>
          <w:lang w:eastAsia="en-GB"/>
          <w14:ligatures w14:val="none"/>
        </w:rPr>
        <w:t>SAFe</w:t>
      </w:r>
      <w:proofErr w:type="spellEnd"/>
      <w:r w:rsidRPr="00813058">
        <w:rPr>
          <w:rFonts w:eastAsia="Times New Roman" w:cs="Times New Roman"/>
          <w:b/>
          <w:bCs/>
          <w:kern w:val="0"/>
          <w:sz w:val="36"/>
          <w:szCs w:val="36"/>
          <w:lang w:eastAsia="en-GB"/>
          <w14:ligatures w14:val="none"/>
        </w:rPr>
        <w:t xml:space="preserve"> Evaluation of Cadbury’s Strategic Choice</w:t>
      </w:r>
      <w:bookmarkEnd w:id="53"/>
    </w:p>
    <w:p w14:paraId="3951D5E4" w14:textId="77777777"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54" w:name="_Toc236160693"/>
      <w:r w:rsidRPr="00813058">
        <w:rPr>
          <w:rFonts w:eastAsia="Times New Roman" w:cs="Times New Roman"/>
          <w:b/>
          <w:bCs/>
          <w:kern w:val="0"/>
          <w:sz w:val="27"/>
          <w:szCs w:val="27"/>
          <w:lang w:eastAsia="en-GB"/>
          <w14:ligatures w14:val="none"/>
        </w:rPr>
        <w:t>Definition</w:t>
      </w:r>
      <w:bookmarkEnd w:id="54"/>
    </w:p>
    <w:p w14:paraId="1387587C"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The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framework evaluates strategic decisions based on three criteria: Suitability, Acceptability and Feasibility (Johnson et al., 2020, p. 112). Cadbury’s strategic choice centres on digital transformation and multichannel marketing expansion.</w:t>
      </w:r>
    </w:p>
    <w:p w14:paraId="4A5A398E"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5" w:name="_Toc236160694"/>
      <w:r w:rsidRPr="0077458E">
        <w:rPr>
          <w:rFonts w:eastAsia="Times New Roman" w:cs="Times New Roman"/>
          <w:b/>
          <w:bCs/>
          <w:kern w:val="0"/>
          <w:sz w:val="28"/>
          <w:szCs w:val="28"/>
          <w:lang w:eastAsia="en-GB"/>
          <w14:ligatures w14:val="none"/>
        </w:rPr>
        <w:t>4.3.1 Suitability</w:t>
      </w:r>
      <w:bookmarkEnd w:id="55"/>
    </w:p>
    <w:p w14:paraId="025ED26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digital transformation strategy is highly suitable given the external pressures of HFSS regulations and inflation. The Secret Santa campaign demonstrated strong performance, achieving:</w:t>
      </w:r>
    </w:p>
    <w:p w14:paraId="0AB9AC42"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1.4 million website visitors</w:t>
      </w:r>
    </w:p>
    <w:p w14:paraId="10120B5E"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500,000 QR scans</w:t>
      </w:r>
    </w:p>
    <w:p w14:paraId="1F4ABFC7"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2.5% market share growth</w:t>
      </w:r>
    </w:p>
    <w:p w14:paraId="11ABE716"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0ACCF227"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Highly suitable.</w:t>
      </w:r>
    </w:p>
    <w:p w14:paraId="73727202"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6" w:name="_Toc236160695"/>
      <w:r w:rsidRPr="0077458E">
        <w:rPr>
          <w:rFonts w:eastAsia="Times New Roman" w:cs="Times New Roman"/>
          <w:b/>
          <w:bCs/>
          <w:kern w:val="0"/>
          <w:sz w:val="28"/>
          <w:szCs w:val="28"/>
          <w:lang w:eastAsia="en-GB"/>
          <w14:ligatures w14:val="none"/>
        </w:rPr>
        <w:t>4.3.2 Acceptability</w:t>
      </w:r>
      <w:bookmarkEnd w:id="56"/>
    </w:p>
    <w:p w14:paraId="088CA2E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Stakeholders responded positively to Cadbury’s digital strategy:</w:t>
      </w:r>
    </w:p>
    <w:p w14:paraId="1651ACC5"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77% of consumers expressed interest in gifting chocolate</w:t>
      </w:r>
    </w:p>
    <w:p w14:paraId="565DADEC"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digital initiatives had already delivered revenue growth</w:t>
      </w:r>
    </w:p>
    <w:p w14:paraId="62E624F4"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Retail partners benefited from increased footfall</w:t>
      </w:r>
    </w:p>
    <w:p w14:paraId="322485E6"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3E31998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Acceptable.</w:t>
      </w:r>
    </w:p>
    <w:p w14:paraId="0FDC9DA1"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7" w:name="_Toc236160696"/>
      <w:r w:rsidRPr="0077458E">
        <w:rPr>
          <w:rFonts w:eastAsia="Times New Roman" w:cs="Times New Roman"/>
          <w:b/>
          <w:bCs/>
          <w:kern w:val="0"/>
          <w:sz w:val="28"/>
          <w:szCs w:val="28"/>
          <w:lang w:eastAsia="en-GB"/>
          <w14:ligatures w14:val="none"/>
        </w:rPr>
        <w:t>4.3.3 Feasibility</w:t>
      </w:r>
      <w:bookmarkEnd w:id="57"/>
    </w:p>
    <w:p w14:paraId="1D97D01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possesses the necessary capabilities to implement digital transformation effectively:</w:t>
      </w:r>
    </w:p>
    <w:p w14:paraId="641657A5"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Strong digital marketing capability</w:t>
      </w:r>
    </w:p>
    <w:p w14:paraId="482D409D"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SAP</w:t>
      </w:r>
      <w:r w:rsidRPr="00813058">
        <w:rPr>
          <w:rFonts w:eastAsia="Times New Roman" w:cs="Times New Roman"/>
          <w:kern w:val="0"/>
          <w:lang w:eastAsia="en-GB"/>
          <w14:ligatures w14:val="none"/>
        </w:rPr>
        <w:noBreakHyphen/>
        <w:t>enhanced supply chain</w:t>
      </w:r>
    </w:p>
    <w:p w14:paraId="0B14A18D"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investment in automation</w:t>
      </w:r>
    </w:p>
    <w:p w14:paraId="318661E2"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Proven success in multichannel campaigns</w:t>
      </w:r>
    </w:p>
    <w:p w14:paraId="0B65F5C5"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(SAP Case Study, 2022;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619231CC"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Highly feasible.</w:t>
      </w:r>
    </w:p>
    <w:p w14:paraId="77521F10"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58" w:name="_Toc236160697"/>
    </w:p>
    <w:p w14:paraId="27E7EA11"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9A56A04"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631EFCB"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6B51EE44"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33226259"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8A61E7A"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177AFD3" w14:textId="77777777" w:rsidR="001E701B" w:rsidRDefault="001E701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08D57E5" w14:textId="03EB35B2" w:rsidR="00CE1EA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4.4 Change Management (Kotter’s 8</w:t>
      </w:r>
      <w:r w:rsidRPr="00813058">
        <w:rPr>
          <w:rFonts w:eastAsia="Times New Roman" w:cs="Times New Roman"/>
          <w:b/>
          <w:bCs/>
          <w:kern w:val="0"/>
          <w:sz w:val="36"/>
          <w:szCs w:val="36"/>
          <w:lang w:eastAsia="en-GB"/>
          <w14:ligatures w14:val="none"/>
        </w:rPr>
        <w:noBreakHyphen/>
        <w:t>Step Model)</w:t>
      </w:r>
      <w:bookmarkEnd w:id="58"/>
    </w:p>
    <w:p w14:paraId="77D4A20A" w14:textId="0C6384B9" w:rsidR="009564A3" w:rsidRPr="00813058" w:rsidRDefault="009564A3"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"https://www.mtdtraining.com/wp-content/uploads/2011/06/8-step-model.jpg" \* MERGEFORMATINET </w:instrText>
      </w:r>
      <w:r>
        <w:fldChar w:fldCharType="separate"/>
      </w:r>
      <w:r>
        <w:rPr>
          <w:noProof/>
        </w:rPr>
        <w:drawing>
          <wp:inline distT="0" distB="0" distL="0" distR="0" wp14:anchorId="7582C161" wp14:editId="5F319665">
            <wp:extent cx="5731510" cy="5731510"/>
            <wp:effectExtent l="0" t="0" r="0" b="0"/>
            <wp:docPr id="1015701899" name="Picture 10" descr="Sage Model Management | Lewin model of change management – BE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age Model Management | Lewin model of change management – BEK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fldChar w:fldCharType="end"/>
      </w:r>
    </w:p>
    <w:p w14:paraId="326240C5" w14:textId="7E5B9EE1" w:rsidR="00A5084E" w:rsidRDefault="00A5084E" w:rsidP="00A5084E">
      <w:pPr>
        <w:spacing w:before="100" w:beforeAutospacing="1" w:after="100" w:afterAutospacing="1" w:line="360" w:lineRule="auto"/>
        <w:jc w:val="center"/>
        <w:outlineLvl w:val="2"/>
      </w:pPr>
      <w:bookmarkStart w:id="59" w:name="_Toc236160698"/>
      <w:r>
        <w:rPr>
          <w:rStyle w:val="Strong"/>
        </w:rPr>
        <w:t>Figure 8:</w:t>
      </w:r>
      <w:r>
        <w:t xml:space="preserve"> Kotter’s 8</w:t>
      </w:r>
      <w:r>
        <w:noBreakHyphen/>
        <w:t>Step Change Model</w:t>
      </w:r>
    </w:p>
    <w:p w14:paraId="64C9A92A" w14:textId="327AF6FE" w:rsidR="00CC24FB" w:rsidRPr="00A5084E" w:rsidRDefault="00A5084E" w:rsidP="00A5084E">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A5084E">
        <w:rPr>
          <w:rStyle w:val="Emphasis"/>
          <w:b/>
          <w:bCs/>
          <w:i w:val="0"/>
          <w:iCs w:val="0"/>
        </w:rPr>
        <w:t>Source:</w:t>
      </w:r>
      <w:r>
        <w:rPr>
          <w:rStyle w:val="Emphasis"/>
        </w:rPr>
        <w:t xml:space="preserve"> </w:t>
      </w:r>
      <w:r w:rsidRPr="00A5084E">
        <w:rPr>
          <w:rStyle w:val="Emphasis"/>
          <w:i w:val="0"/>
          <w:iCs w:val="0"/>
        </w:rPr>
        <w:t>Kotter (1996)</w:t>
      </w:r>
    </w:p>
    <w:p w14:paraId="0971BE8B" w14:textId="653CB3C6"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w:t>
      </w:r>
      <w:bookmarkEnd w:id="59"/>
    </w:p>
    <w:p w14:paraId="6BA77F8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Kotter (1996, p. 21) outlines eight steps for successful organisational change: creating urgency, building a coalition, developing a vision, communicating the vision, </w:t>
      </w:r>
      <w:r w:rsidRPr="00813058">
        <w:rPr>
          <w:rFonts w:eastAsia="Times New Roman" w:cs="Times New Roman"/>
          <w:kern w:val="0"/>
          <w:lang w:eastAsia="en-GB"/>
          <w14:ligatures w14:val="none"/>
        </w:rPr>
        <w:lastRenderedPageBreak/>
        <w:t>empowering action, generating short</w:t>
      </w:r>
      <w:r w:rsidRPr="00813058">
        <w:rPr>
          <w:rFonts w:eastAsia="Times New Roman" w:cs="Times New Roman"/>
          <w:kern w:val="0"/>
          <w:lang w:eastAsia="en-GB"/>
          <w14:ligatures w14:val="none"/>
        </w:rPr>
        <w:noBreakHyphen/>
        <w:t>term wins, consolidating gains and anchoring change.</w:t>
      </w:r>
    </w:p>
    <w:p w14:paraId="13D39417"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60" w:name="_Toc236160699"/>
      <w:r w:rsidRPr="0077458E">
        <w:rPr>
          <w:rFonts w:eastAsia="Times New Roman" w:cs="Times New Roman"/>
          <w:b/>
          <w:bCs/>
          <w:kern w:val="0"/>
          <w:sz w:val="28"/>
          <w:szCs w:val="28"/>
          <w:lang w:eastAsia="en-GB"/>
          <w14:ligatures w14:val="none"/>
        </w:rPr>
        <w:t>4.4.1 Application to Cadbury</w:t>
      </w:r>
      <w:bookmarkEnd w:id="60"/>
    </w:p>
    <w:p w14:paraId="36E5058E"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Creating Urgency</w:t>
      </w:r>
    </w:p>
    <w:p w14:paraId="0B12F23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HFSS regulations and inflation created a strong sense of urgency for Cadbury to adapt its marketing and operational strategies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70E271A8"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Building a Coalition</w:t>
      </w:r>
    </w:p>
    <w:p w14:paraId="3A2F1FC9"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collaborated with VCCP agency and major retailers such as Tesco to support its digital campaign rollout.</w:t>
      </w:r>
    </w:p>
    <w:p w14:paraId="3CE32F1F"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Developing Vision</w:t>
      </w:r>
    </w:p>
    <w:p w14:paraId="72938E9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developed a clear vision: </w:t>
      </w:r>
      <w:r w:rsidRPr="00813058">
        <w:rPr>
          <w:rFonts w:eastAsia="Times New Roman" w:cs="Times New Roman"/>
          <w:i/>
          <w:iCs/>
          <w:kern w:val="0"/>
          <w:lang w:eastAsia="en-GB"/>
          <w14:ligatures w14:val="none"/>
        </w:rPr>
        <w:t>“Make Cadbury more accessible, interactive and emotionally engaging.”</w:t>
      </w:r>
    </w:p>
    <w:p w14:paraId="21D1A733"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Empowering Action</w:t>
      </w:r>
    </w:p>
    <w:p w14:paraId="03080481"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empowered action by using QR codes, digital posters and interactive pop</w:t>
      </w:r>
      <w:r w:rsidRPr="00813058">
        <w:rPr>
          <w:rFonts w:eastAsia="Times New Roman" w:cs="Times New Roman"/>
          <w:kern w:val="0"/>
          <w:lang w:eastAsia="en-GB"/>
          <w14:ligatures w14:val="none"/>
        </w:rPr>
        <w:noBreakHyphen/>
        <w:t>ups to engage consumers.</w:t>
      </w:r>
    </w:p>
    <w:p w14:paraId="65A18C72"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Generating Short</w:t>
      </w:r>
      <w:r w:rsidRPr="00856B42">
        <w:rPr>
          <w:rFonts w:eastAsia="Times New Roman" w:cs="Times New Roman"/>
          <w:b/>
          <w:bCs/>
          <w:kern w:val="0"/>
          <w:sz w:val="27"/>
          <w:szCs w:val="27"/>
          <w:lang w:eastAsia="en-GB"/>
          <w14:ligatures w14:val="none"/>
        </w:rPr>
        <w:noBreakHyphen/>
        <w:t>Term Wins</w:t>
      </w:r>
    </w:p>
    <w:p w14:paraId="0195EB7B"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Secret Santa campaign delivered measurable short</w:t>
      </w:r>
      <w:r w:rsidRPr="00813058">
        <w:rPr>
          <w:rFonts w:eastAsia="Times New Roman" w:cs="Times New Roman"/>
          <w:kern w:val="0"/>
          <w:lang w:eastAsia="en-GB"/>
          <w14:ligatures w14:val="none"/>
        </w:rPr>
        <w:noBreakHyphen/>
        <w:t>term wins:</w:t>
      </w:r>
    </w:p>
    <w:p w14:paraId="6F776DAD"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1.4 million visitors</w:t>
      </w:r>
    </w:p>
    <w:p w14:paraId="53B77531"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500,000 QR scans</w:t>
      </w:r>
    </w:p>
    <w:p w14:paraId="4017BB08"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2.5% market share growth</w:t>
      </w:r>
    </w:p>
    <w:p w14:paraId="696F00C3"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7D59D345" w14:textId="77777777" w:rsidR="007D1C30" w:rsidRDefault="007D1C30"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p>
    <w:p w14:paraId="627D3764" w14:textId="24F8F19D"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lastRenderedPageBreak/>
        <w:t>Anchoring Change</w:t>
      </w:r>
    </w:p>
    <w:p w14:paraId="78C2EF83"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Digital engagement is now embedded within Cadbury’s core marketing strategy, demonstrating successful anchoring of change.</w:t>
      </w:r>
    </w:p>
    <w:p w14:paraId="696B5BEA" w14:textId="77777777"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1" w:name="_Toc236160700"/>
      <w:r w:rsidRPr="00813058">
        <w:rPr>
          <w:rFonts w:eastAsia="Times New Roman" w:cs="Times New Roman"/>
          <w:b/>
          <w:bCs/>
          <w:kern w:val="0"/>
          <w:sz w:val="36"/>
          <w:szCs w:val="36"/>
          <w:lang w:eastAsia="en-GB"/>
          <w14:ligatures w14:val="none"/>
        </w:rPr>
        <w:t>4.5 Digital Transformation Strategy</w:t>
      </w:r>
      <w:bookmarkEnd w:id="61"/>
    </w:p>
    <w:p w14:paraId="56B20C6E" w14:textId="6BDBB6C9"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digital transformation includes automated warehouses, localised sourcing, data</w:t>
      </w:r>
      <w:r w:rsidRPr="00813058">
        <w:rPr>
          <w:rFonts w:eastAsia="Times New Roman" w:cs="Times New Roman"/>
          <w:kern w:val="0"/>
          <w:lang w:eastAsia="en-GB"/>
          <w14:ligatures w14:val="none"/>
        </w:rPr>
        <w:noBreakHyphen/>
        <w:t>driven forecasting, agile manufacturing and direct</w:t>
      </w:r>
      <w:r w:rsidRPr="00813058">
        <w:rPr>
          <w:rFonts w:eastAsia="Times New Roman" w:cs="Times New Roman"/>
          <w:kern w:val="0"/>
          <w:lang w:eastAsia="en-GB"/>
          <w14:ligatures w14:val="none"/>
        </w:rPr>
        <w:noBreakHyphen/>
        <w:t>to</w:t>
      </w:r>
      <w:r w:rsidRPr="00813058">
        <w:rPr>
          <w:rFonts w:eastAsia="Times New Roman" w:cs="Times New Roman"/>
          <w:kern w:val="0"/>
          <w:lang w:eastAsia="en-GB"/>
          <w14:ligatures w14:val="none"/>
        </w:rPr>
        <w:noBreakHyphen/>
        <w:t>consumer channels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Cadbury’s Secret Santa campaign illustrates how digital tools</w:t>
      </w:r>
      <w:r w:rsidR="00F720F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such as QR codes, interactive posters and online gifting</w:t>
      </w:r>
      <w:r w:rsidR="00F720F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enhance customer engagement and brand experience.</w:t>
      </w:r>
    </w:p>
    <w:p w14:paraId="0793AB6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Digital transformation strengthens Cadbury’s resilience, improves operational efficiency and enhances customer engagement, positioning the company for long</w:t>
      </w:r>
      <w:r w:rsidRPr="00813058">
        <w:rPr>
          <w:rFonts w:eastAsia="Times New Roman" w:cs="Times New Roman"/>
          <w:kern w:val="0"/>
          <w:lang w:eastAsia="en-GB"/>
          <w14:ligatures w14:val="none"/>
        </w:rPr>
        <w:noBreakHyphen/>
        <w:t>term competitiveness.</w:t>
      </w:r>
    </w:p>
    <w:p w14:paraId="6ED24FD0" w14:textId="77777777" w:rsidR="004F6C0A" w:rsidRPr="00813058" w:rsidRDefault="004F6C0A" w:rsidP="00813058">
      <w:pPr>
        <w:spacing w:line="360" w:lineRule="auto"/>
        <w:rPr>
          <w:rFonts w:cs="Times New Roman"/>
          <w:b/>
          <w:bCs/>
          <w:sz w:val="36"/>
          <w:szCs w:val="36"/>
        </w:rPr>
      </w:pPr>
    </w:p>
    <w:p w14:paraId="5D9D849A" w14:textId="77777777" w:rsidR="00174614" w:rsidRPr="00813058" w:rsidRDefault="00174614" w:rsidP="00813058">
      <w:pPr>
        <w:spacing w:line="360" w:lineRule="auto"/>
        <w:rPr>
          <w:rFonts w:cs="Times New Roman"/>
          <w:b/>
          <w:bCs/>
          <w:sz w:val="36"/>
          <w:szCs w:val="36"/>
        </w:rPr>
      </w:pPr>
    </w:p>
    <w:p w14:paraId="1563D83A" w14:textId="77777777" w:rsidR="00174614" w:rsidRPr="00813058" w:rsidRDefault="00174614" w:rsidP="00813058">
      <w:pPr>
        <w:spacing w:line="360" w:lineRule="auto"/>
        <w:rPr>
          <w:rFonts w:cs="Times New Roman"/>
          <w:b/>
          <w:bCs/>
          <w:sz w:val="36"/>
          <w:szCs w:val="36"/>
        </w:rPr>
      </w:pPr>
    </w:p>
    <w:p w14:paraId="4981AE2F" w14:textId="77777777" w:rsidR="00174614" w:rsidRPr="00813058" w:rsidRDefault="00174614" w:rsidP="00813058">
      <w:pPr>
        <w:spacing w:line="360" w:lineRule="auto"/>
        <w:rPr>
          <w:rFonts w:cs="Times New Roman"/>
          <w:b/>
          <w:bCs/>
          <w:sz w:val="36"/>
          <w:szCs w:val="36"/>
        </w:rPr>
      </w:pPr>
    </w:p>
    <w:p w14:paraId="0642E9C0" w14:textId="77777777" w:rsidR="00206016" w:rsidRDefault="00206016" w:rsidP="007E091F">
      <w:pPr>
        <w:spacing w:before="100" w:beforeAutospacing="1" w:after="100" w:afterAutospacing="1" w:line="360" w:lineRule="auto"/>
        <w:outlineLvl w:val="0"/>
        <w:rPr>
          <w:rFonts w:cs="Times New Roman"/>
          <w:b/>
          <w:bCs/>
          <w:sz w:val="36"/>
          <w:szCs w:val="36"/>
        </w:rPr>
      </w:pPr>
    </w:p>
    <w:p w14:paraId="2A1EA17C" w14:textId="77777777" w:rsidR="00865905" w:rsidRDefault="00865905"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669EC924" w14:textId="77777777" w:rsidR="007D1C30" w:rsidRDefault="007D1C30"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62" w:name="_Toc236160701"/>
    </w:p>
    <w:p w14:paraId="08C6DD8C" w14:textId="5123D492" w:rsidR="007E091F" w:rsidRDefault="00EA6872"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5. Gibbs’ Reflective Cycle</w:t>
      </w:r>
      <w:bookmarkEnd w:id="62"/>
    </w:p>
    <w:p w14:paraId="0FBB3297" w14:textId="0B24FF74" w:rsidR="00D34D6E" w:rsidRDefault="00D34D6E"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fldChar w:fldCharType="begin"/>
      </w:r>
      <w:r>
        <w:instrText xml:space="preserve"> INCLUDEPICTURE "https://www.simplypsychology.org/wp-content/uploads/gibbs-reflective-cycle.jpg" \* MERGEFORMATINET </w:instrText>
      </w:r>
      <w:r>
        <w:fldChar w:fldCharType="separate"/>
      </w:r>
      <w:r>
        <w:rPr>
          <w:noProof/>
        </w:rPr>
        <w:drawing>
          <wp:inline distT="0" distB="0" distL="0" distR="0" wp14:anchorId="246EA6F9" wp14:editId="0BCD4197">
            <wp:extent cx="5731510" cy="4299585"/>
            <wp:effectExtent l="0" t="0" r="0" b="5715"/>
            <wp:docPr id="925821197" name="Picture 11" descr="Reflective Learning The Role Of Reflection In Medical Education | 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flective Learning The Role Of Reflection In Medical Education | O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fldChar w:fldCharType="end"/>
      </w:r>
    </w:p>
    <w:p w14:paraId="3179970B" w14:textId="20A45E23" w:rsidR="000A1CDD" w:rsidRDefault="000A1CDD" w:rsidP="000A1CDD">
      <w:pPr>
        <w:spacing w:before="100" w:beforeAutospacing="1" w:after="100" w:afterAutospacing="1" w:line="360" w:lineRule="auto"/>
        <w:jc w:val="center"/>
        <w:outlineLvl w:val="0"/>
      </w:pPr>
      <w:bookmarkStart w:id="63" w:name="_Toc236160702"/>
      <w:r>
        <w:rPr>
          <w:rStyle w:val="Strong"/>
        </w:rPr>
        <w:t>Figure 9:</w:t>
      </w:r>
      <w:r>
        <w:t xml:space="preserve"> Gibbs’ Reflective Cycle</w:t>
      </w:r>
    </w:p>
    <w:p w14:paraId="63B54A36" w14:textId="002BF599" w:rsidR="000A1CDD" w:rsidRDefault="000A1CDD" w:rsidP="000A1CDD">
      <w:pPr>
        <w:spacing w:before="100" w:beforeAutospacing="1" w:after="100" w:afterAutospacing="1" w:line="360" w:lineRule="auto"/>
        <w:jc w:val="center"/>
        <w:outlineLvl w:val="0"/>
        <w:rPr>
          <w:rFonts w:eastAsia="Times New Roman" w:cs="Times New Roman"/>
          <w:b/>
          <w:bCs/>
          <w:kern w:val="0"/>
          <w:sz w:val="27"/>
          <w:szCs w:val="27"/>
          <w:lang w:eastAsia="en-GB"/>
          <w14:ligatures w14:val="none"/>
        </w:rPr>
      </w:pPr>
      <w:r w:rsidRPr="000A1CDD">
        <w:rPr>
          <w:rStyle w:val="Emphasis"/>
          <w:b/>
          <w:bCs/>
          <w:i w:val="0"/>
          <w:iCs w:val="0"/>
        </w:rPr>
        <w:t>Source:</w:t>
      </w:r>
      <w:r>
        <w:rPr>
          <w:rStyle w:val="Emphasis"/>
        </w:rPr>
        <w:t xml:space="preserve"> </w:t>
      </w:r>
      <w:r w:rsidRPr="000A1CDD">
        <w:rPr>
          <w:rStyle w:val="Emphasis"/>
          <w:i w:val="0"/>
          <w:iCs w:val="0"/>
        </w:rPr>
        <w:t>Gibbs (1988)</w:t>
      </w:r>
    </w:p>
    <w:p w14:paraId="0577DF23" w14:textId="3C1A9AE6" w:rsidR="00EA6872" w:rsidRPr="007E091F" w:rsidRDefault="00EA6872"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7E091F">
        <w:rPr>
          <w:rFonts w:eastAsia="Times New Roman" w:cs="Times New Roman"/>
          <w:b/>
          <w:bCs/>
          <w:kern w:val="0"/>
          <w:sz w:val="27"/>
          <w:szCs w:val="27"/>
          <w:lang w:eastAsia="en-GB"/>
          <w14:ligatures w14:val="none"/>
        </w:rPr>
        <w:t>Definition of Gibbs Reflective Cycle</w:t>
      </w:r>
      <w:bookmarkEnd w:id="63"/>
    </w:p>
    <w:p w14:paraId="62B7F38A"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Gibbs’ Reflective Cycle is a structured model designed to support deeper reflection and continuous learning. The model consists of six interconnected stages: Description, Feelings, Evaluation, Analysis, Conclusion and Action Plan. Gibbs (1988, p. 47) argues that this cyclical approach encourages individuals to examine experiences from multiple angles, enabling them to identify strengths, weaknesses and opportunities for improvement. The model is widely used in academic and professional settings because it promotes critical thinking and self</w:t>
      </w:r>
      <w:r w:rsidRPr="00813058">
        <w:rPr>
          <w:rFonts w:eastAsia="Times New Roman" w:cs="Times New Roman"/>
          <w:kern w:val="0"/>
          <w:lang w:eastAsia="en-GB"/>
          <w14:ligatures w14:val="none"/>
        </w:rPr>
        <w:noBreakHyphen/>
        <w:t>development.</w:t>
      </w:r>
    </w:p>
    <w:p w14:paraId="4606ED51"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4" w:name="_Toc236160703"/>
      <w:r w:rsidRPr="00813058">
        <w:rPr>
          <w:rFonts w:eastAsia="Times New Roman" w:cs="Times New Roman"/>
          <w:b/>
          <w:bCs/>
          <w:kern w:val="0"/>
          <w:sz w:val="36"/>
          <w:szCs w:val="36"/>
          <w:lang w:eastAsia="en-GB"/>
          <w14:ligatures w14:val="none"/>
        </w:rPr>
        <w:lastRenderedPageBreak/>
        <w:t>5.1 Description</w:t>
      </w:r>
      <w:bookmarkEnd w:id="64"/>
    </w:p>
    <w:p w14:paraId="12CB23C1"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This assignment required a comprehensive strategic analysis of Cadbury using several established frameworks, including PESTEL, VRIO, SWOT, Porter’s Five Forces, Corporate Social Responsibility (CSR) and the Balanced Scorecard. I also evaluated Cadbury’s strategic decisions using the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framework and applied Kotter’s 8</w:t>
      </w:r>
      <w:r w:rsidRPr="00813058">
        <w:rPr>
          <w:rFonts w:eastAsia="Times New Roman" w:cs="Times New Roman"/>
          <w:kern w:val="0"/>
          <w:lang w:eastAsia="en-GB"/>
          <w14:ligatures w14:val="none"/>
        </w:rPr>
        <w:noBreakHyphen/>
        <w:t>Step Change Model to assess its digital transformation initiatives. Finally, I reflected on my learning journey using Gibbs’ Reflective Cycle.</w:t>
      </w:r>
    </w:p>
    <w:p w14:paraId="16276919"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To complete the assignment, I engaged with academic literature, industry reports and real</w:t>
      </w:r>
      <w:r w:rsidRPr="00813058">
        <w:rPr>
          <w:rFonts w:eastAsia="Times New Roman" w:cs="Times New Roman"/>
          <w:kern w:val="0"/>
          <w:lang w:eastAsia="en-GB"/>
          <w14:ligatures w14:val="none"/>
        </w:rPr>
        <w:noBreakHyphen/>
        <w:t>world case studies such as Cadbury’s Secret Santa campaign and Mondelēz’s digital</w:t>
      </w:r>
      <w:r w:rsidRPr="00813058">
        <w:rPr>
          <w:rFonts w:eastAsia="Times New Roman" w:cs="Times New Roman"/>
          <w:kern w:val="0"/>
          <w:lang w:eastAsia="en-GB"/>
          <w14:ligatures w14:val="none"/>
        </w:rPr>
        <w:noBreakHyphen/>
        <w:t>first transformation strategy. These sources helped me understand how theoretical models translate into practical business decisions and how organisations like Cadbury navigate competitive and regulatory pressures.</w:t>
      </w:r>
    </w:p>
    <w:p w14:paraId="00F7B097"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5" w:name="_Toc236160704"/>
      <w:r w:rsidRPr="00813058">
        <w:rPr>
          <w:rFonts w:eastAsia="Times New Roman" w:cs="Times New Roman"/>
          <w:b/>
          <w:bCs/>
          <w:kern w:val="0"/>
          <w:sz w:val="36"/>
          <w:szCs w:val="36"/>
          <w:lang w:eastAsia="en-GB"/>
          <w14:ligatures w14:val="none"/>
        </w:rPr>
        <w:t>5.2 Feelings</w:t>
      </w:r>
      <w:bookmarkEnd w:id="65"/>
    </w:p>
    <w:p w14:paraId="393E2F6D"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At the start of the assignment, I felt slightly overwhelmed because it required the application of multiple frameworks and a significant amount of detailed analysis. I was uncertain about how to structure the content clearly and how to distribute the word count effectively across different sections. I also felt anxious about referencing correctly, especially because the assignment required Harvard style referencing and I wanted to avoid errors.</w:t>
      </w:r>
    </w:p>
    <w:p w14:paraId="21AE46A3"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As I progressed, my confidence increased. Breaking the assignment into smaller sections made the workload more manageable and helped me stay organised. I felt motivated when I realised how Cadbury’s real</w:t>
      </w:r>
      <w:r w:rsidRPr="00813058">
        <w:rPr>
          <w:rFonts w:eastAsia="Times New Roman" w:cs="Times New Roman"/>
          <w:kern w:val="0"/>
          <w:lang w:eastAsia="en-GB"/>
          <w14:ligatures w14:val="none"/>
        </w:rPr>
        <w:noBreakHyphen/>
        <w:t>world strategies aligned with the academic theories I was studying. Analysing case studies such as the Secret Santa campaign made the work feel more engaging and relevant.</w:t>
      </w:r>
    </w:p>
    <w:p w14:paraId="35D89895"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By the time I reached the reflective section, I felt proud of the depth and clarity of my analysis. I also recognised how much my understanding of strategic management concepts had improved throughout the process.</w:t>
      </w:r>
    </w:p>
    <w:p w14:paraId="51625CE7"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6" w:name="_Toc236160705"/>
      <w:r w:rsidRPr="00813058">
        <w:rPr>
          <w:rFonts w:eastAsia="Times New Roman" w:cs="Times New Roman"/>
          <w:b/>
          <w:bCs/>
          <w:kern w:val="0"/>
          <w:sz w:val="36"/>
          <w:szCs w:val="36"/>
          <w:lang w:eastAsia="en-GB"/>
          <w14:ligatures w14:val="none"/>
        </w:rPr>
        <w:lastRenderedPageBreak/>
        <w:t>5.3 Evaluation</w:t>
      </w:r>
      <w:bookmarkEnd w:id="66"/>
    </w:p>
    <w:p w14:paraId="4592DC6A"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One of the strengths of my work was the integration of multiple academic and industry sources, which helped me produce a well</w:t>
      </w:r>
      <w:r w:rsidRPr="00813058">
        <w:rPr>
          <w:rFonts w:eastAsia="Times New Roman" w:cs="Times New Roman"/>
          <w:kern w:val="0"/>
          <w:lang w:eastAsia="en-GB"/>
          <w14:ligatures w14:val="none"/>
        </w:rPr>
        <w:noBreakHyphen/>
        <w:t>rounded and evidence</w:t>
      </w:r>
      <w:r w:rsidRPr="00813058">
        <w:rPr>
          <w:rFonts w:eastAsia="Times New Roman" w:cs="Times New Roman"/>
          <w:kern w:val="0"/>
          <w:lang w:eastAsia="en-GB"/>
          <w14:ligatures w14:val="none"/>
        </w:rPr>
        <w:noBreakHyphen/>
        <w:t xml:space="preserve">based analysis. For example, using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Digital’s case study on Cadbury’s Secret Santa campaign provided concrete evidence of digital transformation success, while academic sources such as Porter (1985) and Johnson et al. (2020) strengthened the theoretical foundation of my arguments.</w:t>
      </w:r>
    </w:p>
    <w:p w14:paraId="2E1EA7D3"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Another strength was the clear and logical structure of the assignment. Using numbered headings (e.g., 2.2.1, 4.3.1) made the content easy to follow and ensured that the Table of Contents would generate correctly.</w:t>
      </w:r>
    </w:p>
    <w:p w14:paraId="691910E8"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However, one weakness was time management. I spent too much time perfecting the early sections, which made me feel rushed when completing the later parts. I also realised that I relied heavily on digital sources and could have included more peer</w:t>
      </w:r>
      <w:r w:rsidRPr="00813058">
        <w:rPr>
          <w:rFonts w:eastAsia="Times New Roman" w:cs="Times New Roman"/>
          <w:kern w:val="0"/>
          <w:lang w:eastAsia="en-GB"/>
          <w14:ligatures w14:val="none"/>
        </w:rPr>
        <w:noBreakHyphen/>
        <w:t>reviewed academic journal articles to enhance the academic depth of my work.</w:t>
      </w:r>
    </w:p>
    <w:p w14:paraId="01AA8A86"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7" w:name="_Toc236160706"/>
      <w:r w:rsidRPr="00813058">
        <w:rPr>
          <w:rFonts w:eastAsia="Times New Roman" w:cs="Times New Roman"/>
          <w:b/>
          <w:bCs/>
          <w:kern w:val="0"/>
          <w:sz w:val="36"/>
          <w:szCs w:val="36"/>
          <w:lang w:eastAsia="en-GB"/>
          <w14:ligatures w14:val="none"/>
        </w:rPr>
        <w:t>5.4 Analysis</w:t>
      </w:r>
      <w:bookmarkEnd w:id="67"/>
    </w:p>
    <w:p w14:paraId="0690DBEC" w14:textId="12B7FE13"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Reflecting on my learning, I realised that strategic frameworks are not just academic tools</w:t>
      </w:r>
      <w:r w:rsidR="001B771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they are actively used in real organisations. For example, Cadbury’s differentiation strategy closely aligns with Porter’s generic strategies, and its digital transformation reflects several principles from Kotter’s change model.</w:t>
      </w:r>
    </w:p>
    <w:p w14:paraId="7E51AAC6"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 also learned the importance of evidence</w:t>
      </w:r>
      <w:r w:rsidRPr="00813058">
        <w:rPr>
          <w:rFonts w:eastAsia="Times New Roman" w:cs="Times New Roman"/>
          <w:kern w:val="0"/>
          <w:lang w:eastAsia="en-GB"/>
          <w14:ligatures w14:val="none"/>
        </w:rPr>
        <w:noBreakHyphen/>
        <w:t>based analysis. Using real data, such as Cadbury’s 2.5% market share increase during the Secret Santa campaign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made my arguments more credible and persuasive.</w:t>
      </w:r>
    </w:p>
    <w:p w14:paraId="1E116E0E"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Another key insight was the value of structured writing. Breaking the assignment into clear sections helped me maintain clarity and avoid confusion. This approach also improved my confidence because I could focus on one part at a time without feeling overwhelmed.</w:t>
      </w:r>
    </w:p>
    <w:p w14:paraId="1DB7D226"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Finally, I recognised how reflection itself supports learning. Gibbs’ model encouraged me to think not only about what I did, but also how I felt, what worked well, and what I can improve. This reflective process helped me understand my learning journey more deeply.</w:t>
      </w:r>
    </w:p>
    <w:p w14:paraId="3005C516"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8" w:name="_Toc236160707"/>
      <w:r w:rsidRPr="00813058">
        <w:rPr>
          <w:rFonts w:eastAsia="Times New Roman" w:cs="Times New Roman"/>
          <w:b/>
          <w:bCs/>
          <w:kern w:val="0"/>
          <w:sz w:val="36"/>
          <w:szCs w:val="36"/>
          <w:lang w:eastAsia="en-GB"/>
          <w14:ligatures w14:val="none"/>
        </w:rPr>
        <w:t>5.5 Conclusion</w:t>
      </w:r>
      <w:bookmarkEnd w:id="68"/>
    </w:p>
    <w:p w14:paraId="6866A931"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Overall, this assignment significantly improved my understanding of strategic management and strengthened my academic writing skills. I learned how to apply theoretical models to real business situations and how to evaluate strategic decisions using frameworks such as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and Kotter’s model. I also improved my referencing skills and gained confidence in structuring long assignments.</w:t>
      </w:r>
    </w:p>
    <w:p w14:paraId="4575B297"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Reflecting on my experience helped me identify both strengths and areas for improvement, which will support my future academic work and personal development.</w:t>
      </w:r>
    </w:p>
    <w:p w14:paraId="34E87310" w14:textId="77777777" w:rsidR="00174614" w:rsidRPr="00813058" w:rsidRDefault="00174614" w:rsidP="00813058">
      <w:pPr>
        <w:spacing w:line="360" w:lineRule="auto"/>
        <w:rPr>
          <w:rFonts w:eastAsia="Times New Roman" w:cs="Times New Roman"/>
          <w:b/>
          <w:bCs/>
          <w:kern w:val="0"/>
          <w:sz w:val="36"/>
          <w:szCs w:val="36"/>
          <w:lang w:eastAsia="en-GB"/>
          <w14:ligatures w14:val="none"/>
        </w:rPr>
      </w:pPr>
    </w:p>
    <w:p w14:paraId="69200AC1" w14:textId="77777777" w:rsidR="0050512E" w:rsidRPr="00813058" w:rsidRDefault="0050512E" w:rsidP="00813058">
      <w:pPr>
        <w:spacing w:line="360" w:lineRule="auto"/>
        <w:rPr>
          <w:rFonts w:eastAsia="Times New Roman" w:cs="Times New Roman"/>
          <w:b/>
          <w:bCs/>
          <w:kern w:val="0"/>
          <w:sz w:val="36"/>
          <w:szCs w:val="36"/>
          <w:lang w:eastAsia="en-GB"/>
          <w14:ligatures w14:val="none"/>
        </w:rPr>
      </w:pPr>
    </w:p>
    <w:p w14:paraId="000E02A0"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69" w:name="_Toc236160708"/>
    </w:p>
    <w:p w14:paraId="49B82F74"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616A8BE5"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575155A3"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0544D853"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36E3D151" w14:textId="664F24D4" w:rsidR="0050512E" w:rsidRPr="00813058" w:rsidRDefault="0050512E"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6. Reference List</w:t>
      </w:r>
      <w:bookmarkEnd w:id="69"/>
    </w:p>
    <w:p w14:paraId="5CE1E252"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w:t>
      </w:r>
      <w:r w:rsidRPr="00813058">
        <w:rPr>
          <w:rFonts w:eastAsia="Times New Roman" w:cs="Times New Roman"/>
          <w:i/>
          <w:iCs/>
          <w:kern w:val="0"/>
          <w:lang w:eastAsia="en-GB"/>
          <w14:ligatures w14:val="none"/>
        </w:rPr>
        <w:t>Cadbury Secret Santa Campaign Case Study</w:t>
      </w:r>
      <w:r w:rsidRPr="00813058">
        <w:rPr>
          <w:rFonts w:eastAsia="Times New Roman" w:cs="Times New Roman"/>
          <w:kern w:val="0"/>
          <w:lang w:eastAsia="en-GB"/>
          <w14:ligatures w14:val="none"/>
        </w:rPr>
        <w:t xml:space="preserve">.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w:t>
      </w:r>
    </w:p>
    <w:p w14:paraId="60B45215"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Bansal, P.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xml:space="preserve">, M. (2022) </w:t>
      </w:r>
      <w:r w:rsidRPr="00813058">
        <w:rPr>
          <w:rFonts w:eastAsia="Times New Roman" w:cs="Times New Roman"/>
          <w:i/>
          <w:iCs/>
          <w:kern w:val="0"/>
          <w:lang w:eastAsia="en-GB"/>
          <w14:ligatures w14:val="none"/>
        </w:rPr>
        <w:t>Business Sustainability: Balancing Profit and Social Responsibility</w:t>
      </w:r>
      <w:r w:rsidRPr="00813058">
        <w:rPr>
          <w:rFonts w:eastAsia="Times New Roman" w:cs="Times New Roman"/>
          <w:kern w:val="0"/>
          <w:lang w:eastAsia="en-GB"/>
          <w14:ligatures w14:val="none"/>
        </w:rPr>
        <w:t>. Oxford University Press.</w:t>
      </w:r>
    </w:p>
    <w:p w14:paraId="00BDD7D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Barney, J. (1991) ‘Firm Resources and Sustained Competitive Advantage’, </w:t>
      </w:r>
      <w:r w:rsidRPr="00813058">
        <w:rPr>
          <w:rFonts w:eastAsia="Times New Roman" w:cs="Times New Roman"/>
          <w:i/>
          <w:iCs/>
          <w:kern w:val="0"/>
          <w:lang w:eastAsia="en-GB"/>
          <w14:ligatures w14:val="none"/>
        </w:rPr>
        <w:t>Journal of Management</w:t>
      </w:r>
      <w:r w:rsidRPr="00813058">
        <w:rPr>
          <w:rFonts w:eastAsia="Times New Roman" w:cs="Times New Roman"/>
          <w:kern w:val="0"/>
          <w:lang w:eastAsia="en-GB"/>
          <w14:ligatures w14:val="none"/>
        </w:rPr>
        <w:t>, 17(1), pp. 99–120.</w:t>
      </w:r>
    </w:p>
    <w:p w14:paraId="0E0EB97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(2024) </w:t>
      </w:r>
      <w:r w:rsidRPr="00813058">
        <w:rPr>
          <w:rFonts w:eastAsia="Times New Roman" w:cs="Times New Roman"/>
          <w:i/>
          <w:iCs/>
          <w:kern w:val="0"/>
          <w:lang w:eastAsia="en-GB"/>
          <w14:ligatures w14:val="none"/>
        </w:rPr>
        <w:t>Our Story</w:t>
      </w:r>
      <w:r w:rsidRPr="00813058">
        <w:rPr>
          <w:rFonts w:eastAsia="Times New Roman" w:cs="Times New Roman"/>
          <w:kern w:val="0"/>
          <w:lang w:eastAsia="en-GB"/>
          <w14:ligatures w14:val="none"/>
        </w:rPr>
        <w:t>. Cadbury UK.</w:t>
      </w:r>
    </w:p>
    <w:p w14:paraId="65ECBF19"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Carroll, A. (1991) ‘The Pyramid of Corporate Social Responsibility’, </w:t>
      </w:r>
      <w:r w:rsidRPr="00813058">
        <w:rPr>
          <w:rFonts w:eastAsia="Times New Roman" w:cs="Times New Roman"/>
          <w:i/>
          <w:iCs/>
          <w:kern w:val="0"/>
          <w:lang w:eastAsia="en-GB"/>
          <w14:ligatures w14:val="none"/>
        </w:rPr>
        <w:t>Business Horizons</w:t>
      </w:r>
      <w:r w:rsidRPr="00813058">
        <w:rPr>
          <w:rFonts w:eastAsia="Times New Roman" w:cs="Times New Roman"/>
          <w:kern w:val="0"/>
          <w:lang w:eastAsia="en-GB"/>
          <w14:ligatures w14:val="none"/>
        </w:rPr>
        <w:t>, 34(4), pp. 39–48.</w:t>
      </w:r>
    </w:p>
    <w:p w14:paraId="466C1D6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Cocoa Life (2025) </w:t>
      </w:r>
      <w:r w:rsidRPr="00813058">
        <w:rPr>
          <w:rFonts w:eastAsia="Times New Roman" w:cs="Times New Roman"/>
          <w:i/>
          <w:iCs/>
          <w:kern w:val="0"/>
          <w:lang w:eastAsia="en-GB"/>
          <w14:ligatures w14:val="none"/>
        </w:rPr>
        <w:t>Cocoa Life Impact Report</w:t>
      </w:r>
      <w:r w:rsidRPr="00813058">
        <w:rPr>
          <w:rFonts w:eastAsia="Times New Roman" w:cs="Times New Roman"/>
          <w:kern w:val="0"/>
          <w:lang w:eastAsia="en-GB"/>
          <w14:ligatures w14:val="none"/>
        </w:rPr>
        <w:t>. Mondelēz International.</w:t>
      </w:r>
    </w:p>
    <w:p w14:paraId="3CAFD4B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DEFRA (2024) </w:t>
      </w:r>
      <w:r w:rsidRPr="00813058">
        <w:rPr>
          <w:rFonts w:eastAsia="Times New Roman" w:cs="Times New Roman"/>
          <w:i/>
          <w:iCs/>
          <w:kern w:val="0"/>
          <w:lang w:eastAsia="en-GB"/>
          <w14:ligatures w14:val="none"/>
        </w:rPr>
        <w:t>UK Food Supply Chain and Inflation Report</w:t>
      </w:r>
      <w:r w:rsidRPr="00813058">
        <w:rPr>
          <w:rFonts w:eastAsia="Times New Roman" w:cs="Times New Roman"/>
          <w:kern w:val="0"/>
          <w:lang w:eastAsia="en-GB"/>
          <w14:ligatures w14:val="none"/>
        </w:rPr>
        <w:t>. Department for Environment, Food &amp; Rural Affairs.</w:t>
      </w:r>
    </w:p>
    <w:p w14:paraId="407FB54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Dyson, R. (2004) ‘Strategic Development and SWOT Analysis’, </w:t>
      </w:r>
      <w:r w:rsidRPr="00813058">
        <w:rPr>
          <w:rFonts w:eastAsia="Times New Roman" w:cs="Times New Roman"/>
          <w:i/>
          <w:iCs/>
          <w:kern w:val="0"/>
          <w:lang w:eastAsia="en-GB"/>
          <w14:ligatures w14:val="none"/>
        </w:rPr>
        <w:t>Management Decision</w:t>
      </w:r>
      <w:r w:rsidRPr="00813058">
        <w:rPr>
          <w:rFonts w:eastAsia="Times New Roman" w:cs="Times New Roman"/>
          <w:kern w:val="0"/>
          <w:lang w:eastAsia="en-GB"/>
          <w14:ligatures w14:val="none"/>
        </w:rPr>
        <w:t>, 42(3), pp. 632–645.</w:t>
      </w:r>
    </w:p>
    <w:p w14:paraId="7E5A9EB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Euromonitor (2025) </w:t>
      </w:r>
      <w:r w:rsidRPr="00813058">
        <w:rPr>
          <w:rFonts w:eastAsia="Times New Roman" w:cs="Times New Roman"/>
          <w:i/>
          <w:iCs/>
          <w:kern w:val="0"/>
          <w:lang w:eastAsia="en-GB"/>
          <w14:ligatures w14:val="none"/>
        </w:rPr>
        <w:t>UK Chocolate Confectionery Market Report</w:t>
      </w:r>
      <w:r w:rsidRPr="00813058">
        <w:rPr>
          <w:rFonts w:eastAsia="Times New Roman" w:cs="Times New Roman"/>
          <w:kern w:val="0"/>
          <w:lang w:eastAsia="en-GB"/>
          <w14:ligatures w14:val="none"/>
        </w:rPr>
        <w:t>. Euromonitor International.</w:t>
      </w:r>
    </w:p>
    <w:p w14:paraId="7586B8B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Fairtrade Foundation (2025) </w:t>
      </w:r>
      <w:r w:rsidRPr="00813058">
        <w:rPr>
          <w:rFonts w:eastAsia="Times New Roman" w:cs="Times New Roman"/>
          <w:i/>
          <w:iCs/>
          <w:kern w:val="0"/>
          <w:lang w:eastAsia="en-GB"/>
          <w14:ligatures w14:val="none"/>
        </w:rPr>
        <w:t>Ethical Consumer Trends Report</w:t>
      </w:r>
      <w:r w:rsidRPr="00813058">
        <w:rPr>
          <w:rFonts w:eastAsia="Times New Roman" w:cs="Times New Roman"/>
          <w:kern w:val="0"/>
          <w:lang w:eastAsia="en-GB"/>
          <w14:ligatures w14:val="none"/>
        </w:rPr>
        <w:t>. Fairtrade UK.</w:t>
      </w:r>
    </w:p>
    <w:p w14:paraId="4C699BE6"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Gibbs, G. (1988) </w:t>
      </w:r>
      <w:r w:rsidRPr="00813058">
        <w:rPr>
          <w:rFonts w:eastAsia="Times New Roman" w:cs="Times New Roman"/>
          <w:i/>
          <w:iCs/>
          <w:kern w:val="0"/>
          <w:lang w:eastAsia="en-GB"/>
          <w14:ligatures w14:val="none"/>
        </w:rPr>
        <w:t>Learning by Doing: A Guide to Teaching and Learning Methods</w:t>
      </w:r>
      <w:r w:rsidRPr="00813058">
        <w:rPr>
          <w:rFonts w:eastAsia="Times New Roman" w:cs="Times New Roman"/>
          <w:kern w:val="0"/>
          <w:lang w:eastAsia="en-GB"/>
          <w14:ligatures w14:val="none"/>
        </w:rPr>
        <w:t>. Oxford Polytechnic.</w:t>
      </w:r>
    </w:p>
    <w:p w14:paraId="0A8EA8C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Grant, R. (2021) </w:t>
      </w:r>
      <w:r w:rsidRPr="00813058">
        <w:rPr>
          <w:rFonts w:eastAsia="Times New Roman" w:cs="Times New Roman"/>
          <w:i/>
          <w:iCs/>
          <w:kern w:val="0"/>
          <w:lang w:eastAsia="en-GB"/>
          <w14:ligatures w14:val="none"/>
        </w:rPr>
        <w:t>Contemporary Strategy Analysis</w:t>
      </w:r>
      <w:r w:rsidRPr="00813058">
        <w:rPr>
          <w:rFonts w:eastAsia="Times New Roman" w:cs="Times New Roman"/>
          <w:kern w:val="0"/>
          <w:lang w:eastAsia="en-GB"/>
          <w14:ligatures w14:val="none"/>
        </w:rPr>
        <w:t xml:space="preserve">. 11th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Wiley.</w:t>
      </w:r>
    </w:p>
    <w:p w14:paraId="1DEE05E2"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Hill, C., Jones, G. &amp; Schilling, M. (2022) </w:t>
      </w:r>
      <w:r w:rsidRPr="00813058">
        <w:rPr>
          <w:rFonts w:eastAsia="Times New Roman" w:cs="Times New Roman"/>
          <w:i/>
          <w:iCs/>
          <w:kern w:val="0"/>
          <w:lang w:eastAsia="en-GB"/>
          <w14:ligatures w14:val="none"/>
        </w:rPr>
        <w:t>Strategic Management: Theory &amp; Cases</w:t>
      </w:r>
      <w:r w:rsidRPr="00813058">
        <w:rPr>
          <w:rFonts w:eastAsia="Times New Roman" w:cs="Times New Roman"/>
          <w:kern w:val="0"/>
          <w:lang w:eastAsia="en-GB"/>
          <w14:ligatures w14:val="none"/>
        </w:rPr>
        <w:t>. Cengage Learning.</w:t>
      </w:r>
    </w:p>
    <w:p w14:paraId="4F6460EE"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 xml:space="preserve">Hitt, M., Ireland, R. &amp; </w:t>
      </w:r>
      <w:proofErr w:type="spellStart"/>
      <w:r w:rsidRPr="00813058">
        <w:rPr>
          <w:rFonts w:eastAsia="Times New Roman" w:cs="Times New Roman"/>
          <w:kern w:val="0"/>
          <w:lang w:eastAsia="en-GB"/>
          <w14:ligatures w14:val="none"/>
        </w:rPr>
        <w:t>Hoskisson</w:t>
      </w:r>
      <w:proofErr w:type="spellEnd"/>
      <w:r w:rsidRPr="00813058">
        <w:rPr>
          <w:rFonts w:eastAsia="Times New Roman" w:cs="Times New Roman"/>
          <w:kern w:val="0"/>
          <w:lang w:eastAsia="en-GB"/>
          <w14:ligatures w14:val="none"/>
        </w:rPr>
        <w:t xml:space="preserve">, R. (2020) </w:t>
      </w:r>
      <w:r w:rsidRPr="00813058">
        <w:rPr>
          <w:rFonts w:eastAsia="Times New Roman" w:cs="Times New Roman"/>
          <w:i/>
          <w:iCs/>
          <w:kern w:val="0"/>
          <w:lang w:eastAsia="en-GB"/>
          <w14:ligatures w14:val="none"/>
        </w:rPr>
        <w:t>Strategic Management: Competitiveness and Globalisation</w:t>
      </w:r>
      <w:r w:rsidRPr="00813058">
        <w:rPr>
          <w:rFonts w:eastAsia="Times New Roman" w:cs="Times New Roman"/>
          <w:kern w:val="0"/>
          <w:lang w:eastAsia="en-GB"/>
          <w14:ligatures w14:val="none"/>
        </w:rPr>
        <w:t>. Cengage Learning.</w:t>
      </w:r>
    </w:p>
    <w:p w14:paraId="58E75C48"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Johnson, G., Whittington, R. &amp; Scholes, K. (2020) </w:t>
      </w:r>
      <w:r w:rsidRPr="00813058">
        <w:rPr>
          <w:rFonts w:eastAsia="Times New Roman" w:cs="Times New Roman"/>
          <w:i/>
          <w:iCs/>
          <w:kern w:val="0"/>
          <w:lang w:eastAsia="en-GB"/>
          <w14:ligatures w14:val="none"/>
        </w:rPr>
        <w:t>Exploring Strategy</w:t>
      </w:r>
      <w:r w:rsidRPr="00813058">
        <w:rPr>
          <w:rFonts w:eastAsia="Times New Roman" w:cs="Times New Roman"/>
          <w:kern w:val="0"/>
          <w:lang w:eastAsia="en-GB"/>
          <w14:ligatures w14:val="none"/>
        </w:rPr>
        <w:t xml:space="preserve">. 12th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3ECC1D7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Kantar (2025) </w:t>
      </w:r>
      <w:r w:rsidRPr="00813058">
        <w:rPr>
          <w:rFonts w:eastAsia="Times New Roman" w:cs="Times New Roman"/>
          <w:i/>
          <w:iCs/>
          <w:kern w:val="0"/>
          <w:lang w:eastAsia="en-GB"/>
          <w14:ligatures w14:val="none"/>
        </w:rPr>
        <w:t>Brand Footprint Report</w:t>
      </w:r>
      <w:r w:rsidRPr="00813058">
        <w:rPr>
          <w:rFonts w:eastAsia="Times New Roman" w:cs="Times New Roman"/>
          <w:kern w:val="0"/>
          <w:lang w:eastAsia="en-GB"/>
          <w14:ligatures w14:val="none"/>
        </w:rPr>
        <w:t>. Kantar Worldpanel.</w:t>
      </w:r>
    </w:p>
    <w:p w14:paraId="3793E408"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Kaplan, R. &amp; Norton, D. (1996) </w:t>
      </w:r>
      <w:r w:rsidRPr="00813058">
        <w:rPr>
          <w:rFonts w:eastAsia="Times New Roman" w:cs="Times New Roman"/>
          <w:i/>
          <w:iCs/>
          <w:kern w:val="0"/>
          <w:lang w:eastAsia="en-GB"/>
          <w14:ligatures w14:val="none"/>
        </w:rPr>
        <w:t>The Balanced Scorecard: Translating Strategy into Action</w:t>
      </w:r>
      <w:r w:rsidRPr="00813058">
        <w:rPr>
          <w:rFonts w:eastAsia="Times New Roman" w:cs="Times New Roman"/>
          <w:kern w:val="0"/>
          <w:lang w:eastAsia="en-GB"/>
          <w14:ligatures w14:val="none"/>
        </w:rPr>
        <w:t>. Harvard Business School Press.</w:t>
      </w:r>
    </w:p>
    <w:p w14:paraId="3F9FD369"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Kotler, P. &amp; Keller, K. (2020) </w:t>
      </w:r>
      <w:r w:rsidRPr="00813058">
        <w:rPr>
          <w:rFonts w:eastAsia="Times New Roman" w:cs="Times New Roman"/>
          <w:i/>
          <w:iCs/>
          <w:kern w:val="0"/>
          <w:lang w:eastAsia="en-GB"/>
          <w14:ligatures w14:val="none"/>
        </w:rPr>
        <w:t>Marketing Management</w:t>
      </w:r>
      <w:r w:rsidRPr="00813058">
        <w:rPr>
          <w:rFonts w:eastAsia="Times New Roman" w:cs="Times New Roman"/>
          <w:kern w:val="0"/>
          <w:lang w:eastAsia="en-GB"/>
          <w14:ligatures w14:val="none"/>
        </w:rPr>
        <w:t xml:space="preserve">. 16th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717E281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Lynch, R. (2021) </w:t>
      </w:r>
      <w:r w:rsidRPr="00813058">
        <w:rPr>
          <w:rFonts w:eastAsia="Times New Roman" w:cs="Times New Roman"/>
          <w:i/>
          <w:iCs/>
          <w:kern w:val="0"/>
          <w:lang w:eastAsia="en-GB"/>
          <w14:ligatures w14:val="none"/>
        </w:rPr>
        <w:t>Corporate Strategy</w:t>
      </w:r>
      <w:r w:rsidRPr="00813058">
        <w:rPr>
          <w:rFonts w:eastAsia="Times New Roman" w:cs="Times New Roman"/>
          <w:kern w:val="0"/>
          <w:lang w:eastAsia="en-GB"/>
          <w14:ligatures w14:val="none"/>
        </w:rPr>
        <w:t xml:space="preserve">. 8th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0FD4654E"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Mintel (2025) </w:t>
      </w:r>
      <w:r w:rsidRPr="00813058">
        <w:rPr>
          <w:rFonts w:eastAsia="Times New Roman" w:cs="Times New Roman"/>
          <w:i/>
          <w:iCs/>
          <w:kern w:val="0"/>
          <w:lang w:eastAsia="en-GB"/>
          <w14:ligatures w14:val="none"/>
        </w:rPr>
        <w:t>UK Chocolate and Confectionery Market Report</w:t>
      </w:r>
      <w:r w:rsidRPr="00813058">
        <w:rPr>
          <w:rFonts w:eastAsia="Times New Roman" w:cs="Times New Roman"/>
          <w:kern w:val="0"/>
          <w:lang w:eastAsia="en-GB"/>
          <w14:ligatures w14:val="none"/>
        </w:rPr>
        <w:t>. Mintel Group Ltd.</w:t>
      </w:r>
    </w:p>
    <w:p w14:paraId="623F135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Mondelēz International (2024) </w:t>
      </w:r>
      <w:r w:rsidRPr="00813058">
        <w:rPr>
          <w:rFonts w:eastAsia="Times New Roman" w:cs="Times New Roman"/>
          <w:i/>
          <w:iCs/>
          <w:kern w:val="0"/>
          <w:lang w:eastAsia="en-GB"/>
          <w14:ligatures w14:val="none"/>
        </w:rPr>
        <w:t>Annual Report 2024</w:t>
      </w:r>
      <w:r w:rsidRPr="00813058">
        <w:rPr>
          <w:rFonts w:eastAsia="Times New Roman" w:cs="Times New Roman"/>
          <w:kern w:val="0"/>
          <w:lang w:eastAsia="en-GB"/>
          <w14:ligatures w14:val="none"/>
        </w:rPr>
        <w:t>. Mondelēz International.</w:t>
      </w:r>
    </w:p>
    <w:p w14:paraId="28D4C3D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NHS (2024) </w:t>
      </w:r>
      <w:r w:rsidRPr="00813058">
        <w:rPr>
          <w:rFonts w:eastAsia="Times New Roman" w:cs="Times New Roman"/>
          <w:i/>
          <w:iCs/>
          <w:kern w:val="0"/>
          <w:lang w:eastAsia="en-GB"/>
          <w14:ligatures w14:val="none"/>
        </w:rPr>
        <w:t>Sugar Consumption and Public Health Guidance</w:t>
      </w:r>
      <w:r w:rsidRPr="00813058">
        <w:rPr>
          <w:rFonts w:eastAsia="Times New Roman" w:cs="Times New Roman"/>
          <w:kern w:val="0"/>
          <w:lang w:eastAsia="en-GB"/>
          <w14:ligatures w14:val="none"/>
        </w:rPr>
        <w:t>. National Health Service UK.</w:t>
      </w:r>
    </w:p>
    <w:p w14:paraId="05692E61"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Porter, M. (1985) </w:t>
      </w:r>
      <w:r w:rsidRPr="00813058">
        <w:rPr>
          <w:rFonts w:eastAsia="Times New Roman" w:cs="Times New Roman"/>
          <w:i/>
          <w:iCs/>
          <w:kern w:val="0"/>
          <w:lang w:eastAsia="en-GB"/>
          <w14:ligatures w14:val="none"/>
        </w:rPr>
        <w:t>Competitive Advantage</w:t>
      </w:r>
      <w:r w:rsidRPr="00813058">
        <w:rPr>
          <w:rFonts w:eastAsia="Times New Roman" w:cs="Times New Roman"/>
          <w:kern w:val="0"/>
          <w:lang w:eastAsia="en-GB"/>
          <w14:ligatures w14:val="none"/>
        </w:rPr>
        <w:t>. Free Press.</w:t>
      </w:r>
    </w:p>
    <w:p w14:paraId="2F24DF9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Porter, M. (2008) </w:t>
      </w:r>
      <w:r w:rsidRPr="00813058">
        <w:rPr>
          <w:rFonts w:eastAsia="Times New Roman" w:cs="Times New Roman"/>
          <w:i/>
          <w:iCs/>
          <w:kern w:val="0"/>
          <w:lang w:eastAsia="en-GB"/>
          <w14:ligatures w14:val="none"/>
        </w:rPr>
        <w:t>The Five Competitive Forces That Shape Strategy</w:t>
      </w:r>
      <w:r w:rsidRPr="00813058">
        <w:rPr>
          <w:rFonts w:eastAsia="Times New Roman" w:cs="Times New Roman"/>
          <w:kern w:val="0"/>
          <w:lang w:eastAsia="en-GB"/>
          <w14:ligatures w14:val="none"/>
        </w:rPr>
        <w:t>. Harvard Business Review.</w:t>
      </w:r>
    </w:p>
    <w:p w14:paraId="34A32922" w14:textId="77777777" w:rsidR="0050512E"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SAP Case Study (2022) </w:t>
      </w:r>
      <w:r w:rsidRPr="00813058">
        <w:rPr>
          <w:rFonts w:eastAsia="Times New Roman" w:cs="Times New Roman"/>
          <w:i/>
          <w:iCs/>
          <w:kern w:val="0"/>
          <w:lang w:eastAsia="en-GB"/>
          <w14:ligatures w14:val="none"/>
        </w:rPr>
        <w:t>Cadbury SAP ERP Integration Case Study</w:t>
      </w:r>
      <w:r w:rsidRPr="00813058">
        <w:rPr>
          <w:rFonts w:eastAsia="Times New Roman" w:cs="Times New Roman"/>
          <w:kern w:val="0"/>
          <w:lang w:eastAsia="en-GB"/>
          <w14:ligatures w14:val="none"/>
        </w:rPr>
        <w:t>. SAP SE.</w:t>
      </w:r>
    </w:p>
    <w:p w14:paraId="10CCB36E"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Barney, J. (1991) ‘Firm Resources and Sustained Competitive Advantage’, </w:t>
      </w:r>
      <w:r w:rsidRPr="00E84720">
        <w:rPr>
          <w:rStyle w:val="Emphasis"/>
          <w:rFonts w:asciiTheme="minorHAnsi" w:hAnsiTheme="minorHAnsi"/>
        </w:rPr>
        <w:t>Journal of Management</w:t>
      </w:r>
      <w:r w:rsidRPr="00E84720">
        <w:rPr>
          <w:rFonts w:asciiTheme="minorHAnsi" w:hAnsiTheme="minorHAnsi"/>
        </w:rPr>
        <w:t>, 17(1), pp. 99–120.</w:t>
      </w:r>
    </w:p>
    <w:p w14:paraId="180C4CD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Carroll, A. (1991) ‘The Pyramid of Corporate Social Responsibility’, </w:t>
      </w:r>
      <w:r w:rsidRPr="00E84720">
        <w:rPr>
          <w:rStyle w:val="Emphasis"/>
          <w:rFonts w:asciiTheme="minorHAnsi" w:hAnsiTheme="minorHAnsi"/>
        </w:rPr>
        <w:t>Business Horizons</w:t>
      </w:r>
      <w:r w:rsidRPr="00E84720">
        <w:rPr>
          <w:rFonts w:asciiTheme="minorHAnsi" w:hAnsiTheme="minorHAnsi"/>
        </w:rPr>
        <w:t>, 34(4), pp. 39–48.</w:t>
      </w:r>
    </w:p>
    <w:p w14:paraId="2AECB1B1"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Dyson, R. (2004) ‘Strategic Development and SWOT Analysis’, </w:t>
      </w:r>
      <w:r w:rsidRPr="00E84720">
        <w:rPr>
          <w:rStyle w:val="Emphasis"/>
          <w:rFonts w:asciiTheme="minorHAnsi" w:hAnsiTheme="minorHAnsi"/>
        </w:rPr>
        <w:t>Management Decision</w:t>
      </w:r>
      <w:r w:rsidRPr="00E84720">
        <w:rPr>
          <w:rFonts w:asciiTheme="minorHAnsi" w:hAnsiTheme="minorHAnsi"/>
        </w:rPr>
        <w:t>, 42(3), pp. 632–645.</w:t>
      </w:r>
    </w:p>
    <w:p w14:paraId="5569A81E"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lastRenderedPageBreak/>
        <w:t xml:space="preserve">Gibbs, G. (1988) </w:t>
      </w:r>
      <w:r w:rsidRPr="00E84720">
        <w:rPr>
          <w:rStyle w:val="Emphasis"/>
          <w:rFonts w:asciiTheme="minorHAnsi" w:hAnsiTheme="minorHAnsi"/>
        </w:rPr>
        <w:t>Learning by Doing: A Guide to Teaching and Learning Methods</w:t>
      </w:r>
      <w:r w:rsidRPr="00E84720">
        <w:rPr>
          <w:rFonts w:asciiTheme="minorHAnsi" w:hAnsiTheme="minorHAnsi"/>
        </w:rPr>
        <w:t>. Oxford Polytechnic.</w:t>
      </w:r>
    </w:p>
    <w:p w14:paraId="5163786A"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Johnson, G., Whittington, R. &amp; Scholes, K. (2020) </w:t>
      </w:r>
      <w:r w:rsidRPr="00E84720">
        <w:rPr>
          <w:rStyle w:val="Emphasis"/>
          <w:rFonts w:asciiTheme="minorHAnsi" w:hAnsiTheme="minorHAnsi"/>
        </w:rPr>
        <w:t>Exploring Strategy</w:t>
      </w:r>
      <w:r w:rsidRPr="00E84720">
        <w:rPr>
          <w:rFonts w:asciiTheme="minorHAnsi" w:hAnsiTheme="minorHAnsi"/>
        </w:rPr>
        <w:t xml:space="preserve">. 12th </w:t>
      </w:r>
      <w:proofErr w:type="spellStart"/>
      <w:r w:rsidRPr="00E84720">
        <w:rPr>
          <w:rFonts w:asciiTheme="minorHAnsi" w:hAnsiTheme="minorHAnsi"/>
        </w:rPr>
        <w:t>edn</w:t>
      </w:r>
      <w:proofErr w:type="spellEnd"/>
      <w:r w:rsidRPr="00E84720">
        <w:rPr>
          <w:rFonts w:asciiTheme="minorHAnsi" w:hAnsiTheme="minorHAnsi"/>
        </w:rPr>
        <w:t>. Pearson.</w:t>
      </w:r>
    </w:p>
    <w:p w14:paraId="700F5B76"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Kaplan, R. &amp; Norton, D. (1996) </w:t>
      </w:r>
      <w:r w:rsidRPr="00E84720">
        <w:rPr>
          <w:rStyle w:val="Emphasis"/>
          <w:rFonts w:asciiTheme="minorHAnsi" w:hAnsiTheme="minorHAnsi"/>
        </w:rPr>
        <w:t>The Balanced Scorecard: Translating Strategy into Action</w:t>
      </w:r>
      <w:r w:rsidRPr="00E84720">
        <w:rPr>
          <w:rFonts w:asciiTheme="minorHAnsi" w:hAnsiTheme="minorHAnsi"/>
        </w:rPr>
        <w:t>. Harvard Business School Press.</w:t>
      </w:r>
    </w:p>
    <w:p w14:paraId="1834BFB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Kotter, J. (1996) </w:t>
      </w:r>
      <w:r w:rsidRPr="00E84720">
        <w:rPr>
          <w:rStyle w:val="Emphasis"/>
          <w:rFonts w:asciiTheme="minorHAnsi" w:hAnsiTheme="minorHAnsi"/>
        </w:rPr>
        <w:t>Leading Change</w:t>
      </w:r>
      <w:r w:rsidRPr="00E84720">
        <w:rPr>
          <w:rFonts w:asciiTheme="minorHAnsi" w:hAnsiTheme="minorHAnsi"/>
        </w:rPr>
        <w:t>. Harvard Business School Press.</w:t>
      </w:r>
    </w:p>
    <w:p w14:paraId="3AABC771"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Porter, M. (1985) </w:t>
      </w:r>
      <w:r w:rsidRPr="00E84720">
        <w:rPr>
          <w:rStyle w:val="Emphasis"/>
          <w:rFonts w:asciiTheme="minorHAnsi" w:hAnsiTheme="minorHAnsi"/>
        </w:rPr>
        <w:t>Competitive Advantage: Creating and Sustaining Superior Performance</w:t>
      </w:r>
      <w:r w:rsidRPr="00E84720">
        <w:rPr>
          <w:rFonts w:asciiTheme="minorHAnsi" w:hAnsiTheme="minorHAnsi"/>
        </w:rPr>
        <w:t>. Free Press.</w:t>
      </w:r>
    </w:p>
    <w:p w14:paraId="6B0F0C7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Porter, M. (2008) ‘The Five Competitive Forces That Shape Strategy’, </w:t>
      </w:r>
      <w:r w:rsidRPr="00E84720">
        <w:rPr>
          <w:rStyle w:val="Emphasis"/>
          <w:rFonts w:asciiTheme="minorHAnsi" w:hAnsiTheme="minorHAnsi"/>
        </w:rPr>
        <w:t>Harvard Business Review</w:t>
      </w:r>
      <w:r w:rsidRPr="00E84720">
        <w:rPr>
          <w:rFonts w:asciiTheme="minorHAnsi" w:hAnsiTheme="minorHAnsi"/>
        </w:rPr>
        <w:t>, January, pp. 79–93.</w:t>
      </w:r>
    </w:p>
    <w:p w14:paraId="0E588E42" w14:textId="77777777" w:rsidR="004708CF" w:rsidRPr="004708CF" w:rsidRDefault="004708CF" w:rsidP="004708CF">
      <w:pPr>
        <w:pStyle w:val="NormalWeb"/>
        <w:spacing w:line="360" w:lineRule="auto"/>
        <w:rPr>
          <w:rFonts w:asciiTheme="minorHAnsi" w:hAnsiTheme="minorHAnsi"/>
        </w:rPr>
      </w:pPr>
      <w:r w:rsidRPr="004708CF">
        <w:rPr>
          <w:rFonts w:asciiTheme="minorHAnsi" w:hAnsiTheme="minorHAnsi"/>
        </w:rPr>
        <w:t xml:space="preserve">Batra, R., </w:t>
      </w:r>
      <w:proofErr w:type="spellStart"/>
      <w:r w:rsidRPr="004708CF">
        <w:rPr>
          <w:rFonts w:asciiTheme="minorHAnsi" w:hAnsiTheme="minorHAnsi"/>
        </w:rPr>
        <w:t>Ahuvia</w:t>
      </w:r>
      <w:proofErr w:type="spellEnd"/>
      <w:r w:rsidRPr="004708CF">
        <w:rPr>
          <w:rFonts w:asciiTheme="minorHAnsi" w:hAnsiTheme="minorHAnsi"/>
        </w:rPr>
        <w:t xml:space="preserve">, A. and Bagozzi, R.P. (2012) ‘Brand love’, </w:t>
      </w:r>
      <w:r w:rsidRPr="004708CF">
        <w:rPr>
          <w:rStyle w:val="Emphasis"/>
          <w:rFonts w:asciiTheme="minorHAnsi" w:hAnsiTheme="minorHAnsi"/>
        </w:rPr>
        <w:t>Journal of Marketing</w:t>
      </w:r>
      <w:r w:rsidRPr="004708CF">
        <w:rPr>
          <w:rFonts w:asciiTheme="minorHAnsi" w:hAnsiTheme="minorHAnsi"/>
        </w:rPr>
        <w:t>, 76(2), pp. 1–16.</w:t>
      </w:r>
    </w:p>
    <w:p w14:paraId="765636BE" w14:textId="77777777" w:rsidR="004708CF" w:rsidRPr="004708CF" w:rsidRDefault="004708CF" w:rsidP="004708CF">
      <w:pPr>
        <w:pStyle w:val="NormalWeb"/>
        <w:spacing w:line="360" w:lineRule="auto"/>
        <w:rPr>
          <w:rFonts w:asciiTheme="minorHAnsi" w:hAnsiTheme="minorHAnsi"/>
        </w:rPr>
      </w:pPr>
      <w:r w:rsidRPr="004708CF">
        <w:rPr>
          <w:rFonts w:asciiTheme="minorHAnsi" w:hAnsiTheme="minorHAnsi"/>
        </w:rPr>
        <w:t xml:space="preserve">Thompson, C.J., Rindfleisch, A. and </w:t>
      </w:r>
      <w:proofErr w:type="spellStart"/>
      <w:r w:rsidRPr="004708CF">
        <w:rPr>
          <w:rFonts w:asciiTheme="minorHAnsi" w:hAnsiTheme="minorHAnsi"/>
        </w:rPr>
        <w:t>Arsel</w:t>
      </w:r>
      <w:proofErr w:type="spellEnd"/>
      <w:r w:rsidRPr="004708CF">
        <w:rPr>
          <w:rFonts w:asciiTheme="minorHAnsi" w:hAnsiTheme="minorHAnsi"/>
        </w:rPr>
        <w:t xml:space="preserve">, Z. (2006) ‘Emotional branding and the strategic value of the Doppelgänger brand image’, </w:t>
      </w:r>
      <w:r w:rsidRPr="004708CF">
        <w:rPr>
          <w:rStyle w:val="Emphasis"/>
          <w:rFonts w:asciiTheme="minorHAnsi" w:hAnsiTheme="minorHAnsi"/>
        </w:rPr>
        <w:t>Journal of Marketing</w:t>
      </w:r>
      <w:r w:rsidRPr="004708CF">
        <w:rPr>
          <w:rFonts w:asciiTheme="minorHAnsi" w:hAnsiTheme="minorHAnsi"/>
        </w:rPr>
        <w:t>, 70(1), pp. 50–64.</w:t>
      </w:r>
    </w:p>
    <w:p w14:paraId="7E67E5FC" w14:textId="77777777" w:rsidR="00E84720" w:rsidRPr="00813058" w:rsidRDefault="00E84720" w:rsidP="00813058">
      <w:pPr>
        <w:spacing w:before="100" w:beforeAutospacing="1" w:after="100" w:afterAutospacing="1" w:line="360" w:lineRule="auto"/>
        <w:rPr>
          <w:rFonts w:eastAsia="Times New Roman" w:cs="Times New Roman"/>
          <w:kern w:val="0"/>
          <w:lang w:eastAsia="en-GB"/>
          <w14:ligatures w14:val="none"/>
        </w:rPr>
      </w:pPr>
    </w:p>
    <w:p w14:paraId="6F1CEFD9" w14:textId="77777777" w:rsidR="0050512E" w:rsidRPr="00653137" w:rsidRDefault="0050512E">
      <w:pPr>
        <w:rPr>
          <w:rFonts w:ascii="Times New Roman" w:hAnsi="Times New Roman" w:cs="Times New Roman"/>
          <w:b/>
          <w:bCs/>
          <w:sz w:val="36"/>
          <w:szCs w:val="36"/>
        </w:rPr>
      </w:pPr>
    </w:p>
    <w:sectPr w:rsidR="0050512E" w:rsidRPr="0065313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0D4278" w14:textId="77777777" w:rsidR="008042E3" w:rsidRDefault="008042E3" w:rsidP="00AA0B2C">
      <w:pPr>
        <w:spacing w:after="0" w:line="240" w:lineRule="auto"/>
      </w:pPr>
      <w:r>
        <w:separator/>
      </w:r>
    </w:p>
  </w:endnote>
  <w:endnote w:type="continuationSeparator" w:id="0">
    <w:p w14:paraId="10C9CA3B" w14:textId="77777777" w:rsidR="008042E3" w:rsidRDefault="008042E3" w:rsidP="00AA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5032720"/>
      <w:docPartObj>
        <w:docPartGallery w:val="Page Numbers (Bottom of Page)"/>
        <w:docPartUnique/>
      </w:docPartObj>
    </w:sdtPr>
    <w:sdtEndPr>
      <w:rPr>
        <w:rStyle w:val="PageNumber"/>
      </w:rPr>
    </w:sdtEndPr>
    <w:sdtContent>
      <w:p w14:paraId="476A702A" w14:textId="02294D37" w:rsidR="00AA0B2C" w:rsidRDefault="00AA0B2C" w:rsidP="00CE05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30A9107" w14:textId="77777777" w:rsidR="00AA0B2C" w:rsidRDefault="00AA0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50829399"/>
      <w:docPartObj>
        <w:docPartGallery w:val="Page Numbers (Bottom of Page)"/>
        <w:docPartUnique/>
      </w:docPartObj>
    </w:sdtPr>
    <w:sdtEndPr>
      <w:rPr>
        <w:rStyle w:val="PageNumber"/>
      </w:rPr>
    </w:sdtEndPr>
    <w:sdtContent>
      <w:p w14:paraId="379050B4" w14:textId="3BE110FC" w:rsidR="00AA0B2C" w:rsidRDefault="00AA0B2C" w:rsidP="00CE05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520D4CB" w14:textId="77777777" w:rsidR="00AA0B2C" w:rsidRDefault="00AA0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280714" w14:textId="77777777" w:rsidR="008042E3" w:rsidRDefault="008042E3" w:rsidP="00AA0B2C">
      <w:pPr>
        <w:spacing w:after="0" w:line="240" w:lineRule="auto"/>
      </w:pPr>
      <w:r>
        <w:separator/>
      </w:r>
    </w:p>
  </w:footnote>
  <w:footnote w:type="continuationSeparator" w:id="0">
    <w:p w14:paraId="4E33CAE2" w14:textId="77777777" w:rsidR="008042E3" w:rsidRDefault="008042E3" w:rsidP="00AA0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62761"/>
    <w:multiLevelType w:val="multilevel"/>
    <w:tmpl w:val="F640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4EBD"/>
    <w:multiLevelType w:val="multilevel"/>
    <w:tmpl w:val="014C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A2FCF"/>
    <w:multiLevelType w:val="multilevel"/>
    <w:tmpl w:val="8708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96BEE"/>
    <w:multiLevelType w:val="multilevel"/>
    <w:tmpl w:val="BECE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04BD7"/>
    <w:multiLevelType w:val="multilevel"/>
    <w:tmpl w:val="9418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70127"/>
    <w:multiLevelType w:val="multilevel"/>
    <w:tmpl w:val="B264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382B6A"/>
    <w:multiLevelType w:val="multilevel"/>
    <w:tmpl w:val="6A86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C6065"/>
    <w:multiLevelType w:val="multilevel"/>
    <w:tmpl w:val="9F0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F4039"/>
    <w:multiLevelType w:val="multilevel"/>
    <w:tmpl w:val="293E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F58EC"/>
    <w:multiLevelType w:val="multilevel"/>
    <w:tmpl w:val="1E1E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82D35"/>
    <w:multiLevelType w:val="multilevel"/>
    <w:tmpl w:val="1366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410AA"/>
    <w:multiLevelType w:val="multilevel"/>
    <w:tmpl w:val="0522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75641"/>
    <w:multiLevelType w:val="multilevel"/>
    <w:tmpl w:val="6510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B70B9"/>
    <w:multiLevelType w:val="multilevel"/>
    <w:tmpl w:val="558A1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A56194"/>
    <w:multiLevelType w:val="multilevel"/>
    <w:tmpl w:val="760E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A4550"/>
    <w:multiLevelType w:val="multilevel"/>
    <w:tmpl w:val="B034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110F58"/>
    <w:multiLevelType w:val="multilevel"/>
    <w:tmpl w:val="9178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C1D63"/>
    <w:multiLevelType w:val="multilevel"/>
    <w:tmpl w:val="0EFA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0E70C1"/>
    <w:multiLevelType w:val="multilevel"/>
    <w:tmpl w:val="D9D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296361"/>
    <w:multiLevelType w:val="multilevel"/>
    <w:tmpl w:val="A220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A55EF"/>
    <w:multiLevelType w:val="multilevel"/>
    <w:tmpl w:val="DD0A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64F5F"/>
    <w:multiLevelType w:val="multilevel"/>
    <w:tmpl w:val="6AA0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358DA"/>
    <w:multiLevelType w:val="multilevel"/>
    <w:tmpl w:val="F61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010D2"/>
    <w:multiLevelType w:val="multilevel"/>
    <w:tmpl w:val="0EC8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0872CF"/>
    <w:multiLevelType w:val="multilevel"/>
    <w:tmpl w:val="89B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F0A0C"/>
    <w:multiLevelType w:val="multilevel"/>
    <w:tmpl w:val="5D3A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975931"/>
    <w:multiLevelType w:val="multilevel"/>
    <w:tmpl w:val="03A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A086F"/>
    <w:multiLevelType w:val="multilevel"/>
    <w:tmpl w:val="780A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A56ED9"/>
    <w:multiLevelType w:val="multilevel"/>
    <w:tmpl w:val="89A8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A0623"/>
    <w:multiLevelType w:val="multilevel"/>
    <w:tmpl w:val="17EA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D07E47"/>
    <w:multiLevelType w:val="multilevel"/>
    <w:tmpl w:val="6FBA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62485"/>
    <w:multiLevelType w:val="multilevel"/>
    <w:tmpl w:val="77EC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7A3294"/>
    <w:multiLevelType w:val="multilevel"/>
    <w:tmpl w:val="45EA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5C6D36"/>
    <w:multiLevelType w:val="multilevel"/>
    <w:tmpl w:val="0050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DC0DAD"/>
    <w:multiLevelType w:val="multilevel"/>
    <w:tmpl w:val="B16E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BC698D"/>
    <w:multiLevelType w:val="multilevel"/>
    <w:tmpl w:val="358E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635C4B"/>
    <w:multiLevelType w:val="multilevel"/>
    <w:tmpl w:val="D2CE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B37095"/>
    <w:multiLevelType w:val="multilevel"/>
    <w:tmpl w:val="9BC0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C553D0"/>
    <w:multiLevelType w:val="multilevel"/>
    <w:tmpl w:val="0DF8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1E14F4"/>
    <w:multiLevelType w:val="multilevel"/>
    <w:tmpl w:val="F4C4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4B12FB"/>
    <w:multiLevelType w:val="multilevel"/>
    <w:tmpl w:val="D04E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A46D21"/>
    <w:multiLevelType w:val="multilevel"/>
    <w:tmpl w:val="A9D6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002BF4"/>
    <w:multiLevelType w:val="multilevel"/>
    <w:tmpl w:val="BEAC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0F4F9A"/>
    <w:multiLevelType w:val="multilevel"/>
    <w:tmpl w:val="3AF4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E123E7"/>
    <w:multiLevelType w:val="multilevel"/>
    <w:tmpl w:val="0E96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980335">
    <w:abstractNumId w:val="36"/>
  </w:num>
  <w:num w:numId="2" w16cid:durableId="668602353">
    <w:abstractNumId w:val="9"/>
  </w:num>
  <w:num w:numId="3" w16cid:durableId="1279724973">
    <w:abstractNumId w:val="15"/>
  </w:num>
  <w:num w:numId="4" w16cid:durableId="699821211">
    <w:abstractNumId w:val="30"/>
  </w:num>
  <w:num w:numId="5" w16cid:durableId="159276834">
    <w:abstractNumId w:val="28"/>
  </w:num>
  <w:num w:numId="6" w16cid:durableId="231355178">
    <w:abstractNumId w:val="21"/>
  </w:num>
  <w:num w:numId="7" w16cid:durableId="334654344">
    <w:abstractNumId w:val="43"/>
  </w:num>
  <w:num w:numId="8" w16cid:durableId="1441341750">
    <w:abstractNumId w:val="44"/>
  </w:num>
  <w:num w:numId="9" w16cid:durableId="2049597323">
    <w:abstractNumId w:val="35"/>
  </w:num>
  <w:num w:numId="10" w16cid:durableId="1219785083">
    <w:abstractNumId w:val="13"/>
  </w:num>
  <w:num w:numId="11" w16cid:durableId="2079134323">
    <w:abstractNumId w:val="19"/>
  </w:num>
  <w:num w:numId="12" w16cid:durableId="355161275">
    <w:abstractNumId w:val="1"/>
  </w:num>
  <w:num w:numId="13" w16cid:durableId="874781114">
    <w:abstractNumId w:val="33"/>
  </w:num>
  <w:num w:numId="14" w16cid:durableId="1096829863">
    <w:abstractNumId w:val="14"/>
  </w:num>
  <w:num w:numId="15" w16cid:durableId="1452630243">
    <w:abstractNumId w:val="42"/>
  </w:num>
  <w:num w:numId="16" w16cid:durableId="976105266">
    <w:abstractNumId w:val="17"/>
  </w:num>
  <w:num w:numId="17" w16cid:durableId="462649819">
    <w:abstractNumId w:val="25"/>
  </w:num>
  <w:num w:numId="18" w16cid:durableId="646057026">
    <w:abstractNumId w:val="11"/>
  </w:num>
  <w:num w:numId="19" w16cid:durableId="1171481963">
    <w:abstractNumId w:val="37"/>
  </w:num>
  <w:num w:numId="20" w16cid:durableId="327024659">
    <w:abstractNumId w:val="4"/>
  </w:num>
  <w:num w:numId="21" w16cid:durableId="988943721">
    <w:abstractNumId w:val="0"/>
  </w:num>
  <w:num w:numId="22" w16cid:durableId="386957310">
    <w:abstractNumId w:val="27"/>
  </w:num>
  <w:num w:numId="23" w16cid:durableId="735936338">
    <w:abstractNumId w:val="40"/>
  </w:num>
  <w:num w:numId="24" w16cid:durableId="829951947">
    <w:abstractNumId w:val="16"/>
  </w:num>
  <w:num w:numId="25" w16cid:durableId="2104916167">
    <w:abstractNumId w:val="12"/>
  </w:num>
  <w:num w:numId="26" w16cid:durableId="1422793175">
    <w:abstractNumId w:val="20"/>
  </w:num>
  <w:num w:numId="27" w16cid:durableId="1218592662">
    <w:abstractNumId w:val="5"/>
  </w:num>
  <w:num w:numId="28" w16cid:durableId="2145193719">
    <w:abstractNumId w:val="7"/>
  </w:num>
  <w:num w:numId="29" w16cid:durableId="1696956197">
    <w:abstractNumId w:val="22"/>
  </w:num>
  <w:num w:numId="30" w16cid:durableId="476722170">
    <w:abstractNumId w:val="3"/>
  </w:num>
  <w:num w:numId="31" w16cid:durableId="78061209">
    <w:abstractNumId w:val="39"/>
  </w:num>
  <w:num w:numId="32" w16cid:durableId="1248883231">
    <w:abstractNumId w:val="2"/>
  </w:num>
  <w:num w:numId="33" w16cid:durableId="759523923">
    <w:abstractNumId w:val="31"/>
  </w:num>
  <w:num w:numId="34" w16cid:durableId="1027948934">
    <w:abstractNumId w:val="18"/>
  </w:num>
  <w:num w:numId="35" w16cid:durableId="348993331">
    <w:abstractNumId w:val="38"/>
  </w:num>
  <w:num w:numId="36" w16cid:durableId="1126242270">
    <w:abstractNumId w:val="34"/>
  </w:num>
  <w:num w:numId="37" w16cid:durableId="353578970">
    <w:abstractNumId w:val="23"/>
  </w:num>
  <w:num w:numId="38" w16cid:durableId="2038701391">
    <w:abstractNumId w:val="41"/>
  </w:num>
  <w:num w:numId="39" w16cid:durableId="1418595678">
    <w:abstractNumId w:val="8"/>
  </w:num>
  <w:num w:numId="40" w16cid:durableId="1216966807">
    <w:abstractNumId w:val="24"/>
  </w:num>
  <w:num w:numId="41" w16cid:durableId="1916040665">
    <w:abstractNumId w:val="6"/>
  </w:num>
  <w:num w:numId="42" w16cid:durableId="1566378111">
    <w:abstractNumId w:val="29"/>
  </w:num>
  <w:num w:numId="43" w16cid:durableId="11106293">
    <w:abstractNumId w:val="10"/>
  </w:num>
  <w:num w:numId="44" w16cid:durableId="1402949806">
    <w:abstractNumId w:val="26"/>
  </w:num>
  <w:num w:numId="45" w16cid:durableId="1113867954">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05"/>
    <w:rsid w:val="0000073C"/>
    <w:rsid w:val="0000224B"/>
    <w:rsid w:val="00012011"/>
    <w:rsid w:val="00030A3D"/>
    <w:rsid w:val="000329EB"/>
    <w:rsid w:val="000455B1"/>
    <w:rsid w:val="000515D8"/>
    <w:rsid w:val="00051C23"/>
    <w:rsid w:val="00053886"/>
    <w:rsid w:val="000550BF"/>
    <w:rsid w:val="000936A2"/>
    <w:rsid w:val="000949CB"/>
    <w:rsid w:val="000A1CDD"/>
    <w:rsid w:val="000A56B3"/>
    <w:rsid w:val="000B2D0D"/>
    <w:rsid w:val="000D375C"/>
    <w:rsid w:val="000F5A43"/>
    <w:rsid w:val="000F7375"/>
    <w:rsid w:val="00107ECC"/>
    <w:rsid w:val="00123820"/>
    <w:rsid w:val="001255F4"/>
    <w:rsid w:val="00131CD2"/>
    <w:rsid w:val="00144000"/>
    <w:rsid w:val="001443B8"/>
    <w:rsid w:val="0015439E"/>
    <w:rsid w:val="00163D83"/>
    <w:rsid w:val="00174614"/>
    <w:rsid w:val="001779BF"/>
    <w:rsid w:val="001877BC"/>
    <w:rsid w:val="001879BD"/>
    <w:rsid w:val="00187D4F"/>
    <w:rsid w:val="0019645F"/>
    <w:rsid w:val="001964ED"/>
    <w:rsid w:val="001A01E5"/>
    <w:rsid w:val="001B3705"/>
    <w:rsid w:val="001B7718"/>
    <w:rsid w:val="001D6924"/>
    <w:rsid w:val="001D6C88"/>
    <w:rsid w:val="001E701B"/>
    <w:rsid w:val="00206016"/>
    <w:rsid w:val="002173E8"/>
    <w:rsid w:val="002236E1"/>
    <w:rsid w:val="002255A0"/>
    <w:rsid w:val="00241B69"/>
    <w:rsid w:val="00251F07"/>
    <w:rsid w:val="002608A0"/>
    <w:rsid w:val="0026197F"/>
    <w:rsid w:val="002633DC"/>
    <w:rsid w:val="00265A20"/>
    <w:rsid w:val="00275AEC"/>
    <w:rsid w:val="00280B47"/>
    <w:rsid w:val="00287E2E"/>
    <w:rsid w:val="002B1C67"/>
    <w:rsid w:val="002B5AA0"/>
    <w:rsid w:val="002C0672"/>
    <w:rsid w:val="002F3A6E"/>
    <w:rsid w:val="002F7458"/>
    <w:rsid w:val="00334A5B"/>
    <w:rsid w:val="00344E5E"/>
    <w:rsid w:val="00346100"/>
    <w:rsid w:val="003556DC"/>
    <w:rsid w:val="0035746E"/>
    <w:rsid w:val="00374652"/>
    <w:rsid w:val="0037585E"/>
    <w:rsid w:val="0038137E"/>
    <w:rsid w:val="00385759"/>
    <w:rsid w:val="003925A1"/>
    <w:rsid w:val="003A39A4"/>
    <w:rsid w:val="003A56BF"/>
    <w:rsid w:val="003A7CDC"/>
    <w:rsid w:val="003B15CD"/>
    <w:rsid w:val="003B239A"/>
    <w:rsid w:val="003E57F3"/>
    <w:rsid w:val="00405CC6"/>
    <w:rsid w:val="004071EE"/>
    <w:rsid w:val="004145C1"/>
    <w:rsid w:val="00453CCC"/>
    <w:rsid w:val="00460F8F"/>
    <w:rsid w:val="0046648B"/>
    <w:rsid w:val="004708CF"/>
    <w:rsid w:val="00475135"/>
    <w:rsid w:val="0047571A"/>
    <w:rsid w:val="0047780E"/>
    <w:rsid w:val="00482048"/>
    <w:rsid w:val="00494498"/>
    <w:rsid w:val="004B15BD"/>
    <w:rsid w:val="004B53F6"/>
    <w:rsid w:val="004B7972"/>
    <w:rsid w:val="004B7AF2"/>
    <w:rsid w:val="004C037A"/>
    <w:rsid w:val="004C4BB5"/>
    <w:rsid w:val="004E0350"/>
    <w:rsid w:val="004F6C0A"/>
    <w:rsid w:val="004F70EF"/>
    <w:rsid w:val="00501AD9"/>
    <w:rsid w:val="00502762"/>
    <w:rsid w:val="0050512E"/>
    <w:rsid w:val="00513DB4"/>
    <w:rsid w:val="00521039"/>
    <w:rsid w:val="00525AB0"/>
    <w:rsid w:val="00544422"/>
    <w:rsid w:val="00545A9A"/>
    <w:rsid w:val="00571928"/>
    <w:rsid w:val="00574FA2"/>
    <w:rsid w:val="005947C0"/>
    <w:rsid w:val="00596016"/>
    <w:rsid w:val="005A3486"/>
    <w:rsid w:val="005C0CB7"/>
    <w:rsid w:val="005C671F"/>
    <w:rsid w:val="005E19C2"/>
    <w:rsid w:val="005E6A6E"/>
    <w:rsid w:val="005F1939"/>
    <w:rsid w:val="00603BBE"/>
    <w:rsid w:val="00616F86"/>
    <w:rsid w:val="00627219"/>
    <w:rsid w:val="00627B72"/>
    <w:rsid w:val="00634228"/>
    <w:rsid w:val="00640C88"/>
    <w:rsid w:val="00640FB2"/>
    <w:rsid w:val="006503C9"/>
    <w:rsid w:val="00653137"/>
    <w:rsid w:val="00654D40"/>
    <w:rsid w:val="00655123"/>
    <w:rsid w:val="00660E40"/>
    <w:rsid w:val="0068435A"/>
    <w:rsid w:val="00691C24"/>
    <w:rsid w:val="006A4502"/>
    <w:rsid w:val="006B161B"/>
    <w:rsid w:val="006C6B8D"/>
    <w:rsid w:val="006E4115"/>
    <w:rsid w:val="00706767"/>
    <w:rsid w:val="007267A8"/>
    <w:rsid w:val="00730310"/>
    <w:rsid w:val="007439C9"/>
    <w:rsid w:val="00750541"/>
    <w:rsid w:val="00751EFD"/>
    <w:rsid w:val="007527FD"/>
    <w:rsid w:val="0077241D"/>
    <w:rsid w:val="0077458E"/>
    <w:rsid w:val="0077514C"/>
    <w:rsid w:val="00785047"/>
    <w:rsid w:val="0078694B"/>
    <w:rsid w:val="00793BDA"/>
    <w:rsid w:val="007A7600"/>
    <w:rsid w:val="007D032F"/>
    <w:rsid w:val="007D1C30"/>
    <w:rsid w:val="007E091F"/>
    <w:rsid w:val="007E4747"/>
    <w:rsid w:val="007E79D1"/>
    <w:rsid w:val="007F029A"/>
    <w:rsid w:val="007F6535"/>
    <w:rsid w:val="007F6D6B"/>
    <w:rsid w:val="008011DD"/>
    <w:rsid w:val="00801870"/>
    <w:rsid w:val="008042E3"/>
    <w:rsid w:val="00810059"/>
    <w:rsid w:val="00813058"/>
    <w:rsid w:val="0081459A"/>
    <w:rsid w:val="0081486F"/>
    <w:rsid w:val="00821A3F"/>
    <w:rsid w:val="00822B4F"/>
    <w:rsid w:val="00840C56"/>
    <w:rsid w:val="00856B42"/>
    <w:rsid w:val="00865905"/>
    <w:rsid w:val="008A0DAD"/>
    <w:rsid w:val="008A3D16"/>
    <w:rsid w:val="008B7CFF"/>
    <w:rsid w:val="008D721C"/>
    <w:rsid w:val="00913973"/>
    <w:rsid w:val="009348BE"/>
    <w:rsid w:val="00941E34"/>
    <w:rsid w:val="009459F7"/>
    <w:rsid w:val="0095543B"/>
    <w:rsid w:val="009564A3"/>
    <w:rsid w:val="00977E27"/>
    <w:rsid w:val="009A0CA8"/>
    <w:rsid w:val="009B0658"/>
    <w:rsid w:val="009C1437"/>
    <w:rsid w:val="009C24FC"/>
    <w:rsid w:val="009D3F1E"/>
    <w:rsid w:val="009E1778"/>
    <w:rsid w:val="009E2742"/>
    <w:rsid w:val="009E5546"/>
    <w:rsid w:val="009F450B"/>
    <w:rsid w:val="00A054CB"/>
    <w:rsid w:val="00A234BF"/>
    <w:rsid w:val="00A30B56"/>
    <w:rsid w:val="00A31D03"/>
    <w:rsid w:val="00A429AE"/>
    <w:rsid w:val="00A457A8"/>
    <w:rsid w:val="00A5084E"/>
    <w:rsid w:val="00A66456"/>
    <w:rsid w:val="00A70513"/>
    <w:rsid w:val="00A85B07"/>
    <w:rsid w:val="00AA0140"/>
    <w:rsid w:val="00AA0B2C"/>
    <w:rsid w:val="00AA583D"/>
    <w:rsid w:val="00AB3A97"/>
    <w:rsid w:val="00AB3CE8"/>
    <w:rsid w:val="00AB78CB"/>
    <w:rsid w:val="00AD25B4"/>
    <w:rsid w:val="00AE5BE9"/>
    <w:rsid w:val="00AF53DE"/>
    <w:rsid w:val="00AF7664"/>
    <w:rsid w:val="00B07B2C"/>
    <w:rsid w:val="00B16DAC"/>
    <w:rsid w:val="00B257C8"/>
    <w:rsid w:val="00B313E6"/>
    <w:rsid w:val="00B415A2"/>
    <w:rsid w:val="00B442AA"/>
    <w:rsid w:val="00B566AE"/>
    <w:rsid w:val="00B9234E"/>
    <w:rsid w:val="00BA7943"/>
    <w:rsid w:val="00BD3D98"/>
    <w:rsid w:val="00BF0C5D"/>
    <w:rsid w:val="00BF231A"/>
    <w:rsid w:val="00C06E96"/>
    <w:rsid w:val="00C15B7E"/>
    <w:rsid w:val="00C21254"/>
    <w:rsid w:val="00C237B4"/>
    <w:rsid w:val="00C24023"/>
    <w:rsid w:val="00C256EF"/>
    <w:rsid w:val="00C36F0E"/>
    <w:rsid w:val="00C52A3B"/>
    <w:rsid w:val="00C631CB"/>
    <w:rsid w:val="00C63A95"/>
    <w:rsid w:val="00C721F8"/>
    <w:rsid w:val="00C7674F"/>
    <w:rsid w:val="00C77101"/>
    <w:rsid w:val="00C87FAF"/>
    <w:rsid w:val="00C93201"/>
    <w:rsid w:val="00C95165"/>
    <w:rsid w:val="00CA1171"/>
    <w:rsid w:val="00CC24FB"/>
    <w:rsid w:val="00CD659D"/>
    <w:rsid w:val="00CE1EA8"/>
    <w:rsid w:val="00CE4D3B"/>
    <w:rsid w:val="00CF0FFF"/>
    <w:rsid w:val="00D238E2"/>
    <w:rsid w:val="00D34D6E"/>
    <w:rsid w:val="00D745B3"/>
    <w:rsid w:val="00D76DA5"/>
    <w:rsid w:val="00D875F5"/>
    <w:rsid w:val="00DA0B16"/>
    <w:rsid w:val="00DA2773"/>
    <w:rsid w:val="00DC6C03"/>
    <w:rsid w:val="00DD5BC1"/>
    <w:rsid w:val="00DE3C4A"/>
    <w:rsid w:val="00DE477A"/>
    <w:rsid w:val="00DF2865"/>
    <w:rsid w:val="00DF4E25"/>
    <w:rsid w:val="00DF728D"/>
    <w:rsid w:val="00E063F4"/>
    <w:rsid w:val="00E1595E"/>
    <w:rsid w:val="00E27BE0"/>
    <w:rsid w:val="00E36AFA"/>
    <w:rsid w:val="00E66BF8"/>
    <w:rsid w:val="00E73BB6"/>
    <w:rsid w:val="00E83133"/>
    <w:rsid w:val="00E84720"/>
    <w:rsid w:val="00EA6805"/>
    <w:rsid w:val="00EA6872"/>
    <w:rsid w:val="00EB2B27"/>
    <w:rsid w:val="00EC741C"/>
    <w:rsid w:val="00EE1DC8"/>
    <w:rsid w:val="00EF3C0C"/>
    <w:rsid w:val="00F16BA3"/>
    <w:rsid w:val="00F215F7"/>
    <w:rsid w:val="00F34913"/>
    <w:rsid w:val="00F40AC4"/>
    <w:rsid w:val="00F44BCB"/>
    <w:rsid w:val="00F5768F"/>
    <w:rsid w:val="00F60D4F"/>
    <w:rsid w:val="00F60FB5"/>
    <w:rsid w:val="00F628C8"/>
    <w:rsid w:val="00F720F8"/>
    <w:rsid w:val="00F74632"/>
    <w:rsid w:val="00F83C87"/>
    <w:rsid w:val="00F9262D"/>
    <w:rsid w:val="00F9543D"/>
    <w:rsid w:val="00F964B3"/>
    <w:rsid w:val="00FB653A"/>
    <w:rsid w:val="00FB6762"/>
    <w:rsid w:val="00FC540A"/>
    <w:rsid w:val="00FC7666"/>
    <w:rsid w:val="00FE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CF39E5"/>
  <w15:chartTrackingRefBased/>
  <w15:docId w15:val="{523D38C1-5D5B-7242-AFFC-C92570C3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6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6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805"/>
    <w:rPr>
      <w:rFonts w:eastAsiaTheme="majorEastAsia" w:cstheme="majorBidi"/>
      <w:color w:val="272727" w:themeColor="text1" w:themeTint="D8"/>
    </w:rPr>
  </w:style>
  <w:style w:type="paragraph" w:styleId="Title">
    <w:name w:val="Title"/>
    <w:basedOn w:val="Normal"/>
    <w:next w:val="Normal"/>
    <w:link w:val="TitleChar"/>
    <w:uiPriority w:val="10"/>
    <w:qFormat/>
    <w:rsid w:val="00EA6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805"/>
    <w:pPr>
      <w:spacing w:before="160"/>
      <w:jc w:val="center"/>
    </w:pPr>
    <w:rPr>
      <w:i/>
      <w:iCs/>
      <w:color w:val="404040" w:themeColor="text1" w:themeTint="BF"/>
    </w:rPr>
  </w:style>
  <w:style w:type="character" w:customStyle="1" w:styleId="QuoteChar">
    <w:name w:val="Quote Char"/>
    <w:basedOn w:val="DefaultParagraphFont"/>
    <w:link w:val="Quote"/>
    <w:uiPriority w:val="29"/>
    <w:rsid w:val="00EA6805"/>
    <w:rPr>
      <w:i/>
      <w:iCs/>
      <w:color w:val="404040" w:themeColor="text1" w:themeTint="BF"/>
    </w:rPr>
  </w:style>
  <w:style w:type="paragraph" w:styleId="ListParagraph">
    <w:name w:val="List Paragraph"/>
    <w:basedOn w:val="Normal"/>
    <w:uiPriority w:val="34"/>
    <w:qFormat/>
    <w:rsid w:val="00EA6805"/>
    <w:pPr>
      <w:ind w:left="720"/>
      <w:contextualSpacing/>
    </w:pPr>
  </w:style>
  <w:style w:type="character" w:styleId="IntenseEmphasis">
    <w:name w:val="Intense Emphasis"/>
    <w:basedOn w:val="DefaultParagraphFont"/>
    <w:uiPriority w:val="21"/>
    <w:qFormat/>
    <w:rsid w:val="00EA6805"/>
    <w:rPr>
      <w:i/>
      <w:iCs/>
      <w:color w:val="0F4761" w:themeColor="accent1" w:themeShade="BF"/>
    </w:rPr>
  </w:style>
  <w:style w:type="paragraph" w:styleId="IntenseQuote">
    <w:name w:val="Intense Quote"/>
    <w:basedOn w:val="Normal"/>
    <w:next w:val="Normal"/>
    <w:link w:val="IntenseQuoteChar"/>
    <w:uiPriority w:val="30"/>
    <w:qFormat/>
    <w:rsid w:val="00EA6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805"/>
    <w:rPr>
      <w:i/>
      <w:iCs/>
      <w:color w:val="0F4761" w:themeColor="accent1" w:themeShade="BF"/>
    </w:rPr>
  </w:style>
  <w:style w:type="character" w:styleId="IntenseReference">
    <w:name w:val="Intense Reference"/>
    <w:basedOn w:val="DefaultParagraphFont"/>
    <w:uiPriority w:val="32"/>
    <w:qFormat/>
    <w:rsid w:val="00EA6805"/>
    <w:rPr>
      <w:b/>
      <w:bCs/>
      <w:smallCaps/>
      <w:color w:val="0F4761" w:themeColor="accent1" w:themeShade="BF"/>
      <w:spacing w:val="5"/>
    </w:rPr>
  </w:style>
  <w:style w:type="character" w:styleId="Strong">
    <w:name w:val="Strong"/>
    <w:basedOn w:val="DefaultParagraphFont"/>
    <w:uiPriority w:val="22"/>
    <w:qFormat/>
    <w:rsid w:val="00EA6805"/>
    <w:rPr>
      <w:b/>
      <w:bCs/>
    </w:rPr>
  </w:style>
  <w:style w:type="paragraph" w:styleId="NormalWeb">
    <w:name w:val="Normal (Web)"/>
    <w:basedOn w:val="Normal"/>
    <w:uiPriority w:val="99"/>
    <w:semiHidden/>
    <w:unhideWhenUsed/>
    <w:rsid w:val="00EA68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B6762"/>
    <w:rPr>
      <w:i/>
      <w:iCs/>
    </w:rPr>
  </w:style>
  <w:style w:type="table" w:styleId="TableGrid">
    <w:name w:val="Table Grid"/>
    <w:basedOn w:val="TableNormal"/>
    <w:uiPriority w:val="39"/>
    <w:rsid w:val="004C0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79B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79BF"/>
    <w:pPr>
      <w:spacing w:before="120" w:after="0"/>
    </w:pPr>
    <w:rPr>
      <w:b/>
      <w:bCs/>
      <w:i/>
      <w:iCs/>
    </w:rPr>
  </w:style>
  <w:style w:type="paragraph" w:styleId="TOC2">
    <w:name w:val="toc 2"/>
    <w:basedOn w:val="Normal"/>
    <w:next w:val="Normal"/>
    <w:autoRedefine/>
    <w:uiPriority w:val="39"/>
    <w:unhideWhenUsed/>
    <w:rsid w:val="001779BF"/>
    <w:pPr>
      <w:spacing w:before="120" w:after="0"/>
      <w:ind w:left="240"/>
    </w:pPr>
    <w:rPr>
      <w:b/>
      <w:bCs/>
      <w:sz w:val="22"/>
      <w:szCs w:val="22"/>
    </w:rPr>
  </w:style>
  <w:style w:type="paragraph" w:styleId="TOC3">
    <w:name w:val="toc 3"/>
    <w:basedOn w:val="Normal"/>
    <w:next w:val="Normal"/>
    <w:autoRedefine/>
    <w:uiPriority w:val="39"/>
    <w:unhideWhenUsed/>
    <w:rsid w:val="001779BF"/>
    <w:pPr>
      <w:spacing w:after="0"/>
      <w:ind w:left="480"/>
    </w:pPr>
    <w:rPr>
      <w:sz w:val="20"/>
      <w:szCs w:val="20"/>
    </w:rPr>
  </w:style>
  <w:style w:type="character" w:styleId="Hyperlink">
    <w:name w:val="Hyperlink"/>
    <w:basedOn w:val="DefaultParagraphFont"/>
    <w:uiPriority w:val="99"/>
    <w:unhideWhenUsed/>
    <w:rsid w:val="001779BF"/>
    <w:rPr>
      <w:color w:val="467886" w:themeColor="hyperlink"/>
      <w:u w:val="single"/>
    </w:rPr>
  </w:style>
  <w:style w:type="paragraph" w:styleId="TOC4">
    <w:name w:val="toc 4"/>
    <w:basedOn w:val="Normal"/>
    <w:next w:val="Normal"/>
    <w:autoRedefine/>
    <w:uiPriority w:val="39"/>
    <w:unhideWhenUsed/>
    <w:rsid w:val="001779BF"/>
    <w:pPr>
      <w:spacing w:after="0"/>
      <w:ind w:left="720"/>
    </w:pPr>
    <w:rPr>
      <w:sz w:val="20"/>
      <w:szCs w:val="20"/>
    </w:rPr>
  </w:style>
  <w:style w:type="paragraph" w:styleId="TOC5">
    <w:name w:val="toc 5"/>
    <w:basedOn w:val="Normal"/>
    <w:next w:val="Normal"/>
    <w:autoRedefine/>
    <w:uiPriority w:val="39"/>
    <w:unhideWhenUsed/>
    <w:rsid w:val="001779BF"/>
    <w:pPr>
      <w:spacing w:after="0"/>
      <w:ind w:left="960"/>
    </w:pPr>
    <w:rPr>
      <w:sz w:val="20"/>
      <w:szCs w:val="20"/>
    </w:rPr>
  </w:style>
  <w:style w:type="paragraph" w:styleId="TOC6">
    <w:name w:val="toc 6"/>
    <w:basedOn w:val="Normal"/>
    <w:next w:val="Normal"/>
    <w:autoRedefine/>
    <w:uiPriority w:val="39"/>
    <w:unhideWhenUsed/>
    <w:rsid w:val="001779BF"/>
    <w:pPr>
      <w:spacing w:after="0"/>
      <w:ind w:left="1200"/>
    </w:pPr>
    <w:rPr>
      <w:sz w:val="20"/>
      <w:szCs w:val="20"/>
    </w:rPr>
  </w:style>
  <w:style w:type="paragraph" w:styleId="TOC7">
    <w:name w:val="toc 7"/>
    <w:basedOn w:val="Normal"/>
    <w:next w:val="Normal"/>
    <w:autoRedefine/>
    <w:uiPriority w:val="39"/>
    <w:unhideWhenUsed/>
    <w:rsid w:val="001779BF"/>
    <w:pPr>
      <w:spacing w:after="0"/>
      <w:ind w:left="1440"/>
    </w:pPr>
    <w:rPr>
      <w:sz w:val="20"/>
      <w:szCs w:val="20"/>
    </w:rPr>
  </w:style>
  <w:style w:type="paragraph" w:styleId="TOC8">
    <w:name w:val="toc 8"/>
    <w:basedOn w:val="Normal"/>
    <w:next w:val="Normal"/>
    <w:autoRedefine/>
    <w:uiPriority w:val="39"/>
    <w:unhideWhenUsed/>
    <w:rsid w:val="001779BF"/>
    <w:pPr>
      <w:spacing w:after="0"/>
      <w:ind w:left="1680"/>
    </w:pPr>
    <w:rPr>
      <w:sz w:val="20"/>
      <w:szCs w:val="20"/>
    </w:rPr>
  </w:style>
  <w:style w:type="paragraph" w:styleId="TOC9">
    <w:name w:val="toc 9"/>
    <w:basedOn w:val="Normal"/>
    <w:next w:val="Normal"/>
    <w:autoRedefine/>
    <w:uiPriority w:val="39"/>
    <w:unhideWhenUsed/>
    <w:rsid w:val="001779BF"/>
    <w:pPr>
      <w:spacing w:after="0"/>
      <w:ind w:left="1920"/>
    </w:pPr>
    <w:rPr>
      <w:sz w:val="20"/>
      <w:szCs w:val="20"/>
    </w:rPr>
  </w:style>
  <w:style w:type="character" w:styleId="UnresolvedMention">
    <w:name w:val="Unresolved Mention"/>
    <w:basedOn w:val="DefaultParagraphFont"/>
    <w:uiPriority w:val="99"/>
    <w:semiHidden/>
    <w:unhideWhenUsed/>
    <w:rsid w:val="00E27BE0"/>
    <w:rPr>
      <w:color w:val="605E5C"/>
      <w:shd w:val="clear" w:color="auto" w:fill="E1DFDD"/>
    </w:rPr>
  </w:style>
  <w:style w:type="paragraph" w:styleId="Footer">
    <w:name w:val="footer"/>
    <w:basedOn w:val="Normal"/>
    <w:link w:val="FooterChar"/>
    <w:uiPriority w:val="99"/>
    <w:unhideWhenUsed/>
    <w:rsid w:val="00AA0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B2C"/>
  </w:style>
  <w:style w:type="character" w:styleId="PageNumber">
    <w:name w:val="page number"/>
    <w:basedOn w:val="DefaultParagraphFont"/>
    <w:uiPriority w:val="99"/>
    <w:semiHidden/>
    <w:unhideWhenUsed/>
    <w:rsid w:val="00AA0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20194-99D9-924C-8403-BB5D205E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7630</Words>
  <Characters>43493</Characters>
  <Application>Microsoft Office Word</Application>
  <DocSecurity>0</DocSecurity>
  <Lines>362</Lines>
  <Paragraphs>102</Paragraphs>
  <ScaleCrop>false</ScaleCrop>
  <Company/>
  <LinksUpToDate>false</LinksUpToDate>
  <CharactersWithSpaces>51021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Yadav Shubham</dc:creator>
  <cp:keywords/>
  <dc:description/>
  <cp:lastModifiedBy>Yadav Shubham</cp:lastModifiedBy>
  <cp:revision>2</cp:revision>
  <dcterms:created xsi:type="dcterms:W3CDTF">2026-08-10T23:11:00Z</dcterms:created>
  <dcterms:modified xsi:type="dcterms:W3CDTF">2026-08-10T23:11:00Z</dcterms:modified>
</cp:coreProperties>
</file>