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13A8C2" w14:textId="358B962A" w:rsidR="00D0244E" w:rsidRDefault="00AD54A4">
      <w:r>
        <w:rPr>
          <w:noProof/>
        </w:rPr>
        <w:drawing>
          <wp:inline distT="0" distB="0" distL="0" distR="0" wp14:anchorId="470CA5F2" wp14:editId="4F6DD5B3">
            <wp:extent cx="5731510" cy="2390140"/>
            <wp:effectExtent l="0" t="0" r="0" b="0"/>
            <wp:docPr id="413691759" name="Picture 1" descr="A logo for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691759" name="Picture 1" descr="A logo for a university&#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2390140"/>
                    </a:xfrm>
                    <a:prstGeom prst="rect">
                      <a:avLst/>
                    </a:prstGeom>
                  </pic:spPr>
                </pic:pic>
              </a:graphicData>
            </a:graphic>
          </wp:inline>
        </w:drawing>
      </w:r>
    </w:p>
    <w:p w14:paraId="043492C8" w14:textId="77777777" w:rsidR="00475149" w:rsidRDefault="00475149" w:rsidP="00DA4B6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7370A09" w14:textId="77777777" w:rsidR="00475149" w:rsidRDefault="00475149" w:rsidP="00DA4B6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EC8D4CF" w14:textId="77777777" w:rsidR="00475149" w:rsidRDefault="00475149" w:rsidP="00DA4B6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1EC7638" w14:textId="77777777" w:rsidR="00810935" w:rsidRPr="00810935" w:rsidRDefault="00810935" w:rsidP="0081093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F26BF5E" w14:textId="77777777" w:rsidR="00810935" w:rsidRPr="00810935" w:rsidRDefault="00810935" w:rsidP="0081093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C88328A" w14:textId="2B9D09B8" w:rsidR="00810935" w:rsidRPr="00810935" w:rsidRDefault="00810935" w:rsidP="00810935">
      <w:pPr>
        <w:spacing w:before="100" w:beforeAutospacing="1" w:after="100" w:afterAutospacing="1" w:line="240" w:lineRule="auto"/>
        <w:rPr>
          <w:rFonts w:ascii="Times New Roman" w:eastAsia="Times New Roman" w:hAnsi="Times New Roman" w:cs="Times New Roman"/>
          <w:kern w:val="0"/>
          <w:lang w:eastAsia="en-GB"/>
          <w14:ligatures w14:val="none"/>
        </w:rPr>
      </w:pPr>
      <w:r w:rsidRPr="00810935">
        <w:rPr>
          <w:rFonts w:ascii="Times New Roman" w:eastAsia="Times New Roman" w:hAnsi="Times New Roman" w:cs="Times New Roman"/>
          <w:b/>
          <w:bCs/>
          <w:kern w:val="0"/>
          <w:lang w:eastAsia="en-GB"/>
          <w14:ligatures w14:val="none"/>
        </w:rPr>
        <w:t>Student Name:</w:t>
      </w:r>
      <w:r w:rsidR="009F65D3">
        <w:rPr>
          <w:rFonts w:ascii="Times New Roman" w:eastAsia="Times New Roman" w:hAnsi="Times New Roman" w:cs="Times New Roman"/>
          <w:kern w:val="0"/>
          <w:lang w:eastAsia="en-GB"/>
          <w14:ligatures w14:val="none"/>
        </w:rPr>
        <w:t xml:space="preserve"> Kremena Petrova Nedelcheva</w:t>
      </w:r>
    </w:p>
    <w:p w14:paraId="1007DD95" w14:textId="05861B83" w:rsidR="00810935" w:rsidRPr="00810935" w:rsidRDefault="00810935" w:rsidP="00810935">
      <w:pPr>
        <w:spacing w:before="100" w:beforeAutospacing="1" w:after="100" w:afterAutospacing="1" w:line="240" w:lineRule="auto"/>
        <w:rPr>
          <w:rFonts w:ascii="Times New Roman" w:eastAsia="Times New Roman" w:hAnsi="Times New Roman" w:cs="Times New Roman"/>
          <w:kern w:val="0"/>
          <w:lang w:eastAsia="en-GB"/>
          <w14:ligatures w14:val="none"/>
        </w:rPr>
      </w:pPr>
      <w:r w:rsidRPr="00810935">
        <w:rPr>
          <w:rFonts w:ascii="Times New Roman" w:eastAsia="Times New Roman" w:hAnsi="Times New Roman" w:cs="Times New Roman"/>
          <w:b/>
          <w:bCs/>
          <w:kern w:val="0"/>
          <w:lang w:eastAsia="en-GB"/>
          <w14:ligatures w14:val="none"/>
        </w:rPr>
        <w:t>Student ID:</w:t>
      </w:r>
      <w:r w:rsidR="00264C2F">
        <w:rPr>
          <w:rFonts w:ascii="Times New Roman" w:eastAsia="Times New Roman" w:hAnsi="Times New Roman" w:cs="Times New Roman"/>
          <w:b/>
          <w:bCs/>
          <w:kern w:val="0"/>
          <w:lang w:eastAsia="en-GB"/>
          <w14:ligatures w14:val="none"/>
        </w:rPr>
        <w:t xml:space="preserve"> </w:t>
      </w:r>
      <w:r w:rsidR="00264C2F">
        <w:rPr>
          <w:rFonts w:ascii="Times New Roman" w:eastAsia="Times New Roman" w:hAnsi="Times New Roman" w:cs="Times New Roman"/>
          <w:kern w:val="0"/>
          <w:lang w:eastAsia="en-GB"/>
          <w14:ligatures w14:val="none"/>
        </w:rPr>
        <w:t>2336425</w:t>
      </w:r>
    </w:p>
    <w:p w14:paraId="18CC63F0" w14:textId="20F3F62A" w:rsidR="00810935" w:rsidRPr="00810935" w:rsidRDefault="00810935" w:rsidP="00810935">
      <w:pPr>
        <w:spacing w:before="100" w:beforeAutospacing="1" w:after="100" w:afterAutospacing="1" w:line="240" w:lineRule="auto"/>
        <w:rPr>
          <w:rFonts w:ascii="Arial" w:eastAsia="Times New Roman" w:hAnsi="Arial" w:cs="Arial"/>
          <w:kern w:val="0"/>
          <w:lang w:eastAsia="en-GB"/>
          <w14:ligatures w14:val="none"/>
        </w:rPr>
      </w:pPr>
      <w:r w:rsidRPr="00810935">
        <w:rPr>
          <w:rFonts w:ascii="Times New Roman" w:eastAsia="Times New Roman" w:hAnsi="Times New Roman" w:cs="Times New Roman"/>
          <w:b/>
          <w:bCs/>
          <w:kern w:val="0"/>
          <w:lang w:eastAsia="en-GB"/>
          <w14:ligatures w14:val="none"/>
        </w:rPr>
        <w:t>Module:</w:t>
      </w:r>
      <w:r w:rsidR="007925C1">
        <w:rPr>
          <w:rFonts w:ascii="Times New Roman" w:eastAsia="Times New Roman" w:hAnsi="Times New Roman" w:cs="Times New Roman"/>
          <w:b/>
          <w:bCs/>
          <w:kern w:val="0"/>
          <w:lang w:eastAsia="en-GB"/>
          <w14:ligatures w14:val="none"/>
        </w:rPr>
        <w:t xml:space="preserve"> </w:t>
      </w:r>
      <w:r w:rsidR="005A15D2">
        <w:rPr>
          <w:rFonts w:ascii="Times New Roman" w:eastAsia="Times New Roman" w:hAnsi="Times New Roman" w:cs="Times New Roman"/>
          <w:b/>
          <w:bCs/>
          <w:kern w:val="0"/>
          <w:lang w:eastAsia="en-GB"/>
          <w14:ligatures w14:val="none"/>
        </w:rPr>
        <w:t>Business Management</w:t>
      </w:r>
      <w:r w:rsidR="00F71B64">
        <w:rPr>
          <w:rFonts w:ascii="Times New Roman" w:eastAsia="Times New Roman" w:hAnsi="Times New Roman" w:cs="Times New Roman"/>
          <w:b/>
          <w:bCs/>
          <w:kern w:val="0"/>
          <w:lang w:eastAsia="en-GB"/>
          <w14:ligatures w14:val="none"/>
        </w:rPr>
        <w:t>-</w:t>
      </w:r>
      <w:r w:rsidR="00932266">
        <w:rPr>
          <w:rFonts w:ascii="Times New Roman" w:eastAsia="Times New Roman" w:hAnsi="Times New Roman" w:cs="Times New Roman"/>
          <w:b/>
          <w:bCs/>
          <w:kern w:val="0"/>
          <w:lang w:eastAsia="en-GB"/>
          <w14:ligatures w14:val="none"/>
        </w:rPr>
        <w:t xml:space="preserve"> </w:t>
      </w:r>
      <w:r w:rsidR="00F06609">
        <w:rPr>
          <w:rFonts w:ascii="Times New Roman" w:eastAsia="Times New Roman" w:hAnsi="Times New Roman" w:cs="Times New Roman"/>
          <w:b/>
          <w:bCs/>
          <w:kern w:val="0"/>
          <w:lang w:eastAsia="en-GB"/>
          <w14:ligatures w14:val="none"/>
        </w:rPr>
        <w:t>E</w:t>
      </w:r>
      <w:r w:rsidR="006D152D">
        <w:rPr>
          <w:rFonts w:ascii="Times New Roman" w:eastAsia="Times New Roman" w:hAnsi="Times New Roman" w:cs="Times New Roman"/>
          <w:b/>
          <w:bCs/>
          <w:kern w:val="0"/>
          <w:lang w:eastAsia="en-GB"/>
          <w14:ligatures w14:val="none"/>
        </w:rPr>
        <w:t>ntrepreneur</w:t>
      </w:r>
      <w:r w:rsidR="007925C1">
        <w:rPr>
          <w:rFonts w:ascii="Times New Roman" w:eastAsia="Times New Roman" w:hAnsi="Times New Roman" w:cs="Times New Roman"/>
          <w:b/>
          <w:bCs/>
          <w:kern w:val="0"/>
          <w:lang w:eastAsia="en-GB"/>
          <w14:ligatures w14:val="none"/>
        </w:rPr>
        <w:t>ship</w:t>
      </w:r>
      <w:r w:rsidR="00A40A97">
        <w:rPr>
          <w:rFonts w:ascii="Times New Roman" w:eastAsia="Times New Roman" w:hAnsi="Times New Roman" w:cs="Times New Roman"/>
          <w:b/>
          <w:bCs/>
          <w:kern w:val="0"/>
          <w:lang w:eastAsia="en-GB"/>
          <w14:ligatures w14:val="none"/>
        </w:rPr>
        <w:t xml:space="preserve"> L</w:t>
      </w:r>
      <w:r w:rsidR="00644045">
        <w:rPr>
          <w:rFonts w:ascii="Times New Roman" w:eastAsia="Times New Roman" w:hAnsi="Times New Roman" w:cs="Times New Roman"/>
          <w:b/>
          <w:bCs/>
          <w:kern w:val="0"/>
          <w:lang w:eastAsia="en-GB"/>
          <w14:ligatures w14:val="none"/>
        </w:rPr>
        <w:t>CBB5013</w:t>
      </w:r>
    </w:p>
    <w:p w14:paraId="7422BA9D" w14:textId="50B99823" w:rsidR="00810935" w:rsidRPr="00810935" w:rsidRDefault="00DE3D4D" w:rsidP="00810935">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Modul Leader</w:t>
      </w:r>
      <w:r w:rsidR="00810935" w:rsidRPr="00810935">
        <w:rPr>
          <w:rFonts w:ascii="Times New Roman" w:eastAsia="Times New Roman" w:hAnsi="Times New Roman" w:cs="Times New Roman"/>
          <w:b/>
          <w:bCs/>
          <w:kern w:val="0"/>
          <w:lang w:eastAsia="en-GB"/>
          <w14:ligatures w14:val="none"/>
        </w:rPr>
        <w:t>:</w:t>
      </w:r>
      <w:r w:rsidR="00B77C78">
        <w:rPr>
          <w:rFonts w:ascii="Times New Roman" w:eastAsia="Times New Roman" w:hAnsi="Times New Roman" w:cs="Times New Roman"/>
          <w:kern w:val="0"/>
          <w:lang w:eastAsia="en-GB"/>
          <w14:ligatures w14:val="none"/>
        </w:rPr>
        <w:t xml:space="preserve"> Amer Kar</w:t>
      </w:r>
      <w:r w:rsidR="00790F2B">
        <w:rPr>
          <w:rFonts w:ascii="Times New Roman" w:eastAsia="Times New Roman" w:hAnsi="Times New Roman" w:cs="Times New Roman"/>
          <w:kern w:val="0"/>
          <w:lang w:eastAsia="en-GB"/>
          <w14:ligatures w14:val="none"/>
        </w:rPr>
        <w:t>eem</w:t>
      </w:r>
    </w:p>
    <w:p w14:paraId="17621E4B" w14:textId="77777777" w:rsidR="00475149" w:rsidRDefault="00475149" w:rsidP="00DA4B6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8220E4C" w14:textId="77777777" w:rsidR="00475149" w:rsidRDefault="00475149" w:rsidP="00DA4B6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E5ABAFA" w14:textId="77777777" w:rsidR="004D6164" w:rsidRDefault="004D6164" w:rsidP="00DA4B6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7B0A38A" w14:textId="77777777" w:rsidR="004D6164" w:rsidRDefault="004D6164" w:rsidP="00DA4B6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B4F57B9" w14:textId="77777777" w:rsidR="004D6164" w:rsidRDefault="004D6164" w:rsidP="00DA4B6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16D3A0C" w14:textId="77777777" w:rsidR="00DA4B61" w:rsidRPr="00DA4B61" w:rsidRDefault="00DA4B61" w:rsidP="00DA4B6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41E3D3E" w14:textId="77777777" w:rsidR="000F4734" w:rsidRDefault="000F4734" w:rsidP="000F4734">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p>
    <w:p w14:paraId="7A70669F" w14:textId="60AFA4C6" w:rsidR="009F7162" w:rsidRPr="009F7162" w:rsidRDefault="00564B4F" w:rsidP="00D3323C">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9F7162" w:rsidRPr="009F7162">
        <w:rPr>
          <w:rFonts w:ascii="Times New Roman" w:eastAsia="Times New Roman" w:hAnsi="Times New Roman" w:cs="Times New Roman"/>
          <w:b/>
          <w:bCs/>
          <w:kern w:val="0"/>
          <w:sz w:val="36"/>
          <w:szCs w:val="36"/>
          <w:lang w:eastAsia="en-GB"/>
          <w14:ligatures w14:val="none"/>
        </w:rPr>
        <w:t>TABLE OF CONTENTS</w:t>
      </w:r>
    </w:p>
    <w:p w14:paraId="451DCEC8" w14:textId="77777777" w:rsidR="009F7162" w:rsidRPr="009F7162" w:rsidRDefault="009F7162" w:rsidP="009F7162">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7162">
        <w:rPr>
          <w:rFonts w:ascii="Times New Roman" w:eastAsia="Times New Roman" w:hAnsi="Times New Roman" w:cs="Times New Roman"/>
          <w:kern w:val="0"/>
          <w:lang w:eastAsia="en-GB"/>
          <w14:ligatures w14:val="none"/>
        </w:rPr>
        <w:t>Introduction</w:t>
      </w:r>
    </w:p>
    <w:p w14:paraId="2392B396" w14:textId="77777777" w:rsidR="009F7162" w:rsidRPr="009F7162" w:rsidRDefault="009F7162" w:rsidP="009F7162">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7162">
        <w:rPr>
          <w:rFonts w:ascii="Times New Roman" w:eastAsia="Times New Roman" w:hAnsi="Times New Roman" w:cs="Times New Roman"/>
          <w:kern w:val="0"/>
          <w:lang w:eastAsia="en-GB"/>
          <w14:ligatures w14:val="none"/>
        </w:rPr>
        <w:t>Business Idea, Products/Services, Objectives &amp; USP</w:t>
      </w:r>
    </w:p>
    <w:p w14:paraId="4E004EAB" w14:textId="77777777" w:rsidR="009F7162" w:rsidRPr="009F7162" w:rsidRDefault="009F7162" w:rsidP="009F7162">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7162">
        <w:rPr>
          <w:rFonts w:ascii="Times New Roman" w:eastAsia="Times New Roman" w:hAnsi="Times New Roman" w:cs="Times New Roman"/>
          <w:kern w:val="0"/>
          <w:lang w:eastAsia="en-GB"/>
          <w14:ligatures w14:val="none"/>
        </w:rPr>
        <w:t>Business Environment &amp; Competitor Analysis</w:t>
      </w:r>
    </w:p>
    <w:p w14:paraId="7CD6D367" w14:textId="77777777" w:rsidR="009F7162" w:rsidRPr="009F7162" w:rsidRDefault="009F7162" w:rsidP="009F7162">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9F7162">
        <w:rPr>
          <w:rFonts w:ascii="Times New Roman" w:eastAsia="Times New Roman" w:hAnsi="Times New Roman" w:cs="Times New Roman"/>
          <w:kern w:val="0"/>
          <w:lang w:eastAsia="en-GB"/>
          <w14:ligatures w14:val="none"/>
        </w:rPr>
        <w:t> </w:t>
      </w:r>
      <w:r w:rsidRPr="009F7162">
        <w:rPr>
          <w:rFonts w:ascii="Times New Roman" w:eastAsia="Times New Roman" w:hAnsi="Times New Roman" w:cs="Times New Roman"/>
          <w:kern w:val="0"/>
          <w:lang w:eastAsia="en-GB"/>
          <w14:ligatures w14:val="none"/>
        </w:rPr>
        <w:t>3.1 PESTEL Analysis</w:t>
      </w:r>
    </w:p>
    <w:p w14:paraId="58791C17" w14:textId="77777777" w:rsidR="009F7162" w:rsidRPr="009F7162" w:rsidRDefault="009F7162" w:rsidP="009F7162">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9F7162">
        <w:rPr>
          <w:rFonts w:ascii="Times New Roman" w:eastAsia="Times New Roman" w:hAnsi="Times New Roman" w:cs="Times New Roman"/>
          <w:kern w:val="0"/>
          <w:lang w:eastAsia="en-GB"/>
          <w14:ligatures w14:val="none"/>
        </w:rPr>
        <w:t> </w:t>
      </w:r>
      <w:r w:rsidRPr="009F7162">
        <w:rPr>
          <w:rFonts w:ascii="Times New Roman" w:eastAsia="Times New Roman" w:hAnsi="Times New Roman" w:cs="Times New Roman"/>
          <w:kern w:val="0"/>
          <w:lang w:eastAsia="en-GB"/>
          <w14:ligatures w14:val="none"/>
        </w:rPr>
        <w:t>3.2 SWOT Analysis</w:t>
      </w:r>
    </w:p>
    <w:p w14:paraId="393779FE" w14:textId="77777777" w:rsidR="009F7162" w:rsidRPr="009F7162" w:rsidRDefault="009F7162" w:rsidP="009F7162">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9F7162">
        <w:rPr>
          <w:rFonts w:ascii="Times New Roman" w:eastAsia="Times New Roman" w:hAnsi="Times New Roman" w:cs="Times New Roman"/>
          <w:kern w:val="0"/>
          <w:lang w:eastAsia="en-GB"/>
          <w14:ligatures w14:val="none"/>
        </w:rPr>
        <w:t> </w:t>
      </w:r>
      <w:r w:rsidRPr="009F7162">
        <w:rPr>
          <w:rFonts w:ascii="Times New Roman" w:eastAsia="Times New Roman" w:hAnsi="Times New Roman" w:cs="Times New Roman"/>
          <w:kern w:val="0"/>
          <w:lang w:eastAsia="en-GB"/>
          <w14:ligatures w14:val="none"/>
        </w:rPr>
        <w:t>3.3 Porter’s Five Forces</w:t>
      </w:r>
    </w:p>
    <w:p w14:paraId="204FE4BC" w14:textId="77777777" w:rsidR="009F7162" w:rsidRPr="009F7162" w:rsidRDefault="009F7162" w:rsidP="009F7162">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7162">
        <w:rPr>
          <w:rFonts w:ascii="Times New Roman" w:eastAsia="Times New Roman" w:hAnsi="Times New Roman" w:cs="Times New Roman"/>
          <w:kern w:val="0"/>
          <w:lang w:eastAsia="en-GB"/>
          <w14:ligatures w14:val="none"/>
        </w:rPr>
        <w:t>Market Segmentation, 4Ps and Online Marketing Strategies</w:t>
      </w:r>
    </w:p>
    <w:p w14:paraId="3406C382" w14:textId="77777777" w:rsidR="009F7162" w:rsidRPr="009F7162" w:rsidRDefault="009F7162" w:rsidP="009F7162">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9F7162">
        <w:rPr>
          <w:rFonts w:ascii="Times New Roman" w:eastAsia="Times New Roman" w:hAnsi="Times New Roman" w:cs="Times New Roman"/>
          <w:kern w:val="0"/>
          <w:lang w:eastAsia="en-GB"/>
          <w14:ligatures w14:val="none"/>
        </w:rPr>
        <w:t> </w:t>
      </w:r>
      <w:r w:rsidRPr="009F7162">
        <w:rPr>
          <w:rFonts w:ascii="Times New Roman" w:eastAsia="Times New Roman" w:hAnsi="Times New Roman" w:cs="Times New Roman"/>
          <w:kern w:val="0"/>
          <w:lang w:eastAsia="en-GB"/>
          <w14:ligatures w14:val="none"/>
        </w:rPr>
        <w:t>4.1 Market Segmentation</w:t>
      </w:r>
    </w:p>
    <w:p w14:paraId="02872972" w14:textId="77777777" w:rsidR="009F7162" w:rsidRPr="009F7162" w:rsidRDefault="009F7162" w:rsidP="009F7162">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9F7162">
        <w:rPr>
          <w:rFonts w:ascii="Times New Roman" w:eastAsia="Times New Roman" w:hAnsi="Times New Roman" w:cs="Times New Roman"/>
          <w:kern w:val="0"/>
          <w:lang w:eastAsia="en-GB"/>
          <w14:ligatures w14:val="none"/>
        </w:rPr>
        <w:t> </w:t>
      </w:r>
      <w:r w:rsidRPr="009F7162">
        <w:rPr>
          <w:rFonts w:ascii="Times New Roman" w:eastAsia="Times New Roman" w:hAnsi="Times New Roman" w:cs="Times New Roman"/>
          <w:kern w:val="0"/>
          <w:lang w:eastAsia="en-GB"/>
          <w14:ligatures w14:val="none"/>
        </w:rPr>
        <w:t>4.2 The Marketing Mix (4Ps)</w:t>
      </w:r>
    </w:p>
    <w:p w14:paraId="164DBE60" w14:textId="77777777" w:rsidR="009F7162" w:rsidRPr="009F7162" w:rsidRDefault="009F7162" w:rsidP="009F7162">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9F7162">
        <w:rPr>
          <w:rFonts w:ascii="Times New Roman" w:eastAsia="Times New Roman" w:hAnsi="Times New Roman" w:cs="Times New Roman"/>
          <w:kern w:val="0"/>
          <w:lang w:eastAsia="en-GB"/>
          <w14:ligatures w14:val="none"/>
        </w:rPr>
        <w:t> </w:t>
      </w:r>
      <w:r w:rsidRPr="009F7162">
        <w:rPr>
          <w:rFonts w:ascii="Times New Roman" w:eastAsia="Times New Roman" w:hAnsi="Times New Roman" w:cs="Times New Roman"/>
          <w:kern w:val="0"/>
          <w:lang w:eastAsia="en-GB"/>
          <w14:ligatures w14:val="none"/>
        </w:rPr>
        <w:t>4.3 Evaluation of Online Marketing Strategies</w:t>
      </w:r>
    </w:p>
    <w:p w14:paraId="3F8D390D" w14:textId="77777777" w:rsidR="009F7162" w:rsidRPr="009F7162" w:rsidRDefault="009F7162" w:rsidP="009F7162">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7162">
        <w:rPr>
          <w:rFonts w:ascii="Times New Roman" w:eastAsia="Times New Roman" w:hAnsi="Times New Roman" w:cs="Times New Roman"/>
          <w:kern w:val="0"/>
          <w:lang w:eastAsia="en-GB"/>
          <w14:ligatures w14:val="none"/>
        </w:rPr>
        <w:t>Legal Structure, Management and Financial Planning</w:t>
      </w:r>
    </w:p>
    <w:p w14:paraId="27D27FD7" w14:textId="77777777" w:rsidR="009F7162" w:rsidRPr="009F7162" w:rsidRDefault="009F7162" w:rsidP="009F7162">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9F7162">
        <w:rPr>
          <w:rFonts w:ascii="Times New Roman" w:eastAsia="Times New Roman" w:hAnsi="Times New Roman" w:cs="Times New Roman"/>
          <w:kern w:val="0"/>
          <w:lang w:eastAsia="en-GB"/>
          <w14:ligatures w14:val="none"/>
        </w:rPr>
        <w:t> </w:t>
      </w:r>
      <w:r w:rsidRPr="009F7162">
        <w:rPr>
          <w:rFonts w:ascii="Times New Roman" w:eastAsia="Times New Roman" w:hAnsi="Times New Roman" w:cs="Times New Roman"/>
          <w:kern w:val="0"/>
          <w:lang w:eastAsia="en-GB"/>
          <w14:ligatures w14:val="none"/>
        </w:rPr>
        <w:t>5.1 Legal Structure</w:t>
      </w:r>
    </w:p>
    <w:p w14:paraId="517F25F5" w14:textId="77777777" w:rsidR="009F7162" w:rsidRPr="009F7162" w:rsidRDefault="009F7162" w:rsidP="009F7162">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9F7162">
        <w:rPr>
          <w:rFonts w:ascii="Times New Roman" w:eastAsia="Times New Roman" w:hAnsi="Times New Roman" w:cs="Times New Roman"/>
          <w:kern w:val="0"/>
          <w:lang w:eastAsia="en-GB"/>
          <w14:ligatures w14:val="none"/>
        </w:rPr>
        <w:t> </w:t>
      </w:r>
      <w:r w:rsidRPr="009F7162">
        <w:rPr>
          <w:rFonts w:ascii="Times New Roman" w:eastAsia="Times New Roman" w:hAnsi="Times New Roman" w:cs="Times New Roman"/>
          <w:kern w:val="0"/>
          <w:lang w:eastAsia="en-GB"/>
          <w14:ligatures w14:val="none"/>
        </w:rPr>
        <w:t>5.2 Management Structure</w:t>
      </w:r>
    </w:p>
    <w:p w14:paraId="15E01374" w14:textId="77777777" w:rsidR="009F7162" w:rsidRPr="009F7162" w:rsidRDefault="009F7162" w:rsidP="009F7162">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9F7162">
        <w:rPr>
          <w:rFonts w:ascii="Times New Roman" w:eastAsia="Times New Roman" w:hAnsi="Times New Roman" w:cs="Times New Roman"/>
          <w:kern w:val="0"/>
          <w:lang w:eastAsia="en-GB"/>
          <w14:ligatures w14:val="none"/>
        </w:rPr>
        <w:t> </w:t>
      </w:r>
      <w:r w:rsidRPr="009F7162">
        <w:rPr>
          <w:rFonts w:ascii="Times New Roman" w:eastAsia="Times New Roman" w:hAnsi="Times New Roman" w:cs="Times New Roman"/>
          <w:kern w:val="0"/>
          <w:lang w:eastAsia="en-GB"/>
          <w14:ligatures w14:val="none"/>
        </w:rPr>
        <w:t>5.3 Start-Up Funding</w:t>
      </w:r>
    </w:p>
    <w:p w14:paraId="50570EC0" w14:textId="77777777" w:rsidR="009F7162" w:rsidRPr="009F7162" w:rsidRDefault="009F7162" w:rsidP="009F7162">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9F7162">
        <w:rPr>
          <w:rFonts w:ascii="Times New Roman" w:eastAsia="Times New Roman" w:hAnsi="Times New Roman" w:cs="Times New Roman"/>
          <w:kern w:val="0"/>
          <w:lang w:eastAsia="en-GB"/>
          <w14:ligatures w14:val="none"/>
        </w:rPr>
        <w:t> </w:t>
      </w:r>
      <w:r w:rsidRPr="009F7162">
        <w:rPr>
          <w:rFonts w:ascii="Times New Roman" w:eastAsia="Times New Roman" w:hAnsi="Times New Roman" w:cs="Times New Roman"/>
          <w:kern w:val="0"/>
          <w:lang w:eastAsia="en-GB"/>
          <w14:ligatures w14:val="none"/>
        </w:rPr>
        <w:t>5.4 12-Month Cash Flow Forecast</w:t>
      </w:r>
    </w:p>
    <w:p w14:paraId="36DDABC6" w14:textId="77777777" w:rsidR="009F7162" w:rsidRPr="009F7162" w:rsidRDefault="009F7162" w:rsidP="009F7162">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9F7162">
        <w:rPr>
          <w:rFonts w:ascii="Times New Roman" w:eastAsia="Times New Roman" w:hAnsi="Times New Roman" w:cs="Times New Roman"/>
          <w:kern w:val="0"/>
          <w:lang w:eastAsia="en-GB"/>
          <w14:ligatures w14:val="none"/>
        </w:rPr>
        <w:t> </w:t>
      </w:r>
      <w:r w:rsidRPr="009F7162">
        <w:rPr>
          <w:rFonts w:ascii="Times New Roman" w:eastAsia="Times New Roman" w:hAnsi="Times New Roman" w:cs="Times New Roman"/>
          <w:kern w:val="0"/>
          <w:lang w:eastAsia="en-GB"/>
          <w14:ligatures w14:val="none"/>
        </w:rPr>
        <w:t>5.5 Financial Explanation</w:t>
      </w:r>
    </w:p>
    <w:p w14:paraId="7113A477" w14:textId="77777777" w:rsidR="009F7162" w:rsidRPr="009F7162" w:rsidRDefault="009F7162" w:rsidP="009F7162">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F7162">
        <w:rPr>
          <w:rFonts w:ascii="Times New Roman" w:eastAsia="Times New Roman" w:hAnsi="Times New Roman" w:cs="Times New Roman"/>
          <w:kern w:val="0"/>
          <w:lang w:eastAsia="en-GB"/>
          <w14:ligatures w14:val="none"/>
        </w:rPr>
        <w:t>References</w:t>
      </w:r>
    </w:p>
    <w:p w14:paraId="51673628" w14:textId="77777777" w:rsidR="00A17991" w:rsidRDefault="00A17991"/>
    <w:p w14:paraId="6D09AD8A" w14:textId="77777777" w:rsidR="00BA7489" w:rsidRDefault="00BA7489"/>
    <w:p w14:paraId="1F70A60D" w14:textId="77777777" w:rsidR="00EB3D03" w:rsidRDefault="00EB3D03" w:rsidP="00BA7489">
      <w:pPr>
        <w:spacing w:before="100" w:beforeAutospacing="1" w:after="100" w:afterAutospacing="1" w:line="240" w:lineRule="auto"/>
        <w:outlineLvl w:val="0"/>
        <w:rPr>
          <w:rFonts w:ascii="Arial" w:eastAsia="Times New Roman" w:hAnsi="Arial" w:cs="Arial"/>
          <w:b/>
          <w:bCs/>
          <w:kern w:val="36"/>
          <w:lang w:eastAsia="en-GB"/>
          <w14:ligatures w14:val="none"/>
        </w:rPr>
      </w:pPr>
    </w:p>
    <w:p w14:paraId="5230217F" w14:textId="77777777" w:rsidR="00EB3D03" w:rsidRDefault="00EB3D03" w:rsidP="00BA7489">
      <w:pPr>
        <w:spacing w:before="100" w:beforeAutospacing="1" w:after="100" w:afterAutospacing="1" w:line="240" w:lineRule="auto"/>
        <w:outlineLvl w:val="0"/>
        <w:rPr>
          <w:rFonts w:ascii="Arial" w:eastAsia="Times New Roman" w:hAnsi="Arial" w:cs="Arial"/>
          <w:b/>
          <w:bCs/>
          <w:kern w:val="36"/>
          <w:lang w:eastAsia="en-GB"/>
          <w14:ligatures w14:val="none"/>
        </w:rPr>
      </w:pPr>
    </w:p>
    <w:p w14:paraId="5DCFCC9F" w14:textId="77777777" w:rsidR="00092957" w:rsidRDefault="00092957" w:rsidP="00BA7489">
      <w:pPr>
        <w:spacing w:before="100" w:beforeAutospacing="1" w:after="100" w:afterAutospacing="1" w:line="240" w:lineRule="auto"/>
        <w:outlineLvl w:val="0"/>
        <w:rPr>
          <w:rFonts w:ascii="Arial" w:eastAsia="Times New Roman" w:hAnsi="Arial" w:cs="Arial"/>
          <w:b/>
          <w:bCs/>
          <w:kern w:val="36"/>
          <w:lang w:eastAsia="en-GB"/>
          <w14:ligatures w14:val="none"/>
        </w:rPr>
      </w:pPr>
    </w:p>
    <w:p w14:paraId="303B1B5C" w14:textId="77777777" w:rsidR="00092957" w:rsidRDefault="00092957" w:rsidP="00BA7489">
      <w:pPr>
        <w:spacing w:before="100" w:beforeAutospacing="1" w:after="100" w:afterAutospacing="1" w:line="240" w:lineRule="auto"/>
        <w:outlineLvl w:val="0"/>
        <w:rPr>
          <w:rFonts w:ascii="Arial" w:eastAsia="Times New Roman" w:hAnsi="Arial" w:cs="Arial"/>
          <w:b/>
          <w:bCs/>
          <w:kern w:val="36"/>
          <w:lang w:eastAsia="en-GB"/>
          <w14:ligatures w14:val="none"/>
        </w:rPr>
      </w:pPr>
    </w:p>
    <w:p w14:paraId="47373FCA" w14:textId="508D4C5B" w:rsidR="00F63A03" w:rsidRPr="004D6164" w:rsidRDefault="004D6164" w:rsidP="00BA7489">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r w:rsidRPr="004D6164">
        <w:rPr>
          <w:rFonts w:ascii="Times New Roman" w:eastAsia="Times New Roman" w:hAnsi="Times New Roman" w:cs="Times New Roman"/>
          <w:b/>
          <w:bCs/>
          <w:kern w:val="36"/>
          <w:lang w:eastAsia="en-GB"/>
          <w14:ligatures w14:val="none"/>
        </w:rPr>
        <w:lastRenderedPageBreak/>
        <w:t>Glow Box Business Plan</w:t>
      </w:r>
    </w:p>
    <w:p w14:paraId="1573B3ED" w14:textId="77777777" w:rsidR="00F63A03" w:rsidRDefault="00F63A03" w:rsidP="00BA7489">
      <w:pPr>
        <w:spacing w:before="100" w:beforeAutospacing="1" w:after="100" w:afterAutospacing="1" w:line="240" w:lineRule="auto"/>
        <w:outlineLvl w:val="0"/>
        <w:rPr>
          <w:rFonts w:ascii="Arial" w:eastAsia="Times New Roman" w:hAnsi="Arial" w:cs="Arial"/>
          <w:b/>
          <w:bCs/>
          <w:kern w:val="36"/>
          <w:lang w:eastAsia="en-GB"/>
          <w14:ligatures w14:val="none"/>
        </w:rPr>
      </w:pPr>
    </w:p>
    <w:p w14:paraId="786586D5" w14:textId="2D9703A6" w:rsidR="00BA7489" w:rsidRPr="00BA7489" w:rsidRDefault="00BA7489" w:rsidP="00BA7489">
      <w:pPr>
        <w:spacing w:before="100" w:beforeAutospacing="1" w:after="100" w:afterAutospacing="1" w:line="240" w:lineRule="auto"/>
        <w:outlineLvl w:val="0"/>
        <w:rPr>
          <w:rFonts w:ascii="Arial" w:eastAsia="Times New Roman" w:hAnsi="Arial" w:cs="Arial"/>
          <w:b/>
          <w:bCs/>
          <w:kern w:val="36"/>
          <w:lang w:eastAsia="en-GB"/>
          <w14:ligatures w14:val="none"/>
        </w:rPr>
      </w:pPr>
      <w:r w:rsidRPr="00BA7489">
        <w:rPr>
          <w:rFonts w:ascii="Arial" w:eastAsia="Times New Roman" w:hAnsi="Arial" w:cs="Arial"/>
          <w:b/>
          <w:bCs/>
          <w:kern w:val="36"/>
          <w:lang w:eastAsia="en-GB"/>
          <w14:ligatures w14:val="none"/>
        </w:rPr>
        <w:t>1. Introduction</w:t>
      </w:r>
    </w:p>
    <w:p w14:paraId="175764C8" w14:textId="77777777" w:rsidR="00BA7489" w:rsidRPr="00BA7489" w:rsidRDefault="00BA7489" w:rsidP="00BA7489">
      <w:pPr>
        <w:spacing w:before="100" w:beforeAutospacing="1" w:after="100" w:afterAutospacing="1" w:line="240" w:lineRule="auto"/>
        <w:rPr>
          <w:rFonts w:ascii="Times New Roman" w:eastAsia="Times New Roman" w:hAnsi="Times New Roman" w:cs="Times New Roman"/>
          <w:kern w:val="0"/>
          <w:lang w:eastAsia="en-GB"/>
          <w14:ligatures w14:val="none"/>
        </w:rPr>
      </w:pPr>
      <w:r w:rsidRPr="00BA7489">
        <w:rPr>
          <w:rFonts w:ascii="Times New Roman" w:eastAsia="Times New Roman" w:hAnsi="Times New Roman" w:cs="Times New Roman"/>
          <w:kern w:val="0"/>
          <w:lang w:eastAsia="en-GB"/>
          <w14:ligatures w14:val="none"/>
        </w:rPr>
        <w:t>The beauty and skincare market in the UK has grown rapidly, driven by rising consumer interest in personal wellbeing and healthier routines (Statista, 2024). However, people with sensitive skin often struggle to find suitable products due to irritation, allergies and inconsistent results (British Skin Foundation, 2022). Glow Box is designed to fill this gap by offering a personalised, subscription-based skincare service focused specifically on sensitive skin. Through a combination of dermatologist-approved products, AI-powered personalisation and sustainable practices, Glow Box aims to provide a safe, convenient and reliable skincare solution for an underserved group of consumers.</w:t>
      </w:r>
    </w:p>
    <w:p w14:paraId="0EC1FF29" w14:textId="5253C9BC" w:rsidR="00BA7489" w:rsidRPr="00BA7489" w:rsidRDefault="00BA7489" w:rsidP="00BA7489">
      <w:pPr>
        <w:spacing w:after="0" w:line="240" w:lineRule="auto"/>
        <w:rPr>
          <w:rFonts w:ascii="Times New Roman" w:eastAsia="Times New Roman" w:hAnsi="Times New Roman" w:cs="Times New Roman"/>
          <w:kern w:val="0"/>
          <w:lang w:eastAsia="en-GB"/>
          <w14:ligatures w14:val="none"/>
        </w:rPr>
      </w:pPr>
    </w:p>
    <w:p w14:paraId="28DB917A" w14:textId="77777777" w:rsidR="00415ECE" w:rsidRPr="00415ECE" w:rsidRDefault="00415ECE" w:rsidP="00415ECE">
      <w:pPr>
        <w:spacing w:before="100" w:beforeAutospacing="1" w:after="100" w:afterAutospacing="1" w:line="240" w:lineRule="auto"/>
        <w:outlineLvl w:val="0"/>
        <w:rPr>
          <w:rFonts w:ascii="Arial" w:eastAsia="Times New Roman" w:hAnsi="Arial" w:cs="Arial"/>
          <w:b/>
          <w:bCs/>
          <w:kern w:val="36"/>
          <w:lang w:eastAsia="en-GB"/>
          <w14:ligatures w14:val="none"/>
        </w:rPr>
      </w:pPr>
      <w:r w:rsidRPr="00415ECE">
        <w:rPr>
          <w:rFonts w:ascii="Arial" w:eastAsia="Times New Roman" w:hAnsi="Arial" w:cs="Arial"/>
          <w:b/>
          <w:bCs/>
          <w:kern w:val="36"/>
          <w:lang w:eastAsia="en-GB"/>
          <w14:ligatures w14:val="none"/>
        </w:rPr>
        <w:t>2. Business Idea, Products/Services, Objectives &amp; USP</w:t>
      </w:r>
    </w:p>
    <w:p w14:paraId="7064BAA2" w14:textId="77777777" w:rsidR="00415ECE" w:rsidRPr="00415ECE" w:rsidRDefault="00415ECE" w:rsidP="00415EC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5ECE">
        <w:rPr>
          <w:rFonts w:ascii="Times New Roman" w:eastAsia="Times New Roman" w:hAnsi="Times New Roman" w:cs="Times New Roman"/>
          <w:kern w:val="0"/>
          <w:lang w:eastAsia="en-GB"/>
          <w14:ligatures w14:val="none"/>
        </w:rPr>
        <w:t>The skincare industry in the United Kingdom has grown significantly over the past decade as consumers increasingly prioritise their physical appearance, wellbeing and skin health (Statista, 2024). Despite this growth, many individuals still struggle to find skincare products that are safe and suitable for sensitive skin. Common issues include irritation, allergic reactions, redness and long-term discomfort (British Skin Foundation, 2022). Glow Box is a subscription-based personalised skincare service created specifically to address the needs of this underserved market segment. The business idea focuses on providing monthly boxes of dermatologist-approved, hypoallergenic products selected according to each customer’s skin sensitivity profile.</w:t>
      </w:r>
    </w:p>
    <w:p w14:paraId="6382F4B5" w14:textId="77777777" w:rsidR="00415ECE" w:rsidRPr="00415ECE" w:rsidRDefault="00415ECE" w:rsidP="00415EC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5ECE">
        <w:rPr>
          <w:rFonts w:ascii="Times New Roman" w:eastAsia="Times New Roman" w:hAnsi="Times New Roman" w:cs="Times New Roman"/>
          <w:kern w:val="0"/>
          <w:lang w:eastAsia="en-GB"/>
          <w14:ligatures w14:val="none"/>
        </w:rPr>
        <w:t>Glow Box uses a digital assessment quiz supported by artificial intelligence. Customers provide information about allergies, skin concerns, lifestyle factors and product reactions. The system then generates an individualised sensitivity profile, allowing accurate product selection (Kotler, Armstrong &amp; Operonic, 2022). Each monthly box contains four to five products, such as cleansers, moisturisers, serums and treatments from reputable brands known for sensitive-skin formulations, including La Roche-Posay, Avene and CeraVe. All products are fragrance-free, non-comedogenic and clinically tested to reduce irritation (CTPA, 2023).</w:t>
      </w:r>
    </w:p>
    <w:p w14:paraId="2809B83B" w14:textId="77777777" w:rsidR="007A3C15" w:rsidRDefault="00415ECE" w:rsidP="00415EC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5ECE">
        <w:rPr>
          <w:rFonts w:ascii="Times New Roman" w:eastAsia="Times New Roman" w:hAnsi="Times New Roman" w:cs="Times New Roman"/>
          <w:kern w:val="0"/>
          <w:lang w:eastAsia="en-GB"/>
          <w14:ligatures w14:val="none"/>
        </w:rPr>
        <w:t>Beyond the physical products, Glow Box offers a digital service through a mobile app that provides routine guidance, usage instructions, ingredient explanations and a skin-tracking tool. Customer feedback in the app helps refine future product selection, improving</w:t>
      </w:r>
    </w:p>
    <w:p w14:paraId="48EFC434" w14:textId="7CDF92A5" w:rsidR="00415ECE" w:rsidRPr="00415ECE" w:rsidRDefault="00415ECE" w:rsidP="00415EC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5ECE">
        <w:rPr>
          <w:rFonts w:ascii="Times New Roman" w:eastAsia="Times New Roman" w:hAnsi="Times New Roman" w:cs="Times New Roman"/>
          <w:kern w:val="0"/>
          <w:lang w:eastAsia="en-GB"/>
          <w14:ligatures w14:val="none"/>
        </w:rPr>
        <w:t>personalisation over time (Solomon, 2021). The app also includes educational content and tips from dermatologists.</w:t>
      </w:r>
    </w:p>
    <w:p w14:paraId="0482804B" w14:textId="77777777" w:rsidR="00415ECE" w:rsidRPr="00415ECE" w:rsidRDefault="00415ECE" w:rsidP="00415EC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5ECE">
        <w:rPr>
          <w:rFonts w:ascii="Times New Roman" w:eastAsia="Times New Roman" w:hAnsi="Times New Roman" w:cs="Times New Roman"/>
          <w:kern w:val="0"/>
          <w:lang w:eastAsia="en-GB"/>
          <w14:ligatures w14:val="none"/>
        </w:rPr>
        <w:t>Sustainability is another important feature. Glow Box uses recyclable packaging and offers an optional recycling return programme. This aligns with growing consumer expectations for eco-friendly brands (UK Government, 2023). Long-term plans include deeper partnerships with sustainable suppliers and a rewards system for regular recycling.</w:t>
      </w:r>
    </w:p>
    <w:p w14:paraId="628E2518" w14:textId="77777777" w:rsidR="00415ECE" w:rsidRPr="00415ECE" w:rsidRDefault="00415ECE" w:rsidP="00415EC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5ECE">
        <w:rPr>
          <w:rFonts w:ascii="Times New Roman" w:eastAsia="Times New Roman" w:hAnsi="Times New Roman" w:cs="Times New Roman"/>
          <w:kern w:val="0"/>
          <w:lang w:eastAsia="en-GB"/>
          <w14:ligatures w14:val="none"/>
        </w:rPr>
        <w:lastRenderedPageBreak/>
        <w:t>Short-term business objectives include launching the Glow Box website and app, acquiring 500 monthly subscribers, establishing supplier partnerships, increasing online presence and achieving an 85% customer satisfaction rate within the first year (Mintel, 2023). Long-term objectives focus on expanding into European markets, developing an in-house product line for sensitive skin, forming clinical partnerships and enhancing sustainability efforts (European Commission, 2023).</w:t>
      </w:r>
    </w:p>
    <w:p w14:paraId="51AE3732" w14:textId="77777777" w:rsidR="00415ECE" w:rsidRPr="00415ECE" w:rsidRDefault="00415ECE" w:rsidP="00415ECE">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5ECE">
        <w:rPr>
          <w:rFonts w:ascii="Times New Roman" w:eastAsia="Times New Roman" w:hAnsi="Times New Roman" w:cs="Times New Roman"/>
          <w:kern w:val="0"/>
          <w:lang w:eastAsia="en-GB"/>
          <w14:ligatures w14:val="none"/>
        </w:rPr>
        <w:t>Glow Box’s Unique Selling Point (USP) is the combination of sensitive-skin specialisation, AI-driven personalisation and sustainability. Unlike general beauty boxes that focus on trends or aesthetics, Glow Box offers a health-focused, science-based experience. This reduces the trial-and-error process common among sensitive-skin users and provides reassurance, safety and consistency (Nielsen, 2022).</w:t>
      </w:r>
    </w:p>
    <w:p w14:paraId="2DB17194" w14:textId="77777777" w:rsidR="004A77B0" w:rsidRDefault="004A77B0" w:rsidP="000B04ED">
      <w:pPr>
        <w:spacing w:before="100" w:beforeAutospacing="1" w:after="100" w:afterAutospacing="1" w:line="240" w:lineRule="auto"/>
        <w:outlineLvl w:val="0"/>
        <w:rPr>
          <w:rFonts w:ascii="Arial" w:eastAsia="Times New Roman" w:hAnsi="Arial" w:cs="Arial"/>
          <w:b/>
          <w:bCs/>
          <w:kern w:val="36"/>
          <w:lang w:eastAsia="en-GB"/>
          <w14:ligatures w14:val="none"/>
        </w:rPr>
      </w:pPr>
    </w:p>
    <w:p w14:paraId="40B8633B" w14:textId="5BAA41F6" w:rsidR="000B04ED" w:rsidRPr="000B04ED" w:rsidRDefault="000B04ED" w:rsidP="000B04ED">
      <w:pPr>
        <w:spacing w:before="100" w:beforeAutospacing="1" w:after="100" w:afterAutospacing="1" w:line="240" w:lineRule="auto"/>
        <w:outlineLvl w:val="0"/>
        <w:rPr>
          <w:rFonts w:ascii="Arial" w:eastAsia="Times New Roman" w:hAnsi="Arial" w:cs="Arial"/>
          <w:b/>
          <w:bCs/>
          <w:kern w:val="36"/>
          <w:lang w:eastAsia="en-GB"/>
          <w14:ligatures w14:val="none"/>
        </w:rPr>
      </w:pPr>
      <w:r w:rsidRPr="000B04ED">
        <w:rPr>
          <w:rFonts w:ascii="Arial" w:eastAsia="Times New Roman" w:hAnsi="Arial" w:cs="Arial"/>
          <w:b/>
          <w:bCs/>
          <w:kern w:val="36"/>
          <w:lang w:eastAsia="en-GB"/>
          <w14:ligatures w14:val="none"/>
        </w:rPr>
        <w:t>3. Business Environment &amp; Competitor Analysis</w:t>
      </w:r>
    </w:p>
    <w:p w14:paraId="4A2DCDBC" w14:textId="583B8D77" w:rsidR="007F29A3" w:rsidRPr="00FA3F8E" w:rsidRDefault="000B04ED" w:rsidP="00FA3F8E">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04ED">
        <w:rPr>
          <w:rFonts w:ascii="Times New Roman" w:eastAsia="Times New Roman" w:hAnsi="Times New Roman" w:cs="Times New Roman"/>
          <w:kern w:val="0"/>
          <w:lang w:eastAsia="en-GB"/>
          <w14:ligatures w14:val="none"/>
        </w:rPr>
        <w:t>The long-term sustainability of Glow Box depends on understanding the wider environment. This section applies PESTEL, SWOT and Porter’s Five Forces to evaluate the external factors affecting the business and the level of competition in the UK skincare subscription market.</w:t>
      </w:r>
    </w:p>
    <w:p w14:paraId="0324487F" w14:textId="4E3C28E6" w:rsidR="00943B30" w:rsidRPr="00FA3F8E" w:rsidRDefault="000B04ED" w:rsidP="00FA3F8E">
      <w:pPr>
        <w:spacing w:before="100" w:beforeAutospacing="1" w:after="100" w:afterAutospacing="1" w:line="240" w:lineRule="auto"/>
        <w:outlineLvl w:val="1"/>
        <w:rPr>
          <w:rFonts w:ascii="Arial" w:eastAsia="Times New Roman" w:hAnsi="Arial" w:cs="Arial"/>
          <w:b/>
          <w:bCs/>
          <w:kern w:val="0"/>
          <w:lang w:eastAsia="en-GB"/>
          <w14:ligatures w14:val="none"/>
        </w:rPr>
      </w:pPr>
      <w:r w:rsidRPr="000B04ED">
        <w:rPr>
          <w:rFonts w:ascii="Arial" w:eastAsia="Times New Roman" w:hAnsi="Arial" w:cs="Arial"/>
          <w:b/>
          <w:bCs/>
          <w:kern w:val="0"/>
          <w:lang w:eastAsia="en-GB"/>
          <w14:ligatures w14:val="none"/>
        </w:rPr>
        <w:t>3.1 PESTEL Analysis</w:t>
      </w:r>
      <w:r w:rsidR="00FA3F8E">
        <w:rPr>
          <w:rFonts w:ascii="Times New Roman" w:eastAsia="Times New Roman" w:hAnsi="Times New Roman" w:cs="Times New Roman"/>
          <w:noProof/>
          <w:kern w:val="0"/>
          <w:lang w:eastAsia="en-GB"/>
        </w:rPr>
        <w:drawing>
          <wp:inline distT="0" distB="0" distL="0" distR="0" wp14:anchorId="4B99AF43" wp14:editId="61E585B7">
            <wp:extent cx="4972797" cy="3383007"/>
            <wp:effectExtent l="0" t="0" r="5715" b="0"/>
            <wp:docPr id="1788893515" name="Picture 2" descr="A chart of different types of pestel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893515" name="Picture 2" descr="A chart of different types of pestel analysis&#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245203" cy="3568326"/>
                    </a:xfrm>
                    <a:prstGeom prst="rect">
                      <a:avLst/>
                    </a:prstGeom>
                  </pic:spPr>
                </pic:pic>
              </a:graphicData>
            </a:graphic>
          </wp:inline>
        </w:drawing>
      </w:r>
    </w:p>
    <w:p w14:paraId="01A236D8" w14:textId="77777777" w:rsidR="00282D09" w:rsidRPr="00D30C1E" w:rsidRDefault="00282D09" w:rsidP="00282D09">
      <w:pPr>
        <w:spacing w:before="100" w:beforeAutospacing="1" w:after="100" w:afterAutospacing="1" w:line="240" w:lineRule="auto"/>
        <w:outlineLvl w:val="1"/>
        <w:rPr>
          <w:rFonts w:ascii="Arial" w:eastAsia="Times New Roman" w:hAnsi="Arial" w:cs="Arial"/>
          <w:b/>
          <w:bCs/>
          <w:kern w:val="0"/>
          <w:lang w:eastAsia="en-GB"/>
          <w14:ligatures w14:val="none"/>
        </w:rPr>
      </w:pPr>
      <w:r w:rsidRPr="00D30C1E">
        <w:rPr>
          <w:rFonts w:ascii="Arial" w:eastAsia="Times New Roman" w:hAnsi="Arial" w:cs="Arial"/>
          <w:b/>
          <w:bCs/>
          <w:kern w:val="0"/>
          <w:lang w:eastAsia="en-GB"/>
          <w14:ligatures w14:val="none"/>
        </w:rPr>
        <w:t>Political Factors</w:t>
      </w:r>
    </w:p>
    <w:p w14:paraId="471EA05C" w14:textId="77777777" w:rsidR="00282D09" w:rsidRPr="00282D09" w:rsidRDefault="00282D09" w:rsidP="00282D0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CFAC37C" w14:textId="77777777" w:rsidR="00282D09" w:rsidRPr="00282D09" w:rsidRDefault="00282D09" w:rsidP="00282D09">
      <w:pPr>
        <w:spacing w:before="100" w:beforeAutospacing="1" w:after="100" w:afterAutospacing="1" w:line="240" w:lineRule="auto"/>
        <w:rPr>
          <w:rFonts w:ascii="Times New Roman" w:eastAsia="Times New Roman" w:hAnsi="Times New Roman" w:cs="Times New Roman"/>
          <w:kern w:val="0"/>
          <w:lang w:eastAsia="en-GB"/>
          <w14:ligatures w14:val="none"/>
        </w:rPr>
      </w:pPr>
      <w:r w:rsidRPr="00282D09">
        <w:rPr>
          <w:rFonts w:ascii="Times New Roman" w:eastAsia="Times New Roman" w:hAnsi="Times New Roman" w:cs="Times New Roman"/>
          <w:kern w:val="0"/>
          <w:lang w:eastAsia="en-GB"/>
          <w14:ligatures w14:val="none"/>
        </w:rPr>
        <w:t xml:space="preserve">The political environment in the UK strongly influences skincare businesses, particularly those dealing with sensitive skin. The UK has strict regulations surrounding cosmetic safety, ingredient transparency and consumer protection. Under the UK Cosmetics Regulation, all </w:t>
      </w:r>
      <w:r w:rsidRPr="00282D09">
        <w:rPr>
          <w:rFonts w:ascii="Times New Roman" w:eastAsia="Times New Roman" w:hAnsi="Times New Roman" w:cs="Times New Roman"/>
          <w:kern w:val="0"/>
          <w:lang w:eastAsia="en-GB"/>
          <w14:ligatures w14:val="none"/>
        </w:rPr>
        <w:lastRenderedPageBreak/>
        <w:t>cosmetic products must undergo safety assessments, proper labelling, stability testing and verification of ingredient compliance before reaching the market (CTPA, 2023). This creates a safer environment for consumers but also increases Glow Box’s administrative responsibilities, as the company must ensure that all partner brands follow these legal standards. Additionally, post-Brexit trade policies have increased complexity around importing EU-based skincare products. Many leading sensitive-skin brands are manufactured in France or other European countries, meaning Glow Box may face longer delivery times, higher import fees or fluctuations in product availability if political conditions shift (European Commission, 2023). These factors require careful supplier planning and regular monitoring of international trade updates.</w:t>
      </w:r>
    </w:p>
    <w:p w14:paraId="3B2A5E17" w14:textId="01E4B631" w:rsidR="00282D09" w:rsidRPr="00282D09" w:rsidRDefault="00282D09" w:rsidP="00282D09">
      <w:pPr>
        <w:spacing w:after="0" w:line="240" w:lineRule="auto"/>
        <w:rPr>
          <w:rFonts w:ascii="Times New Roman" w:eastAsia="Times New Roman" w:hAnsi="Times New Roman" w:cs="Times New Roman"/>
          <w:kern w:val="0"/>
          <w:lang w:eastAsia="en-GB"/>
          <w14:ligatures w14:val="none"/>
        </w:rPr>
      </w:pPr>
    </w:p>
    <w:p w14:paraId="63685D5D" w14:textId="77777777" w:rsidR="00282D09" w:rsidRPr="00D30C1E" w:rsidRDefault="00282D09" w:rsidP="00282D09">
      <w:pPr>
        <w:spacing w:before="100" w:beforeAutospacing="1" w:after="100" w:afterAutospacing="1" w:line="240" w:lineRule="auto"/>
        <w:outlineLvl w:val="1"/>
        <w:rPr>
          <w:rFonts w:ascii="Arial" w:eastAsia="Times New Roman" w:hAnsi="Arial" w:cs="Arial"/>
          <w:b/>
          <w:bCs/>
          <w:kern w:val="0"/>
          <w:lang w:eastAsia="en-GB"/>
          <w14:ligatures w14:val="none"/>
        </w:rPr>
      </w:pPr>
      <w:r w:rsidRPr="00D30C1E">
        <w:rPr>
          <w:rFonts w:ascii="Arial" w:eastAsia="Times New Roman" w:hAnsi="Arial" w:cs="Arial"/>
          <w:b/>
          <w:bCs/>
          <w:kern w:val="0"/>
          <w:lang w:eastAsia="en-GB"/>
          <w14:ligatures w14:val="none"/>
        </w:rPr>
        <w:t>Economic Factors</w:t>
      </w:r>
    </w:p>
    <w:p w14:paraId="35D29DCA" w14:textId="77777777" w:rsidR="00282D09" w:rsidRPr="00282D09" w:rsidRDefault="00282D09" w:rsidP="00282D0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BFC2286" w14:textId="77777777" w:rsidR="00282D09" w:rsidRPr="00282D09" w:rsidRDefault="00282D09" w:rsidP="00282D09">
      <w:pPr>
        <w:spacing w:before="100" w:beforeAutospacing="1" w:after="100" w:afterAutospacing="1" w:line="240" w:lineRule="auto"/>
        <w:rPr>
          <w:rFonts w:ascii="Times New Roman" w:eastAsia="Times New Roman" w:hAnsi="Times New Roman" w:cs="Times New Roman"/>
          <w:kern w:val="0"/>
          <w:lang w:eastAsia="en-GB"/>
          <w14:ligatures w14:val="none"/>
        </w:rPr>
      </w:pPr>
      <w:r w:rsidRPr="00282D09">
        <w:rPr>
          <w:rFonts w:ascii="Times New Roman" w:eastAsia="Times New Roman" w:hAnsi="Times New Roman" w:cs="Times New Roman"/>
          <w:kern w:val="0"/>
          <w:lang w:eastAsia="en-GB"/>
          <w14:ligatures w14:val="none"/>
        </w:rPr>
        <w:t>Economic conditions significantly influence consumer purchasing behaviour, especially in the beauty and wellness sector. The rising cost of living in the UK has led many consumers to reduce discretionary spending, making them more cautious about committing to monthly subscriptions such as skincare boxes (Statista, 2024). This could affect sign-up rates during economically unstable periods. However, Glow Box benefits from operating entirely online, which reduces traditional business expenses such as store rent, utility costs and in-store staffing (Mintel, 2023). This allows the business to offer competitive pricing and flexible subscription options even during economic downturns. Currency fluctuations may also impact the cost of purchasing imported skincare brands, requiring Glow Box to adjust pricing or negotiate favourable supplier terms.</w:t>
      </w:r>
    </w:p>
    <w:p w14:paraId="42C56E35" w14:textId="059F9471" w:rsidR="00282D09" w:rsidRPr="00282D09" w:rsidRDefault="00282D09" w:rsidP="00282D09">
      <w:pPr>
        <w:spacing w:after="0" w:line="240" w:lineRule="auto"/>
        <w:rPr>
          <w:rFonts w:ascii="Times New Roman" w:eastAsia="Times New Roman" w:hAnsi="Times New Roman" w:cs="Times New Roman"/>
          <w:kern w:val="0"/>
          <w:lang w:eastAsia="en-GB"/>
          <w14:ligatures w14:val="none"/>
        </w:rPr>
      </w:pPr>
    </w:p>
    <w:p w14:paraId="2B21C6F0" w14:textId="77777777" w:rsidR="00282D09" w:rsidRPr="00D30C1E" w:rsidRDefault="00282D09" w:rsidP="00282D09">
      <w:pPr>
        <w:spacing w:before="100" w:beforeAutospacing="1" w:after="100" w:afterAutospacing="1" w:line="240" w:lineRule="auto"/>
        <w:outlineLvl w:val="1"/>
        <w:rPr>
          <w:rFonts w:ascii="Arial" w:eastAsia="Times New Roman" w:hAnsi="Arial" w:cs="Arial"/>
          <w:b/>
          <w:bCs/>
          <w:kern w:val="0"/>
          <w:lang w:eastAsia="en-GB"/>
          <w14:ligatures w14:val="none"/>
        </w:rPr>
      </w:pPr>
      <w:r w:rsidRPr="00D30C1E">
        <w:rPr>
          <w:rFonts w:ascii="Arial" w:eastAsia="Times New Roman" w:hAnsi="Arial" w:cs="Arial"/>
          <w:b/>
          <w:bCs/>
          <w:kern w:val="0"/>
          <w:lang w:eastAsia="en-GB"/>
          <w14:ligatures w14:val="none"/>
        </w:rPr>
        <w:t>Social Factors</w:t>
      </w:r>
    </w:p>
    <w:p w14:paraId="49D9BD4E" w14:textId="77777777" w:rsidR="00282D09" w:rsidRPr="00282D09" w:rsidRDefault="00282D09" w:rsidP="00282D0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1402431" w14:textId="77777777" w:rsidR="00282D09" w:rsidRPr="00282D09" w:rsidRDefault="00282D09" w:rsidP="00282D09">
      <w:pPr>
        <w:spacing w:before="100" w:beforeAutospacing="1" w:after="100" w:afterAutospacing="1" w:line="240" w:lineRule="auto"/>
        <w:rPr>
          <w:rFonts w:ascii="Times New Roman" w:eastAsia="Times New Roman" w:hAnsi="Times New Roman" w:cs="Times New Roman"/>
          <w:kern w:val="0"/>
          <w:lang w:eastAsia="en-GB"/>
          <w14:ligatures w14:val="none"/>
        </w:rPr>
      </w:pPr>
      <w:r w:rsidRPr="00282D09">
        <w:rPr>
          <w:rFonts w:ascii="Times New Roman" w:eastAsia="Times New Roman" w:hAnsi="Times New Roman" w:cs="Times New Roman"/>
          <w:kern w:val="0"/>
          <w:lang w:eastAsia="en-GB"/>
          <w14:ligatures w14:val="none"/>
        </w:rPr>
        <w:t>Social trends strongly support the Glow Box business model. A growing number of UK consumers report having sensitive skin, with triggers linked to pollution, stress, lifestyle habits and exposure to harsh cosmetic ingredients (Allergy UK, 2023). As a result, people increasingly seek products that are gentle, hypoallergenic and clinically tested. Consumers also value transparency and expect brands to provide clear information about ingredients, product safety and expected results (Solomon, 2021). Additionally, social media plays a major role in shaping skincare purchasing decisions, with influencers, dermatologists and online reviews greatly influencing trust. Sustainability is another dominant social expectation, and many consumers prefer brands that use recyclable packaging and demonstrate ethical values. Glow Box aligns well with these trends, strengthening its market appeal.</w:t>
      </w:r>
    </w:p>
    <w:p w14:paraId="54B930E2" w14:textId="0E123026" w:rsidR="00282D09" w:rsidRPr="00282D09" w:rsidRDefault="00282D09" w:rsidP="00282D09">
      <w:pPr>
        <w:spacing w:after="0" w:line="240" w:lineRule="auto"/>
        <w:rPr>
          <w:rFonts w:ascii="Times New Roman" w:eastAsia="Times New Roman" w:hAnsi="Times New Roman" w:cs="Times New Roman"/>
          <w:kern w:val="0"/>
          <w:lang w:eastAsia="en-GB"/>
          <w14:ligatures w14:val="none"/>
        </w:rPr>
      </w:pPr>
    </w:p>
    <w:p w14:paraId="5F953A12" w14:textId="77777777" w:rsidR="00282D09" w:rsidRPr="00282D09" w:rsidRDefault="00282D09" w:rsidP="00282D0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82D09">
        <w:rPr>
          <w:rFonts w:ascii="Times New Roman" w:eastAsia="Times New Roman" w:hAnsi="Times New Roman" w:cs="Times New Roman"/>
          <w:b/>
          <w:bCs/>
          <w:kern w:val="0"/>
          <w:sz w:val="36"/>
          <w:szCs w:val="36"/>
          <w:lang w:eastAsia="en-GB"/>
          <w14:ligatures w14:val="none"/>
        </w:rPr>
        <w:t>Technological Factors</w:t>
      </w:r>
    </w:p>
    <w:p w14:paraId="7AE1BAEC" w14:textId="77777777" w:rsidR="00282D09" w:rsidRPr="00282D09" w:rsidRDefault="00282D09" w:rsidP="00282D0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0CCEFA3" w14:textId="0C932FDB" w:rsidR="00282D09" w:rsidRPr="00282D09" w:rsidRDefault="00282D09" w:rsidP="00282D09">
      <w:pPr>
        <w:spacing w:before="100" w:beforeAutospacing="1" w:after="100" w:afterAutospacing="1" w:line="240" w:lineRule="auto"/>
        <w:rPr>
          <w:rFonts w:ascii="Times New Roman" w:eastAsia="Times New Roman" w:hAnsi="Times New Roman" w:cs="Times New Roman"/>
          <w:kern w:val="0"/>
          <w:lang w:eastAsia="en-GB"/>
          <w14:ligatures w14:val="none"/>
        </w:rPr>
      </w:pPr>
      <w:r w:rsidRPr="00282D09">
        <w:rPr>
          <w:rFonts w:ascii="Times New Roman" w:eastAsia="Times New Roman" w:hAnsi="Times New Roman" w:cs="Times New Roman"/>
          <w:kern w:val="0"/>
          <w:lang w:eastAsia="en-GB"/>
          <w14:ligatures w14:val="none"/>
        </w:rPr>
        <w:t>Technology is central to Glow Box’s value proposition and operational efficiency. The business relies on an AI-driven analysis system that interprets customer data</w:t>
      </w:r>
      <w:r w:rsidR="000A18C6">
        <w:rPr>
          <w:rFonts w:ascii="Times New Roman" w:eastAsia="Times New Roman" w:hAnsi="Times New Roman" w:cs="Times New Roman"/>
          <w:kern w:val="0"/>
          <w:lang w:eastAsia="en-GB"/>
          <w14:ligatures w14:val="none"/>
        </w:rPr>
        <w:t>-</w:t>
      </w:r>
      <w:r w:rsidRPr="00282D09">
        <w:rPr>
          <w:rFonts w:ascii="Times New Roman" w:eastAsia="Times New Roman" w:hAnsi="Times New Roman" w:cs="Times New Roman"/>
          <w:kern w:val="0"/>
          <w:lang w:eastAsia="en-GB"/>
          <w14:ligatures w14:val="none"/>
        </w:rPr>
        <w:t>such as allergies, previous reactions and lifestyle indicators</w:t>
      </w:r>
      <w:r w:rsidR="000A18C6">
        <w:rPr>
          <w:rFonts w:ascii="Times New Roman" w:eastAsia="Times New Roman" w:hAnsi="Times New Roman" w:cs="Times New Roman"/>
          <w:kern w:val="0"/>
          <w:lang w:eastAsia="en-GB"/>
          <w14:ligatures w14:val="none"/>
        </w:rPr>
        <w:t>-</w:t>
      </w:r>
      <w:r w:rsidRPr="00282D09">
        <w:rPr>
          <w:rFonts w:ascii="Times New Roman" w:eastAsia="Times New Roman" w:hAnsi="Times New Roman" w:cs="Times New Roman"/>
          <w:kern w:val="0"/>
          <w:lang w:eastAsia="en-GB"/>
          <w14:ligatures w14:val="none"/>
        </w:rPr>
        <w:t>to generate personalised skincare recommendations (Kotler et al., 2022). Maintaining such technology requires continuous updates, algorithm training and investment in cybersecurity. The mobile app also plays an important role, allowing users to track progress, access personalised routines and receive product education. Digital marketing technologies such as SEO, social media analytics and targeted advertising further influence Glow Box’s competitiveness by shaping online visibility and customer acquisition. A failure to keep up with technological developments could weaken the business’s effectiveness in personalisation and engagement.</w:t>
      </w:r>
    </w:p>
    <w:p w14:paraId="11121C74" w14:textId="67EBB3B2" w:rsidR="00282D09" w:rsidRPr="00282D09" w:rsidRDefault="00282D09" w:rsidP="00282D09">
      <w:pPr>
        <w:spacing w:after="0" w:line="240" w:lineRule="auto"/>
        <w:rPr>
          <w:rFonts w:ascii="Times New Roman" w:eastAsia="Times New Roman" w:hAnsi="Times New Roman" w:cs="Times New Roman"/>
          <w:kern w:val="0"/>
          <w:lang w:eastAsia="en-GB"/>
          <w14:ligatures w14:val="none"/>
        </w:rPr>
      </w:pPr>
    </w:p>
    <w:p w14:paraId="7EDA589E" w14:textId="77777777" w:rsidR="00282D09" w:rsidRPr="00906411" w:rsidRDefault="00282D09" w:rsidP="00282D09">
      <w:pPr>
        <w:spacing w:before="100" w:beforeAutospacing="1" w:after="100" w:afterAutospacing="1" w:line="240" w:lineRule="auto"/>
        <w:outlineLvl w:val="1"/>
        <w:rPr>
          <w:rFonts w:ascii="Arial" w:eastAsia="Times New Roman" w:hAnsi="Arial" w:cs="Arial"/>
          <w:b/>
          <w:bCs/>
          <w:kern w:val="0"/>
          <w:lang w:eastAsia="en-GB"/>
          <w14:ligatures w14:val="none"/>
        </w:rPr>
      </w:pPr>
      <w:r w:rsidRPr="00906411">
        <w:rPr>
          <w:rFonts w:ascii="Arial" w:eastAsia="Times New Roman" w:hAnsi="Arial" w:cs="Arial"/>
          <w:b/>
          <w:bCs/>
          <w:kern w:val="0"/>
          <w:lang w:eastAsia="en-GB"/>
          <w14:ligatures w14:val="none"/>
        </w:rPr>
        <w:t>Environmental Factors</w:t>
      </w:r>
    </w:p>
    <w:p w14:paraId="1986945F" w14:textId="77777777" w:rsidR="00282D09" w:rsidRPr="00282D09" w:rsidRDefault="00282D09" w:rsidP="00282D0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AF6B470" w14:textId="77777777" w:rsidR="00282D09" w:rsidRPr="00282D09" w:rsidRDefault="00282D09" w:rsidP="00282D09">
      <w:pPr>
        <w:spacing w:before="100" w:beforeAutospacing="1" w:after="100" w:afterAutospacing="1" w:line="240" w:lineRule="auto"/>
        <w:rPr>
          <w:rFonts w:ascii="Times New Roman" w:eastAsia="Times New Roman" w:hAnsi="Times New Roman" w:cs="Times New Roman"/>
          <w:kern w:val="0"/>
          <w:lang w:eastAsia="en-GB"/>
          <w14:ligatures w14:val="none"/>
        </w:rPr>
      </w:pPr>
      <w:r w:rsidRPr="00282D09">
        <w:rPr>
          <w:rFonts w:ascii="Times New Roman" w:eastAsia="Times New Roman" w:hAnsi="Times New Roman" w:cs="Times New Roman"/>
          <w:kern w:val="0"/>
          <w:lang w:eastAsia="en-GB"/>
          <w14:ligatures w14:val="none"/>
        </w:rPr>
        <w:t>Environmental concerns increasingly influence consumer purchasing behaviour, especially in the skincare industry. Many customers expect brands to use sustainable, recyclable or biodegradable packaging and to demonstrate a commitment to reducing waste (UK Government, 2023). Glow Box’s eco-friendly packaging and optional recycling return scheme align with these expectations, enhancing the brand’s ethical image. However, sustainable materials tend to be more expensive than standard packaging options, which may increase operational costs. Additionally, future environmental regulations could require stricter compliance, including carbon emission tracking, waste reduction or the use of environmentally certified materials. While these factors present challenges, they also strengthen Glow Box’s long-term branding and appeal to environmentally conscious consumers.</w:t>
      </w:r>
    </w:p>
    <w:p w14:paraId="457501CE" w14:textId="4FF92E77" w:rsidR="00282D09" w:rsidRPr="00282D09" w:rsidRDefault="00282D09" w:rsidP="00282D09">
      <w:pPr>
        <w:spacing w:after="0" w:line="240" w:lineRule="auto"/>
        <w:rPr>
          <w:rFonts w:ascii="Times New Roman" w:eastAsia="Times New Roman" w:hAnsi="Times New Roman" w:cs="Times New Roman"/>
          <w:kern w:val="0"/>
          <w:lang w:eastAsia="en-GB"/>
          <w14:ligatures w14:val="none"/>
        </w:rPr>
      </w:pPr>
    </w:p>
    <w:p w14:paraId="34D322DD" w14:textId="77777777" w:rsidR="00282D09" w:rsidRPr="00906411" w:rsidRDefault="00282D09" w:rsidP="00282D09">
      <w:pPr>
        <w:spacing w:before="100" w:beforeAutospacing="1" w:after="100" w:afterAutospacing="1" w:line="240" w:lineRule="auto"/>
        <w:outlineLvl w:val="1"/>
        <w:rPr>
          <w:rFonts w:ascii="Arial" w:eastAsia="Times New Roman" w:hAnsi="Arial" w:cs="Arial"/>
          <w:b/>
          <w:bCs/>
          <w:kern w:val="0"/>
          <w:lang w:eastAsia="en-GB"/>
          <w14:ligatures w14:val="none"/>
        </w:rPr>
      </w:pPr>
      <w:r w:rsidRPr="00906411">
        <w:rPr>
          <w:rFonts w:ascii="Arial" w:eastAsia="Times New Roman" w:hAnsi="Arial" w:cs="Arial"/>
          <w:b/>
          <w:bCs/>
          <w:kern w:val="0"/>
          <w:lang w:eastAsia="en-GB"/>
          <w14:ligatures w14:val="none"/>
        </w:rPr>
        <w:t>Legal Factors</w:t>
      </w:r>
    </w:p>
    <w:p w14:paraId="22ED48C3" w14:textId="77777777" w:rsidR="00282D09" w:rsidRPr="00282D09" w:rsidRDefault="00282D09" w:rsidP="00282D0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40D1777" w14:textId="77777777" w:rsidR="00282D09" w:rsidRPr="00282D09" w:rsidRDefault="00282D09" w:rsidP="00282D09">
      <w:pPr>
        <w:spacing w:before="100" w:beforeAutospacing="1" w:after="100" w:afterAutospacing="1" w:line="240" w:lineRule="auto"/>
        <w:rPr>
          <w:rFonts w:ascii="Times New Roman" w:eastAsia="Times New Roman" w:hAnsi="Times New Roman" w:cs="Times New Roman"/>
          <w:kern w:val="0"/>
          <w:lang w:eastAsia="en-GB"/>
          <w14:ligatures w14:val="none"/>
        </w:rPr>
      </w:pPr>
      <w:r w:rsidRPr="00282D09">
        <w:rPr>
          <w:rFonts w:ascii="Times New Roman" w:eastAsia="Times New Roman" w:hAnsi="Times New Roman" w:cs="Times New Roman"/>
          <w:kern w:val="0"/>
          <w:lang w:eastAsia="en-GB"/>
          <w14:ligatures w14:val="none"/>
        </w:rPr>
        <w:t>Glow Box must comply with a range of legal requirements, particularly because it collects sensitive personal data relating to skin conditions, allergies and health. Compliance with GDPR is essential, requiring the business to implement secure data storage, encrypted systems, strong cybersecurity measures and transparent privacy policies (UK Government, 2023). Customers must clearly understand how their data is used and stored. Additionally, consumer rights legislation requires the business to offer transparent pricing, clear subscription terms and easy cancellation procedures. Glow Box must also ensure that all products included in subscription boxes meet UK cosmetic safety laws, including appropriate labelling, ingredient listings and allergen disclosure. Adhering to these regulations protects the business from legal risks and increases customer trust.</w:t>
      </w:r>
    </w:p>
    <w:p w14:paraId="24DB06A9" w14:textId="690C5395" w:rsidR="00943B30" w:rsidRDefault="00943B30" w:rsidP="000B04E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123D2ED" w14:textId="65459A98" w:rsidR="00676DC1" w:rsidRPr="00676DC1" w:rsidRDefault="00676DC1" w:rsidP="00676DC1">
      <w:pPr>
        <w:spacing w:before="100" w:beforeAutospacing="1" w:after="100" w:afterAutospacing="1" w:line="240" w:lineRule="auto"/>
        <w:outlineLvl w:val="1"/>
        <w:rPr>
          <w:rFonts w:ascii="Arial" w:eastAsia="Times New Roman" w:hAnsi="Arial" w:cs="Arial"/>
          <w:b/>
          <w:bCs/>
          <w:kern w:val="0"/>
          <w:lang w:eastAsia="en-GB"/>
          <w14:ligatures w14:val="none"/>
        </w:rPr>
      </w:pPr>
      <w:r w:rsidRPr="00676DC1">
        <w:rPr>
          <w:rFonts w:ascii="Arial" w:eastAsia="Times New Roman" w:hAnsi="Arial" w:cs="Arial"/>
          <w:b/>
          <w:bCs/>
          <w:kern w:val="0"/>
          <w:lang w:eastAsia="en-GB"/>
          <w14:ligatures w14:val="none"/>
        </w:rPr>
        <w:lastRenderedPageBreak/>
        <w:t>3.2 SWOT Analysis</w:t>
      </w:r>
      <w:r w:rsidR="00FA3F8E">
        <w:rPr>
          <w:rFonts w:ascii="Times New Roman" w:eastAsia="Times New Roman" w:hAnsi="Times New Roman" w:cs="Times New Roman"/>
          <w:noProof/>
          <w:kern w:val="0"/>
          <w:lang w:eastAsia="en-GB"/>
        </w:rPr>
        <w:drawing>
          <wp:inline distT="0" distB="0" distL="0" distR="0" wp14:anchorId="3A48B7EC" wp14:editId="4AFF78A0">
            <wp:extent cx="4422913" cy="4422913"/>
            <wp:effectExtent l="0" t="0" r="0" b="0"/>
            <wp:docPr id="107656478" name="Picture 3" descr="A diagram of swo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56478" name="Picture 3" descr="A diagram of swot analysi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476567" cy="4476567"/>
                    </a:xfrm>
                    <a:prstGeom prst="rect">
                      <a:avLst/>
                    </a:prstGeom>
                  </pic:spPr>
                </pic:pic>
              </a:graphicData>
            </a:graphic>
          </wp:inline>
        </w:drawing>
      </w:r>
    </w:p>
    <w:p w14:paraId="48C2D3A4" w14:textId="62A0D3F8" w:rsidR="00676DC1" w:rsidRDefault="00676DC1" w:rsidP="00676DC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C56DB14" w14:textId="77777777" w:rsidR="00D64405" w:rsidRDefault="00D64405" w:rsidP="00676DC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46C3191" w14:textId="1973B8DF" w:rsidR="00383A2F" w:rsidRPr="00383A2F" w:rsidRDefault="00383A2F" w:rsidP="00383A2F">
      <w:pPr>
        <w:spacing w:after="0" w:line="240" w:lineRule="auto"/>
        <w:rPr>
          <w:rFonts w:ascii="Times New Roman" w:eastAsia="Times New Roman" w:hAnsi="Times New Roman" w:cs="Times New Roman"/>
          <w:kern w:val="0"/>
          <w:lang w:eastAsia="en-GB"/>
          <w14:ligatures w14:val="none"/>
        </w:rPr>
      </w:pPr>
    </w:p>
    <w:p w14:paraId="15B63F80" w14:textId="77777777" w:rsidR="00383A2F" w:rsidRPr="0037442E" w:rsidRDefault="00383A2F" w:rsidP="00383A2F">
      <w:pPr>
        <w:spacing w:before="100" w:beforeAutospacing="1" w:after="100" w:afterAutospacing="1" w:line="240" w:lineRule="auto"/>
        <w:outlineLvl w:val="1"/>
        <w:rPr>
          <w:rFonts w:ascii="Arial" w:eastAsia="Times New Roman" w:hAnsi="Arial" w:cs="Arial"/>
          <w:b/>
          <w:bCs/>
          <w:kern w:val="0"/>
          <w:lang w:eastAsia="en-GB"/>
          <w14:ligatures w14:val="none"/>
        </w:rPr>
      </w:pPr>
      <w:r w:rsidRPr="0037442E">
        <w:rPr>
          <w:rFonts w:ascii="Arial" w:eastAsia="Times New Roman" w:hAnsi="Arial" w:cs="Arial"/>
          <w:b/>
          <w:bCs/>
          <w:kern w:val="0"/>
          <w:lang w:eastAsia="en-GB"/>
          <w14:ligatures w14:val="none"/>
        </w:rPr>
        <w:t>SWOT Analysis</w:t>
      </w:r>
    </w:p>
    <w:p w14:paraId="0BAED158" w14:textId="77777777" w:rsidR="00383A2F" w:rsidRPr="00383A2F" w:rsidRDefault="00383A2F" w:rsidP="00383A2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CA1C727" w14:textId="77777777" w:rsidR="00383A2F" w:rsidRPr="00383A2F" w:rsidRDefault="00383A2F" w:rsidP="00383A2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83A2F">
        <w:rPr>
          <w:rFonts w:ascii="Times New Roman" w:eastAsia="Times New Roman" w:hAnsi="Times New Roman" w:cs="Times New Roman"/>
          <w:b/>
          <w:bCs/>
          <w:kern w:val="0"/>
          <w:sz w:val="27"/>
          <w:szCs w:val="27"/>
          <w:lang w:eastAsia="en-GB"/>
          <w14:ligatures w14:val="none"/>
        </w:rPr>
        <w:t>Strengths</w:t>
      </w:r>
    </w:p>
    <w:p w14:paraId="7562071F" w14:textId="77777777" w:rsidR="00383A2F" w:rsidRPr="00383A2F" w:rsidRDefault="00383A2F" w:rsidP="00383A2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CB815F0" w14:textId="3A83B254" w:rsidR="00383A2F" w:rsidRPr="00383A2F" w:rsidRDefault="00383A2F" w:rsidP="00383A2F">
      <w:pPr>
        <w:spacing w:before="100" w:beforeAutospacing="1" w:after="100" w:afterAutospacing="1" w:line="240" w:lineRule="auto"/>
        <w:rPr>
          <w:rFonts w:ascii="Times New Roman" w:eastAsia="Times New Roman" w:hAnsi="Times New Roman" w:cs="Times New Roman"/>
          <w:kern w:val="0"/>
          <w:lang w:eastAsia="en-GB"/>
          <w14:ligatures w14:val="none"/>
        </w:rPr>
      </w:pPr>
      <w:r w:rsidRPr="00383A2F">
        <w:rPr>
          <w:rFonts w:ascii="Times New Roman" w:eastAsia="Times New Roman" w:hAnsi="Times New Roman" w:cs="Times New Roman"/>
          <w:kern w:val="0"/>
          <w:lang w:eastAsia="en-GB"/>
          <w14:ligatures w14:val="none"/>
        </w:rPr>
        <w:t xml:space="preserve">Glow Box has several strong competitive advantages that support its market positioning. One of the main strengths is its specialisation in sensitive skin, which differentiates the business from mainstream beauty subscription services that focus mostly on trends rather than health and safety. This niche approach allows Glow Box to target customers who often struggle to find suitable products. Another key strength is the use of AI-driven personalisation, which ensures that the products selected for each customer match their specific needs based on skin concerns, allergies and previous reactions. This reduces uncertainty and builds trust. The inclusion of dermatologist-approved brands such as La Roche-Posay, Avene and CeraVe further strengthens credibility and reassures customers that the products are clinically tested </w:t>
      </w:r>
      <w:r w:rsidRPr="00383A2F">
        <w:rPr>
          <w:rFonts w:ascii="Times New Roman" w:eastAsia="Times New Roman" w:hAnsi="Times New Roman" w:cs="Times New Roman"/>
          <w:kern w:val="0"/>
          <w:lang w:eastAsia="en-GB"/>
          <w14:ligatures w14:val="none"/>
        </w:rPr>
        <w:lastRenderedPageBreak/>
        <w:t>and safe to use. Additionally, the subscription model provides recurring monthly revenue, supporting financial stability during the first year of operations. Glow Box’s commitment to sustainability</w:t>
      </w:r>
      <w:r w:rsidR="0037442E">
        <w:rPr>
          <w:rFonts w:ascii="Times New Roman" w:eastAsia="Times New Roman" w:hAnsi="Times New Roman" w:cs="Times New Roman"/>
          <w:kern w:val="0"/>
          <w:lang w:eastAsia="en-GB"/>
          <w14:ligatures w14:val="none"/>
        </w:rPr>
        <w:t>-</w:t>
      </w:r>
      <w:r w:rsidRPr="00383A2F">
        <w:rPr>
          <w:rFonts w:ascii="Times New Roman" w:eastAsia="Times New Roman" w:hAnsi="Times New Roman" w:cs="Times New Roman"/>
          <w:kern w:val="0"/>
          <w:lang w:eastAsia="en-GB"/>
          <w14:ligatures w14:val="none"/>
        </w:rPr>
        <w:t>through recyclable packaging and eco-friendly practices</w:t>
      </w:r>
      <w:r w:rsidR="0037442E">
        <w:rPr>
          <w:rFonts w:ascii="Times New Roman" w:eastAsia="Times New Roman" w:hAnsi="Times New Roman" w:cs="Times New Roman"/>
          <w:kern w:val="0"/>
          <w:lang w:eastAsia="en-GB"/>
          <w14:ligatures w14:val="none"/>
        </w:rPr>
        <w:t>-</w:t>
      </w:r>
      <w:r w:rsidRPr="00383A2F">
        <w:rPr>
          <w:rFonts w:ascii="Times New Roman" w:eastAsia="Times New Roman" w:hAnsi="Times New Roman" w:cs="Times New Roman"/>
          <w:kern w:val="0"/>
          <w:lang w:eastAsia="en-GB"/>
          <w14:ligatures w14:val="none"/>
        </w:rPr>
        <w:t>also appeals to environmentally conscious consumers and enhances brand value.</w:t>
      </w:r>
    </w:p>
    <w:p w14:paraId="4D2E84C2" w14:textId="2F791B03" w:rsidR="00383A2F" w:rsidRPr="00383A2F" w:rsidRDefault="00383A2F" w:rsidP="00383A2F">
      <w:pPr>
        <w:spacing w:after="0" w:line="240" w:lineRule="auto"/>
        <w:rPr>
          <w:rFonts w:ascii="Times New Roman" w:eastAsia="Times New Roman" w:hAnsi="Times New Roman" w:cs="Times New Roman"/>
          <w:kern w:val="0"/>
          <w:lang w:eastAsia="en-GB"/>
          <w14:ligatures w14:val="none"/>
        </w:rPr>
      </w:pPr>
    </w:p>
    <w:p w14:paraId="0CA7E7E3" w14:textId="77777777" w:rsidR="00383A2F" w:rsidRPr="00383A2F" w:rsidRDefault="00383A2F" w:rsidP="00383A2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83A2F">
        <w:rPr>
          <w:rFonts w:ascii="Times New Roman" w:eastAsia="Times New Roman" w:hAnsi="Times New Roman" w:cs="Times New Roman"/>
          <w:b/>
          <w:bCs/>
          <w:kern w:val="0"/>
          <w:sz w:val="27"/>
          <w:szCs w:val="27"/>
          <w:lang w:eastAsia="en-GB"/>
          <w14:ligatures w14:val="none"/>
        </w:rPr>
        <w:t>Weaknesses</w:t>
      </w:r>
    </w:p>
    <w:p w14:paraId="2077A80A" w14:textId="77777777" w:rsidR="00383A2F" w:rsidRPr="00383A2F" w:rsidRDefault="00383A2F" w:rsidP="00383A2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976406E" w14:textId="77777777" w:rsidR="00383A2F" w:rsidRPr="00383A2F" w:rsidRDefault="00383A2F" w:rsidP="00383A2F">
      <w:pPr>
        <w:spacing w:before="100" w:beforeAutospacing="1" w:after="100" w:afterAutospacing="1" w:line="240" w:lineRule="auto"/>
        <w:rPr>
          <w:rFonts w:ascii="Times New Roman" w:eastAsia="Times New Roman" w:hAnsi="Times New Roman" w:cs="Times New Roman"/>
          <w:kern w:val="0"/>
          <w:lang w:eastAsia="en-GB"/>
          <w14:ligatures w14:val="none"/>
        </w:rPr>
      </w:pPr>
      <w:r w:rsidRPr="00383A2F">
        <w:rPr>
          <w:rFonts w:ascii="Times New Roman" w:eastAsia="Times New Roman" w:hAnsi="Times New Roman" w:cs="Times New Roman"/>
          <w:kern w:val="0"/>
          <w:lang w:eastAsia="en-GB"/>
          <w14:ligatures w14:val="none"/>
        </w:rPr>
        <w:t>Despite its strengths, Glow Box faces several internal challenges. As a new business, it currently has low brand recognition, which may make it difficult to compete with well-established beauty subscription companies. Building trust takes time and requires consistent marketing efforts. Another weakness is the strong dependency on external suppliers that provide sensitive-skin-safe products. Any delays, shortages or price changes from suppliers could disrupt Glow Box’s ability to deliver boxes on time. The business also operates with a limited marketing budget in its early stages, which may restrict how quickly it can expand its customer base. In addition, the AI personalisation system relies heavily on customers providing honest and accurate answers in the skin quiz. If users give incomplete or incorrect information, product matching may be less effective, potentially impacting customer satisfaction.</w:t>
      </w:r>
    </w:p>
    <w:p w14:paraId="389289AA" w14:textId="540E0A52" w:rsidR="00383A2F" w:rsidRPr="00383A2F" w:rsidRDefault="00383A2F" w:rsidP="00383A2F">
      <w:pPr>
        <w:spacing w:after="0" w:line="240" w:lineRule="auto"/>
        <w:rPr>
          <w:rFonts w:ascii="Times New Roman" w:eastAsia="Times New Roman" w:hAnsi="Times New Roman" w:cs="Times New Roman"/>
          <w:kern w:val="0"/>
          <w:lang w:eastAsia="en-GB"/>
          <w14:ligatures w14:val="none"/>
        </w:rPr>
      </w:pPr>
    </w:p>
    <w:p w14:paraId="68B80018" w14:textId="77777777" w:rsidR="00383A2F" w:rsidRPr="00383A2F" w:rsidRDefault="00383A2F" w:rsidP="00383A2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83A2F">
        <w:rPr>
          <w:rFonts w:ascii="Times New Roman" w:eastAsia="Times New Roman" w:hAnsi="Times New Roman" w:cs="Times New Roman"/>
          <w:b/>
          <w:bCs/>
          <w:kern w:val="0"/>
          <w:sz w:val="27"/>
          <w:szCs w:val="27"/>
          <w:lang w:eastAsia="en-GB"/>
          <w14:ligatures w14:val="none"/>
        </w:rPr>
        <w:t>Opportunities</w:t>
      </w:r>
    </w:p>
    <w:p w14:paraId="75E8818A" w14:textId="77777777" w:rsidR="00383A2F" w:rsidRPr="00383A2F" w:rsidRDefault="00383A2F" w:rsidP="00383A2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3BE8FC1" w14:textId="77777777" w:rsidR="00383A2F" w:rsidRPr="00383A2F" w:rsidRDefault="00383A2F" w:rsidP="00383A2F">
      <w:pPr>
        <w:spacing w:before="100" w:beforeAutospacing="1" w:after="100" w:afterAutospacing="1" w:line="240" w:lineRule="auto"/>
        <w:rPr>
          <w:rFonts w:ascii="Times New Roman" w:eastAsia="Times New Roman" w:hAnsi="Times New Roman" w:cs="Times New Roman"/>
          <w:kern w:val="0"/>
          <w:lang w:eastAsia="en-GB"/>
          <w14:ligatures w14:val="none"/>
        </w:rPr>
      </w:pPr>
      <w:r w:rsidRPr="00383A2F">
        <w:rPr>
          <w:rFonts w:ascii="Times New Roman" w:eastAsia="Times New Roman" w:hAnsi="Times New Roman" w:cs="Times New Roman"/>
          <w:kern w:val="0"/>
          <w:lang w:eastAsia="en-GB"/>
          <w14:ligatures w14:val="none"/>
        </w:rPr>
        <w:t>Glow Box operates in a market with strong growth potential, offering several promising opportunities. Demand for personalised skincare continues to rise as more consumers seek tailored solutions rather than experimenting with products through trial and error (Statista, 2024). There is also a wider trend towards ingredient transparency and scientific skincare, which aligns closely with Glow Box’s brand positioning. Another opportunity is the potential for professional partnerships with dermatologists, pharmacists or wellness clinics, which would increase credibility and expand Glow Box’s reach. Additionally, long-term expansion into European markets could significantly grow the customer base, especially since sensitive skin concerns are common throughout Europe. The business may also explore future product development, such as creating an in-house range of sensitive-skin formulations.</w:t>
      </w:r>
    </w:p>
    <w:p w14:paraId="709DCC48" w14:textId="39AEC986" w:rsidR="00383A2F" w:rsidRPr="00383A2F" w:rsidRDefault="00383A2F" w:rsidP="00383A2F">
      <w:pPr>
        <w:spacing w:after="0" w:line="240" w:lineRule="auto"/>
        <w:rPr>
          <w:rFonts w:ascii="Times New Roman" w:eastAsia="Times New Roman" w:hAnsi="Times New Roman" w:cs="Times New Roman"/>
          <w:kern w:val="0"/>
          <w:lang w:eastAsia="en-GB"/>
          <w14:ligatures w14:val="none"/>
        </w:rPr>
      </w:pPr>
    </w:p>
    <w:p w14:paraId="70B2D905" w14:textId="77777777" w:rsidR="00383A2F" w:rsidRPr="00383A2F" w:rsidRDefault="00383A2F" w:rsidP="00383A2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83A2F">
        <w:rPr>
          <w:rFonts w:ascii="Times New Roman" w:eastAsia="Times New Roman" w:hAnsi="Times New Roman" w:cs="Times New Roman"/>
          <w:b/>
          <w:bCs/>
          <w:kern w:val="0"/>
          <w:sz w:val="27"/>
          <w:szCs w:val="27"/>
          <w:lang w:eastAsia="en-GB"/>
          <w14:ligatures w14:val="none"/>
        </w:rPr>
        <w:t>Threats</w:t>
      </w:r>
    </w:p>
    <w:p w14:paraId="183C8031" w14:textId="77777777" w:rsidR="00383A2F" w:rsidRPr="00383A2F" w:rsidRDefault="00383A2F" w:rsidP="00383A2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40E9684" w14:textId="77777777" w:rsidR="00383A2F" w:rsidRPr="00383A2F" w:rsidRDefault="00383A2F" w:rsidP="00383A2F">
      <w:pPr>
        <w:spacing w:before="100" w:beforeAutospacing="1" w:after="100" w:afterAutospacing="1" w:line="240" w:lineRule="auto"/>
        <w:rPr>
          <w:rFonts w:ascii="Times New Roman" w:eastAsia="Times New Roman" w:hAnsi="Times New Roman" w:cs="Times New Roman"/>
          <w:kern w:val="0"/>
          <w:lang w:eastAsia="en-GB"/>
          <w14:ligatures w14:val="none"/>
        </w:rPr>
      </w:pPr>
      <w:r w:rsidRPr="00383A2F">
        <w:rPr>
          <w:rFonts w:ascii="Times New Roman" w:eastAsia="Times New Roman" w:hAnsi="Times New Roman" w:cs="Times New Roman"/>
          <w:kern w:val="0"/>
          <w:lang w:eastAsia="en-GB"/>
          <w14:ligatures w14:val="none"/>
        </w:rPr>
        <w:t xml:space="preserve">Several external threats may impact Glow Box’s performance. The UK beauty subscription market is highly competitive, with companies like Glossy Box, Birchbox and Look Fantastic already holding strong positions. This makes customer acquisition more challenging. Subscription fatigue is another major threat, as many consumers reduce the number of </w:t>
      </w:r>
      <w:r w:rsidRPr="00383A2F">
        <w:rPr>
          <w:rFonts w:ascii="Times New Roman" w:eastAsia="Times New Roman" w:hAnsi="Times New Roman" w:cs="Times New Roman"/>
          <w:kern w:val="0"/>
          <w:lang w:eastAsia="en-GB"/>
          <w14:ligatures w14:val="none"/>
        </w:rPr>
        <w:lastRenderedPageBreak/>
        <w:t>monthly services they pay for, especially during times of financial uncertainty. Economic instability, such as rising inflation or reduced disposable income, may also cause customers to cancel subscriptions or avoid new commitments. Additionally, in the digital age, brand reputation is extremely sensitive. A single negative viral review or misleading social media post could damage Glow Box’s credibility and affect customer trust. Managing these risks requires strong communication, quality control and consistent customer engagement.</w:t>
      </w:r>
    </w:p>
    <w:p w14:paraId="0C4E5E39" w14:textId="32CC2AF1" w:rsidR="00383A2F" w:rsidRPr="00383A2F" w:rsidRDefault="00383A2F" w:rsidP="00163CE4">
      <w:pPr>
        <w:spacing w:after="0" w:line="240" w:lineRule="auto"/>
        <w:rPr>
          <w:rFonts w:ascii="Times New Roman" w:eastAsia="Times New Roman" w:hAnsi="Times New Roman" w:cs="Times New Roman"/>
          <w:kern w:val="0"/>
          <w:lang w:eastAsia="en-GB"/>
          <w14:ligatures w14:val="none"/>
        </w:rPr>
      </w:pPr>
    </w:p>
    <w:p w14:paraId="53243363" w14:textId="77777777" w:rsidR="00F71BA0" w:rsidRDefault="00F71BA0" w:rsidP="002C0620">
      <w:pPr>
        <w:spacing w:before="100" w:beforeAutospacing="1" w:after="100" w:afterAutospacing="1" w:line="240" w:lineRule="auto"/>
        <w:outlineLvl w:val="1"/>
        <w:rPr>
          <w:rFonts w:ascii="Arial" w:eastAsia="Times New Roman" w:hAnsi="Arial" w:cs="Arial"/>
          <w:b/>
          <w:bCs/>
          <w:kern w:val="0"/>
          <w:lang w:eastAsia="en-GB"/>
          <w14:ligatures w14:val="none"/>
        </w:rPr>
      </w:pPr>
    </w:p>
    <w:p w14:paraId="33A3B9A0" w14:textId="1719C841" w:rsidR="002C0620" w:rsidRPr="002C0620" w:rsidRDefault="002C0620" w:rsidP="002C0620">
      <w:pPr>
        <w:spacing w:before="100" w:beforeAutospacing="1" w:after="100" w:afterAutospacing="1" w:line="240" w:lineRule="auto"/>
        <w:outlineLvl w:val="1"/>
        <w:rPr>
          <w:rFonts w:ascii="Arial" w:eastAsia="Times New Roman" w:hAnsi="Arial" w:cs="Arial"/>
          <w:b/>
          <w:bCs/>
          <w:kern w:val="0"/>
          <w:lang w:eastAsia="en-GB"/>
          <w14:ligatures w14:val="none"/>
        </w:rPr>
      </w:pPr>
      <w:r w:rsidRPr="002C0620">
        <w:rPr>
          <w:rFonts w:ascii="Arial" w:eastAsia="Times New Roman" w:hAnsi="Arial" w:cs="Arial"/>
          <w:b/>
          <w:bCs/>
          <w:kern w:val="0"/>
          <w:lang w:eastAsia="en-GB"/>
          <w14:ligatures w14:val="none"/>
        </w:rPr>
        <w:t>3.3 Porter’s Five Forces</w:t>
      </w:r>
    </w:p>
    <w:p w14:paraId="110AFFCE" w14:textId="77777777" w:rsidR="002C0620" w:rsidRPr="002C0620" w:rsidRDefault="002C0620" w:rsidP="002C0620">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95383C4" w14:textId="15B9C76A" w:rsidR="009464D0" w:rsidRDefault="007664E2" w:rsidP="002C0620">
      <w:pPr>
        <w:spacing w:before="100" w:beforeAutospacing="1" w:after="100" w:afterAutospacing="1" w:line="240" w:lineRule="auto"/>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noProof/>
          <w:kern w:val="0"/>
          <w:lang w:eastAsia="en-GB"/>
        </w:rPr>
        <w:drawing>
          <wp:inline distT="0" distB="0" distL="0" distR="0" wp14:anchorId="1323DE70" wp14:editId="3AC7F493">
            <wp:extent cx="5731510" cy="3820795"/>
            <wp:effectExtent l="0" t="0" r="0" b="1905"/>
            <wp:docPr id="1870197792" name="Picture 4" descr="A diagram of a five for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197792" name="Picture 4" descr="A diagram of a five forces&#10;&#10;AI-generated content may be incorrect."/>
                    <pic:cNvPicPr/>
                  </pic:nvPicPr>
                  <pic:blipFill>
                    <a:blip r:embed="rId8"/>
                    <a:stretch>
                      <a:fillRect/>
                    </a:stretch>
                  </pic:blipFill>
                  <pic:spPr>
                    <a:xfrm>
                      <a:off x="0" y="0"/>
                      <a:ext cx="5731510" cy="3820795"/>
                    </a:xfrm>
                    <a:prstGeom prst="rect">
                      <a:avLst/>
                    </a:prstGeom>
                  </pic:spPr>
                </pic:pic>
              </a:graphicData>
            </a:graphic>
          </wp:inline>
        </w:drawing>
      </w:r>
    </w:p>
    <w:p w14:paraId="6C08F856" w14:textId="77777777" w:rsidR="009464D0" w:rsidRDefault="009464D0" w:rsidP="002C0620">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40D3AA34" w14:textId="77777777" w:rsidR="009464D0" w:rsidRDefault="009464D0" w:rsidP="002C0620">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044DF31E" w14:textId="77777777" w:rsidR="009464D0" w:rsidRDefault="009464D0" w:rsidP="002C0620">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363C2240" w14:textId="77777777" w:rsidR="009464D0" w:rsidRDefault="009464D0" w:rsidP="002C0620">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1C76C3C0" w14:textId="77777777" w:rsidR="009464D0" w:rsidRDefault="009464D0" w:rsidP="002C0620">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2646E7C0" w14:textId="77777777" w:rsidR="009464D0" w:rsidRDefault="009464D0" w:rsidP="002C0620">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7C433ED6" w14:textId="77777777" w:rsidR="00056D12" w:rsidRPr="0037442E" w:rsidRDefault="00056D12" w:rsidP="00056D12">
      <w:pPr>
        <w:spacing w:before="100" w:beforeAutospacing="1" w:after="100" w:afterAutospacing="1" w:line="240" w:lineRule="auto"/>
        <w:outlineLvl w:val="1"/>
        <w:rPr>
          <w:rFonts w:ascii="Arial" w:eastAsia="Times New Roman" w:hAnsi="Arial" w:cs="Arial"/>
          <w:b/>
          <w:bCs/>
          <w:kern w:val="0"/>
          <w:lang w:eastAsia="en-GB"/>
          <w14:ligatures w14:val="none"/>
        </w:rPr>
      </w:pPr>
      <w:r w:rsidRPr="0037442E">
        <w:rPr>
          <w:rFonts w:ascii="Arial" w:eastAsia="Times New Roman" w:hAnsi="Arial" w:cs="Arial"/>
          <w:b/>
          <w:bCs/>
          <w:kern w:val="0"/>
          <w:lang w:eastAsia="en-GB"/>
          <w14:ligatures w14:val="none"/>
        </w:rPr>
        <w:lastRenderedPageBreak/>
        <w:t>Porter’s Five Forces Analysis</w:t>
      </w:r>
    </w:p>
    <w:p w14:paraId="3ACEA582" w14:textId="77777777" w:rsidR="00056D12" w:rsidRPr="00056D12" w:rsidRDefault="00056D12" w:rsidP="00056D12">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4B0392E" w14:textId="77777777" w:rsidR="00056D12" w:rsidRPr="00056D12" w:rsidRDefault="00056D12" w:rsidP="00056D1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56D12">
        <w:rPr>
          <w:rFonts w:ascii="Times New Roman" w:eastAsia="Times New Roman" w:hAnsi="Times New Roman" w:cs="Times New Roman"/>
          <w:b/>
          <w:bCs/>
          <w:kern w:val="0"/>
          <w:sz w:val="27"/>
          <w:szCs w:val="27"/>
          <w:lang w:eastAsia="en-GB"/>
          <w14:ligatures w14:val="none"/>
        </w:rPr>
        <w:t>Threat of New Entrants – Moderate</w:t>
      </w:r>
    </w:p>
    <w:p w14:paraId="178E6218" w14:textId="77777777" w:rsidR="00056D12" w:rsidRPr="00056D12" w:rsidRDefault="00056D12" w:rsidP="00056D12">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C55F807" w14:textId="77777777" w:rsidR="00056D12" w:rsidRPr="00056D12" w:rsidRDefault="00056D12" w:rsidP="00056D12">
      <w:pPr>
        <w:spacing w:before="100" w:beforeAutospacing="1" w:after="100" w:afterAutospacing="1" w:line="240" w:lineRule="auto"/>
        <w:rPr>
          <w:rFonts w:ascii="Times New Roman" w:eastAsia="Times New Roman" w:hAnsi="Times New Roman" w:cs="Times New Roman"/>
          <w:kern w:val="0"/>
          <w:lang w:eastAsia="en-GB"/>
          <w14:ligatures w14:val="none"/>
        </w:rPr>
      </w:pPr>
      <w:r w:rsidRPr="00056D12">
        <w:rPr>
          <w:rFonts w:ascii="Times New Roman" w:eastAsia="Times New Roman" w:hAnsi="Times New Roman" w:cs="Times New Roman"/>
          <w:kern w:val="0"/>
          <w:lang w:eastAsia="en-GB"/>
          <w14:ligatures w14:val="none"/>
        </w:rPr>
        <w:t>Entering the online skincare subscription market requires relatively low initial investment, which means new businesses can easily set up an e-commerce platform and begin selling curated products. However, despite the low financial entry barriers, Glow Box benefits from several factors that make imitation more difficult. Its niche focus on sensitive-skin consumers, combined with its AI-driven personalisation system, creates a more specialised and sophisticated model that new entrants may struggle to replicate quickly. Additionally, building relationships with reputable dermatologist-approved brands takes time and trust, which also acts as a barrier for newcomers trying to enter the same market segment.</w:t>
      </w:r>
    </w:p>
    <w:p w14:paraId="1918FF0F" w14:textId="35727FBF" w:rsidR="00056D12" w:rsidRPr="00056D12" w:rsidRDefault="00056D12" w:rsidP="00056D12">
      <w:pPr>
        <w:spacing w:after="0" w:line="240" w:lineRule="auto"/>
        <w:rPr>
          <w:rFonts w:ascii="Times New Roman" w:eastAsia="Times New Roman" w:hAnsi="Times New Roman" w:cs="Times New Roman"/>
          <w:kern w:val="0"/>
          <w:lang w:eastAsia="en-GB"/>
          <w14:ligatures w14:val="none"/>
        </w:rPr>
      </w:pPr>
    </w:p>
    <w:p w14:paraId="6EFDA61B" w14:textId="77777777" w:rsidR="00056D12" w:rsidRPr="00056D12" w:rsidRDefault="00056D12" w:rsidP="00056D1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56D12">
        <w:rPr>
          <w:rFonts w:ascii="Times New Roman" w:eastAsia="Times New Roman" w:hAnsi="Times New Roman" w:cs="Times New Roman"/>
          <w:b/>
          <w:bCs/>
          <w:kern w:val="0"/>
          <w:sz w:val="27"/>
          <w:szCs w:val="27"/>
          <w:lang w:eastAsia="en-GB"/>
          <w14:ligatures w14:val="none"/>
        </w:rPr>
        <w:t>Supplier Power – Moderate to High</w:t>
      </w:r>
    </w:p>
    <w:p w14:paraId="13DA5AD7" w14:textId="77777777" w:rsidR="00056D12" w:rsidRPr="00056D12" w:rsidRDefault="00056D12" w:rsidP="00056D12">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ADB9557" w14:textId="77777777" w:rsidR="00056D12" w:rsidRPr="00056D12" w:rsidRDefault="00056D12" w:rsidP="00056D12">
      <w:pPr>
        <w:spacing w:before="100" w:beforeAutospacing="1" w:after="100" w:afterAutospacing="1" w:line="240" w:lineRule="auto"/>
        <w:rPr>
          <w:rFonts w:ascii="Times New Roman" w:eastAsia="Times New Roman" w:hAnsi="Times New Roman" w:cs="Times New Roman"/>
          <w:kern w:val="0"/>
          <w:lang w:eastAsia="en-GB"/>
          <w14:ligatures w14:val="none"/>
        </w:rPr>
      </w:pPr>
      <w:r w:rsidRPr="00056D12">
        <w:rPr>
          <w:rFonts w:ascii="Times New Roman" w:eastAsia="Times New Roman" w:hAnsi="Times New Roman" w:cs="Times New Roman"/>
          <w:kern w:val="0"/>
          <w:lang w:eastAsia="en-GB"/>
          <w14:ligatures w14:val="none"/>
        </w:rPr>
        <w:t>Glow Box relies heavily on reputable sensitive-skin brands such as La Roche-Posay, CeraVe and Avene. These brands hold strong bargaining power because of their established scientific credibility and high consumer trust (Nielsen, 2022). Since Glow Box needs high-quality, hypoallergenic formulations to maintain its brand promise, the number of alternative suppliers is limited. This gives suppliers the ability to influence pricing, product availability and delivery schedules. To reduce this risk, Glow Box must diversify its supplier base and build long-term contracts that ensure product consistency and stable pricing.</w:t>
      </w:r>
    </w:p>
    <w:p w14:paraId="14FCFD08" w14:textId="6BDDC243" w:rsidR="00056D12" w:rsidRPr="00056D12" w:rsidRDefault="00056D12" w:rsidP="00056D12">
      <w:pPr>
        <w:spacing w:after="0" w:line="240" w:lineRule="auto"/>
        <w:rPr>
          <w:rFonts w:ascii="Times New Roman" w:eastAsia="Times New Roman" w:hAnsi="Times New Roman" w:cs="Times New Roman"/>
          <w:kern w:val="0"/>
          <w:lang w:eastAsia="en-GB"/>
          <w14:ligatures w14:val="none"/>
        </w:rPr>
      </w:pPr>
    </w:p>
    <w:p w14:paraId="4883C7E4" w14:textId="7DC0E352" w:rsidR="00056D12" w:rsidRPr="00056D12" w:rsidRDefault="00056D12" w:rsidP="00056D1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56D12">
        <w:rPr>
          <w:rFonts w:ascii="Times New Roman" w:eastAsia="Times New Roman" w:hAnsi="Times New Roman" w:cs="Times New Roman"/>
          <w:b/>
          <w:bCs/>
          <w:kern w:val="0"/>
          <w:sz w:val="27"/>
          <w:szCs w:val="27"/>
          <w:lang w:eastAsia="en-GB"/>
          <w14:ligatures w14:val="none"/>
        </w:rPr>
        <w:t>Buyer Power – Hig</w:t>
      </w:r>
      <w:r>
        <w:rPr>
          <w:rFonts w:ascii="Times New Roman" w:eastAsia="Times New Roman" w:hAnsi="Times New Roman" w:cs="Times New Roman"/>
          <w:b/>
          <w:bCs/>
          <w:kern w:val="0"/>
          <w:sz w:val="27"/>
          <w:szCs w:val="27"/>
          <w:lang w:eastAsia="en-GB"/>
          <w14:ligatures w14:val="none"/>
        </w:rPr>
        <w:t>h</w:t>
      </w:r>
    </w:p>
    <w:p w14:paraId="02984136" w14:textId="77777777" w:rsidR="00056D12" w:rsidRPr="00056D12" w:rsidRDefault="00056D12" w:rsidP="00056D12">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60A5DC1" w14:textId="77777777" w:rsidR="00056D12" w:rsidRPr="00056D12" w:rsidRDefault="00056D12" w:rsidP="00056D12">
      <w:pPr>
        <w:spacing w:before="100" w:beforeAutospacing="1" w:after="100" w:afterAutospacing="1" w:line="240" w:lineRule="auto"/>
        <w:rPr>
          <w:rFonts w:ascii="Times New Roman" w:eastAsia="Times New Roman" w:hAnsi="Times New Roman" w:cs="Times New Roman"/>
          <w:kern w:val="0"/>
          <w:lang w:eastAsia="en-GB"/>
          <w14:ligatures w14:val="none"/>
        </w:rPr>
      </w:pPr>
      <w:r w:rsidRPr="00056D12">
        <w:rPr>
          <w:rFonts w:ascii="Times New Roman" w:eastAsia="Times New Roman" w:hAnsi="Times New Roman" w:cs="Times New Roman"/>
          <w:kern w:val="0"/>
          <w:lang w:eastAsia="en-GB"/>
          <w14:ligatures w14:val="none"/>
        </w:rPr>
        <w:t>Customers in the beauty and skincare market have a wide range of choices, from buying individual skincare products to subscribing to other beauty boxes or consulting dermatologists directly. Switching between brands or services is easy, fast and often low-cost. As a result, buyers hold strong bargaining power, making it essential for Glow Box to provide exceptional value through accurate personalisation, reliable product quality and affordable subscription plans. If customers feel that the service does not meet their expectations, they can cancel immediately, so customer satisfaction is critical for retention.</w:t>
      </w:r>
    </w:p>
    <w:p w14:paraId="76BB843D" w14:textId="4DF7EBCB" w:rsidR="00056D12" w:rsidRPr="00056D12" w:rsidRDefault="00056D12" w:rsidP="00056D12">
      <w:pPr>
        <w:spacing w:after="0" w:line="240" w:lineRule="auto"/>
        <w:rPr>
          <w:rFonts w:ascii="Times New Roman" w:eastAsia="Times New Roman" w:hAnsi="Times New Roman" w:cs="Times New Roman"/>
          <w:kern w:val="0"/>
          <w:lang w:eastAsia="en-GB"/>
          <w14:ligatures w14:val="none"/>
        </w:rPr>
      </w:pPr>
    </w:p>
    <w:p w14:paraId="12CD01D0" w14:textId="77777777" w:rsidR="00056D12" w:rsidRPr="00056D12" w:rsidRDefault="00056D12" w:rsidP="00056D1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56D12">
        <w:rPr>
          <w:rFonts w:ascii="Times New Roman" w:eastAsia="Times New Roman" w:hAnsi="Times New Roman" w:cs="Times New Roman"/>
          <w:b/>
          <w:bCs/>
          <w:kern w:val="0"/>
          <w:sz w:val="27"/>
          <w:szCs w:val="27"/>
          <w:lang w:eastAsia="en-GB"/>
          <w14:ligatures w14:val="none"/>
        </w:rPr>
        <w:t>Threat of Substitutes – High</w:t>
      </w:r>
    </w:p>
    <w:p w14:paraId="5DCB4062" w14:textId="77777777" w:rsidR="00056D12" w:rsidRPr="00056D12" w:rsidRDefault="00056D12" w:rsidP="00056D12">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971D5CD" w14:textId="27504871" w:rsidR="00056D12" w:rsidRPr="00056D12" w:rsidRDefault="00056D12" w:rsidP="00056D12">
      <w:pPr>
        <w:spacing w:before="100" w:beforeAutospacing="1" w:after="100" w:afterAutospacing="1" w:line="240" w:lineRule="auto"/>
        <w:rPr>
          <w:rFonts w:ascii="Times New Roman" w:eastAsia="Times New Roman" w:hAnsi="Times New Roman" w:cs="Times New Roman"/>
          <w:kern w:val="0"/>
          <w:lang w:eastAsia="en-GB"/>
          <w14:ligatures w14:val="none"/>
        </w:rPr>
      </w:pPr>
      <w:r w:rsidRPr="00056D12">
        <w:rPr>
          <w:rFonts w:ascii="Times New Roman" w:eastAsia="Times New Roman" w:hAnsi="Times New Roman" w:cs="Times New Roman"/>
          <w:kern w:val="0"/>
          <w:lang w:eastAsia="en-GB"/>
          <w14:ligatures w14:val="none"/>
        </w:rPr>
        <w:t>Glow Box faces competition from several substitute options. Many consumers may choose to purchase skincare products individually from pharmacies or online retailers, creating their own routines without subscribing to a monthly service. Others may prefer dermatology consultations, personalised skincare apps or influencer recommendations to guide their product choices. Additionally, competitor beauty boxes offer general skincare and makeup selections at competitive prices. To stand out, Glow Box must emphasise its unique strengths</w:t>
      </w:r>
      <w:r>
        <w:rPr>
          <w:rFonts w:ascii="Times New Roman" w:eastAsia="Times New Roman" w:hAnsi="Times New Roman" w:cs="Times New Roman"/>
          <w:kern w:val="0"/>
          <w:lang w:eastAsia="en-GB"/>
          <w14:ligatures w14:val="none"/>
        </w:rPr>
        <w:t>-</w:t>
      </w:r>
      <w:r w:rsidRPr="00056D12">
        <w:rPr>
          <w:rFonts w:ascii="Times New Roman" w:eastAsia="Times New Roman" w:hAnsi="Times New Roman" w:cs="Times New Roman"/>
          <w:kern w:val="0"/>
          <w:lang w:eastAsia="en-GB"/>
          <w14:ligatures w14:val="none"/>
        </w:rPr>
        <w:t>sensitive-skin specialisation, dermatologist-approved products and AI-driven customisation.</w:t>
      </w:r>
    </w:p>
    <w:p w14:paraId="7F241061" w14:textId="145D7C35" w:rsidR="00056D12" w:rsidRPr="00056D12" w:rsidRDefault="00056D12" w:rsidP="00056D12">
      <w:pPr>
        <w:spacing w:after="0" w:line="240" w:lineRule="auto"/>
        <w:rPr>
          <w:rFonts w:ascii="Times New Roman" w:eastAsia="Times New Roman" w:hAnsi="Times New Roman" w:cs="Times New Roman"/>
          <w:kern w:val="0"/>
          <w:lang w:eastAsia="en-GB"/>
          <w14:ligatures w14:val="none"/>
        </w:rPr>
      </w:pPr>
    </w:p>
    <w:p w14:paraId="2595638F" w14:textId="77777777" w:rsidR="00056D12" w:rsidRPr="00056D12" w:rsidRDefault="00056D12" w:rsidP="00056D1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56D12">
        <w:rPr>
          <w:rFonts w:ascii="Times New Roman" w:eastAsia="Times New Roman" w:hAnsi="Times New Roman" w:cs="Times New Roman"/>
          <w:b/>
          <w:bCs/>
          <w:kern w:val="0"/>
          <w:sz w:val="27"/>
          <w:szCs w:val="27"/>
          <w:lang w:eastAsia="en-GB"/>
          <w14:ligatures w14:val="none"/>
        </w:rPr>
        <w:t>Competitive Rivalry – High</w:t>
      </w:r>
    </w:p>
    <w:p w14:paraId="6F192443" w14:textId="77777777" w:rsidR="00056D12" w:rsidRPr="00056D12" w:rsidRDefault="00056D12" w:rsidP="00056D12">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2910AD6" w14:textId="77777777" w:rsidR="00056D12" w:rsidRPr="00056D12" w:rsidRDefault="00056D12" w:rsidP="00056D12">
      <w:pPr>
        <w:spacing w:before="100" w:beforeAutospacing="1" w:after="100" w:afterAutospacing="1" w:line="240" w:lineRule="auto"/>
        <w:rPr>
          <w:rFonts w:ascii="Times New Roman" w:eastAsia="Times New Roman" w:hAnsi="Times New Roman" w:cs="Times New Roman"/>
          <w:kern w:val="0"/>
          <w:lang w:eastAsia="en-GB"/>
          <w14:ligatures w14:val="none"/>
        </w:rPr>
      </w:pPr>
      <w:r w:rsidRPr="00056D12">
        <w:rPr>
          <w:rFonts w:ascii="Times New Roman" w:eastAsia="Times New Roman" w:hAnsi="Times New Roman" w:cs="Times New Roman"/>
          <w:kern w:val="0"/>
          <w:lang w:eastAsia="en-GB"/>
          <w14:ligatures w14:val="none"/>
        </w:rPr>
        <w:t>The UK beauty subscription market is highly saturated, with multiple well-established competitors such as Glossy Box, Birchbox and Look Fantastic already holding strong market presence. These companies invest heavily in marketing, influencer partnerships and promotional deals to attract and retain customers. While Glow Box differentiates itself through its focus on sensitive skin, continuous innovation is still necessary to remain competitive. Strong branding, effective digital marketing and consistent product quality are essential to building long-term customer loyalty in such a competitive environment.</w:t>
      </w:r>
    </w:p>
    <w:p w14:paraId="01598E2F" w14:textId="6172C09D" w:rsidR="00056D12" w:rsidRPr="00056D12" w:rsidRDefault="00056D12" w:rsidP="00056D12">
      <w:pPr>
        <w:spacing w:after="0" w:line="240" w:lineRule="auto"/>
        <w:rPr>
          <w:rFonts w:ascii="Times New Roman" w:eastAsia="Times New Roman" w:hAnsi="Times New Roman" w:cs="Times New Roman"/>
          <w:kern w:val="0"/>
          <w:lang w:eastAsia="en-GB"/>
          <w14:ligatures w14:val="none"/>
        </w:rPr>
      </w:pPr>
    </w:p>
    <w:p w14:paraId="7F1FCD6A" w14:textId="77777777" w:rsidR="00B0216D" w:rsidRPr="00B0216D" w:rsidRDefault="00B0216D" w:rsidP="00B0216D">
      <w:pPr>
        <w:spacing w:before="100" w:beforeAutospacing="1" w:after="100" w:afterAutospacing="1" w:line="240" w:lineRule="auto"/>
        <w:outlineLvl w:val="0"/>
        <w:rPr>
          <w:rFonts w:ascii="Arial" w:eastAsia="Times New Roman" w:hAnsi="Arial" w:cs="Arial"/>
          <w:b/>
          <w:bCs/>
          <w:kern w:val="36"/>
          <w:lang w:eastAsia="en-GB"/>
          <w14:ligatures w14:val="none"/>
        </w:rPr>
      </w:pPr>
      <w:r w:rsidRPr="00B0216D">
        <w:rPr>
          <w:rFonts w:ascii="Arial" w:eastAsia="Times New Roman" w:hAnsi="Arial" w:cs="Arial"/>
          <w:b/>
          <w:bCs/>
          <w:kern w:val="36"/>
          <w:lang w:eastAsia="en-GB"/>
          <w14:ligatures w14:val="none"/>
        </w:rPr>
        <w:t>4. Market Segmentation, 4Ps &amp; Online Marketing Strategies</w:t>
      </w:r>
    </w:p>
    <w:p w14:paraId="02185FFC"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C270AF4" w14:textId="77777777" w:rsidR="00B0216D" w:rsidRPr="00B0216D" w:rsidRDefault="00B0216D" w:rsidP="00B0216D">
      <w:pPr>
        <w:spacing w:before="100" w:beforeAutospacing="1" w:after="100" w:afterAutospacing="1" w:line="240" w:lineRule="auto"/>
        <w:outlineLvl w:val="1"/>
        <w:rPr>
          <w:rFonts w:ascii="Arial" w:eastAsia="Times New Roman" w:hAnsi="Arial" w:cs="Arial"/>
          <w:b/>
          <w:bCs/>
          <w:kern w:val="0"/>
          <w:lang w:eastAsia="en-GB"/>
          <w14:ligatures w14:val="none"/>
        </w:rPr>
      </w:pPr>
      <w:r w:rsidRPr="00B0216D">
        <w:rPr>
          <w:rFonts w:ascii="Arial" w:eastAsia="Times New Roman" w:hAnsi="Arial" w:cs="Arial"/>
          <w:b/>
          <w:bCs/>
          <w:kern w:val="0"/>
          <w:lang w:eastAsia="en-GB"/>
          <w14:ligatures w14:val="none"/>
        </w:rPr>
        <w:t>4.1 Market Segmentation</w:t>
      </w:r>
    </w:p>
    <w:p w14:paraId="00DC2CA1"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9A8DBCE"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216D">
        <w:rPr>
          <w:rFonts w:ascii="Times New Roman" w:eastAsia="Times New Roman" w:hAnsi="Times New Roman" w:cs="Times New Roman"/>
          <w:kern w:val="0"/>
          <w:lang w:eastAsia="en-GB"/>
          <w14:ligatures w14:val="none"/>
        </w:rPr>
        <w:t>Glow Box applies a combination of demographic, psychographic and behavioural segmentation to clearly identify and understand its target customers.</w:t>
      </w:r>
    </w:p>
    <w:p w14:paraId="7E0533F7"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8A79709"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216D">
        <w:rPr>
          <w:rFonts w:ascii="Times New Roman" w:eastAsia="Times New Roman" w:hAnsi="Times New Roman" w:cs="Times New Roman"/>
          <w:b/>
          <w:bCs/>
          <w:kern w:val="0"/>
          <w:lang w:eastAsia="en-GB"/>
          <w14:ligatures w14:val="none"/>
        </w:rPr>
        <w:t>Demographic segmentation</w:t>
      </w:r>
      <w:r w:rsidRPr="00B0216D">
        <w:rPr>
          <w:rFonts w:ascii="Times New Roman" w:eastAsia="Times New Roman" w:hAnsi="Times New Roman" w:cs="Times New Roman"/>
          <w:kern w:val="0"/>
          <w:lang w:eastAsia="en-GB"/>
          <w14:ligatures w14:val="none"/>
        </w:rPr>
        <w:t xml:space="preserve"> focuses primarily on consumers aged </w:t>
      </w:r>
      <w:r w:rsidRPr="00B0216D">
        <w:rPr>
          <w:rFonts w:ascii="Times New Roman" w:eastAsia="Times New Roman" w:hAnsi="Times New Roman" w:cs="Times New Roman"/>
          <w:b/>
          <w:bCs/>
          <w:kern w:val="0"/>
          <w:lang w:eastAsia="en-GB"/>
          <w14:ligatures w14:val="none"/>
        </w:rPr>
        <w:t>18–40</w:t>
      </w:r>
      <w:r w:rsidRPr="00B0216D">
        <w:rPr>
          <w:rFonts w:ascii="Times New Roman" w:eastAsia="Times New Roman" w:hAnsi="Times New Roman" w:cs="Times New Roman"/>
          <w:kern w:val="0"/>
          <w:lang w:eastAsia="en-GB"/>
          <w14:ligatures w14:val="none"/>
        </w:rPr>
        <w:t xml:space="preserve">, as this group is the most active in purchasing skincare products, engaging with beauty content online and subscribing to personalised services (Mintel, 2023). Although the service is suitable for all genders, women are expected to make up </w:t>
      </w:r>
      <w:proofErr w:type="gramStart"/>
      <w:r w:rsidRPr="00B0216D">
        <w:rPr>
          <w:rFonts w:ascii="Times New Roman" w:eastAsia="Times New Roman" w:hAnsi="Times New Roman" w:cs="Times New Roman"/>
          <w:kern w:val="0"/>
          <w:lang w:eastAsia="en-GB"/>
          <w14:ligatures w14:val="none"/>
        </w:rPr>
        <w:t>the majority of</w:t>
      </w:r>
      <w:proofErr w:type="gramEnd"/>
      <w:r w:rsidRPr="00B0216D">
        <w:rPr>
          <w:rFonts w:ascii="Times New Roman" w:eastAsia="Times New Roman" w:hAnsi="Times New Roman" w:cs="Times New Roman"/>
          <w:kern w:val="0"/>
          <w:lang w:eastAsia="en-GB"/>
          <w14:ligatures w14:val="none"/>
        </w:rPr>
        <w:t xml:space="preserve"> early adopters due to their higher engagement with skincare routines and digital beauty platforms.</w:t>
      </w:r>
    </w:p>
    <w:p w14:paraId="4059FF93"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7AE72EF"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216D">
        <w:rPr>
          <w:rFonts w:ascii="Times New Roman" w:eastAsia="Times New Roman" w:hAnsi="Times New Roman" w:cs="Times New Roman"/>
          <w:b/>
          <w:bCs/>
          <w:kern w:val="0"/>
          <w:lang w:eastAsia="en-GB"/>
          <w14:ligatures w14:val="none"/>
        </w:rPr>
        <w:t>Psychographic segmentation</w:t>
      </w:r>
      <w:r w:rsidRPr="00B0216D">
        <w:rPr>
          <w:rFonts w:ascii="Times New Roman" w:eastAsia="Times New Roman" w:hAnsi="Times New Roman" w:cs="Times New Roman"/>
          <w:kern w:val="0"/>
          <w:lang w:eastAsia="en-GB"/>
          <w14:ligatures w14:val="none"/>
        </w:rPr>
        <w:t xml:space="preserve"> reveals that the ideal customer values </w:t>
      </w:r>
      <w:r w:rsidRPr="00B0216D">
        <w:rPr>
          <w:rFonts w:ascii="Times New Roman" w:eastAsia="Times New Roman" w:hAnsi="Times New Roman" w:cs="Times New Roman"/>
          <w:b/>
          <w:bCs/>
          <w:kern w:val="0"/>
          <w:lang w:eastAsia="en-GB"/>
          <w14:ligatures w14:val="none"/>
        </w:rPr>
        <w:t>wellness, ingredient transparency, sustainability and expert guidance</w:t>
      </w:r>
      <w:r w:rsidRPr="00B0216D">
        <w:rPr>
          <w:rFonts w:ascii="Times New Roman" w:eastAsia="Times New Roman" w:hAnsi="Times New Roman" w:cs="Times New Roman"/>
          <w:kern w:val="0"/>
          <w:lang w:eastAsia="en-GB"/>
          <w14:ligatures w14:val="none"/>
        </w:rPr>
        <w:t xml:space="preserve"> (Nielsen, 2022). These consumers often </w:t>
      </w:r>
      <w:r w:rsidRPr="00B0216D">
        <w:rPr>
          <w:rFonts w:ascii="Times New Roman" w:eastAsia="Times New Roman" w:hAnsi="Times New Roman" w:cs="Times New Roman"/>
          <w:kern w:val="0"/>
          <w:lang w:eastAsia="en-GB"/>
          <w14:ligatures w14:val="none"/>
        </w:rPr>
        <w:lastRenderedPageBreak/>
        <w:t>feel frustrated by previous negative experiences with skincare products and actively seek solutions that reduce irritation and improve confidence. They prefer brands that demonstrate honesty, education and long-term care for skin health, rather than purely aesthetic results.</w:t>
      </w:r>
    </w:p>
    <w:p w14:paraId="5A7C0E11"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4349ACF"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216D">
        <w:rPr>
          <w:rFonts w:ascii="Times New Roman" w:eastAsia="Times New Roman" w:hAnsi="Times New Roman" w:cs="Times New Roman"/>
          <w:b/>
          <w:bCs/>
          <w:kern w:val="0"/>
          <w:lang w:eastAsia="en-GB"/>
          <w14:ligatures w14:val="none"/>
        </w:rPr>
        <w:t>Behavioural segmentation</w:t>
      </w:r>
      <w:r w:rsidRPr="00B0216D">
        <w:rPr>
          <w:rFonts w:ascii="Times New Roman" w:eastAsia="Times New Roman" w:hAnsi="Times New Roman" w:cs="Times New Roman"/>
          <w:kern w:val="0"/>
          <w:lang w:eastAsia="en-GB"/>
          <w14:ligatures w14:val="none"/>
        </w:rPr>
        <w:t xml:space="preserve"> shows that the target audience frequently researches products online, follows dermatologists and influencers on social media, and relies heavily on personalised recommendations rather than trial-and-error buying (Solomon, 2021). This group is also comfortable using mobile apps and digital quizzes to make informed decisions. Their strong interest in convenience and routine-building makes them highly receptive to subscription-based models such as Glow Box.</w:t>
      </w:r>
    </w:p>
    <w:p w14:paraId="5123E1F9" w14:textId="70152ABE" w:rsidR="00B0216D" w:rsidRPr="00B0216D" w:rsidRDefault="00B0216D" w:rsidP="00B0216D">
      <w:pPr>
        <w:spacing w:after="0" w:line="240" w:lineRule="auto"/>
        <w:rPr>
          <w:rFonts w:ascii="Times New Roman" w:eastAsia="Times New Roman" w:hAnsi="Times New Roman" w:cs="Times New Roman"/>
          <w:kern w:val="0"/>
          <w:lang w:eastAsia="en-GB"/>
          <w14:ligatures w14:val="none"/>
        </w:rPr>
      </w:pPr>
    </w:p>
    <w:p w14:paraId="68A0E113" w14:textId="77777777" w:rsidR="00B0216D" w:rsidRPr="00B0216D" w:rsidRDefault="00B0216D" w:rsidP="00B0216D">
      <w:pPr>
        <w:spacing w:before="100" w:beforeAutospacing="1" w:after="100" w:afterAutospacing="1" w:line="240" w:lineRule="auto"/>
        <w:outlineLvl w:val="1"/>
        <w:rPr>
          <w:rFonts w:ascii="Arial" w:eastAsia="Times New Roman" w:hAnsi="Arial" w:cs="Arial"/>
          <w:b/>
          <w:bCs/>
          <w:kern w:val="0"/>
          <w:lang w:eastAsia="en-GB"/>
          <w14:ligatures w14:val="none"/>
        </w:rPr>
      </w:pPr>
      <w:r w:rsidRPr="00B0216D">
        <w:rPr>
          <w:rFonts w:ascii="Arial" w:eastAsia="Times New Roman" w:hAnsi="Arial" w:cs="Arial"/>
          <w:b/>
          <w:bCs/>
          <w:kern w:val="0"/>
          <w:lang w:eastAsia="en-GB"/>
          <w14:ligatures w14:val="none"/>
        </w:rPr>
        <w:t>4.2 Marketing Mix (4Ps)</w:t>
      </w:r>
    </w:p>
    <w:p w14:paraId="7EE78B03"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3CCEEA0"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216D">
        <w:rPr>
          <w:rFonts w:ascii="Times New Roman" w:eastAsia="Times New Roman" w:hAnsi="Times New Roman" w:cs="Times New Roman"/>
          <w:b/>
          <w:bCs/>
          <w:kern w:val="0"/>
          <w:lang w:eastAsia="en-GB"/>
          <w14:ligatures w14:val="none"/>
        </w:rPr>
        <w:t>Product:</w:t>
      </w:r>
    </w:p>
    <w:p w14:paraId="37EB1F41"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216D">
        <w:rPr>
          <w:rFonts w:ascii="Times New Roman" w:eastAsia="Times New Roman" w:hAnsi="Times New Roman" w:cs="Times New Roman"/>
          <w:kern w:val="0"/>
          <w:lang w:eastAsia="en-GB"/>
          <w14:ligatures w14:val="none"/>
        </w:rPr>
        <w:t xml:space="preserve">Glow Box delivers a monthly curated selection of </w:t>
      </w:r>
      <w:r w:rsidRPr="00B0216D">
        <w:rPr>
          <w:rFonts w:ascii="Times New Roman" w:eastAsia="Times New Roman" w:hAnsi="Times New Roman" w:cs="Times New Roman"/>
          <w:b/>
          <w:bCs/>
          <w:kern w:val="0"/>
          <w:lang w:eastAsia="en-GB"/>
          <w14:ligatures w14:val="none"/>
        </w:rPr>
        <w:t>4–5 dermatologist-approved, fragrance-free and non-irritating products</w:t>
      </w:r>
      <w:r w:rsidRPr="00B0216D">
        <w:rPr>
          <w:rFonts w:ascii="Times New Roman" w:eastAsia="Times New Roman" w:hAnsi="Times New Roman" w:cs="Times New Roman"/>
          <w:kern w:val="0"/>
          <w:lang w:eastAsia="en-GB"/>
          <w14:ligatures w14:val="none"/>
        </w:rPr>
        <w:t xml:space="preserve"> designed specifically for sensitive skin. The offering is strengthened by a mobile application that provides routine guidance, ingredient explanations and progress tracking (CTPA, 2023). Together, the physical box and digital service form a complete personal skincare solution that prioritises safety, effectiveness and education.</w:t>
      </w:r>
    </w:p>
    <w:p w14:paraId="521AE41E"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CAE3521"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216D">
        <w:rPr>
          <w:rFonts w:ascii="Times New Roman" w:eastAsia="Times New Roman" w:hAnsi="Times New Roman" w:cs="Times New Roman"/>
          <w:b/>
          <w:bCs/>
          <w:kern w:val="0"/>
          <w:lang w:eastAsia="en-GB"/>
          <w14:ligatures w14:val="none"/>
        </w:rPr>
        <w:t>Price:</w:t>
      </w:r>
    </w:p>
    <w:p w14:paraId="723911D8"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216D">
        <w:rPr>
          <w:rFonts w:ascii="Times New Roman" w:eastAsia="Times New Roman" w:hAnsi="Times New Roman" w:cs="Times New Roman"/>
          <w:kern w:val="0"/>
          <w:lang w:eastAsia="en-GB"/>
          <w14:ligatures w14:val="none"/>
        </w:rPr>
        <w:t xml:space="preserve">A </w:t>
      </w:r>
      <w:r w:rsidRPr="00B0216D">
        <w:rPr>
          <w:rFonts w:ascii="Times New Roman" w:eastAsia="Times New Roman" w:hAnsi="Times New Roman" w:cs="Times New Roman"/>
          <w:b/>
          <w:bCs/>
          <w:kern w:val="0"/>
          <w:lang w:eastAsia="en-GB"/>
          <w14:ligatures w14:val="none"/>
        </w:rPr>
        <w:t>value-based pricing strategy of £25–£40 per month</w:t>
      </w:r>
      <w:r w:rsidRPr="00B0216D">
        <w:rPr>
          <w:rFonts w:ascii="Times New Roman" w:eastAsia="Times New Roman" w:hAnsi="Times New Roman" w:cs="Times New Roman"/>
          <w:kern w:val="0"/>
          <w:lang w:eastAsia="en-GB"/>
          <w14:ligatures w14:val="none"/>
        </w:rPr>
        <w:t xml:space="preserve"> ensures that the service remains accessible while still reflecting the high quality of the curated products. A </w:t>
      </w:r>
      <w:r w:rsidRPr="00B0216D">
        <w:rPr>
          <w:rFonts w:ascii="Times New Roman" w:eastAsia="Times New Roman" w:hAnsi="Times New Roman" w:cs="Times New Roman"/>
          <w:b/>
          <w:bCs/>
          <w:kern w:val="0"/>
          <w:lang w:eastAsia="en-GB"/>
          <w14:ligatures w14:val="none"/>
        </w:rPr>
        <w:t>30% introductory discount</w:t>
      </w:r>
      <w:r w:rsidRPr="00B0216D">
        <w:rPr>
          <w:rFonts w:ascii="Times New Roman" w:eastAsia="Times New Roman" w:hAnsi="Times New Roman" w:cs="Times New Roman"/>
          <w:kern w:val="0"/>
          <w:lang w:eastAsia="en-GB"/>
          <w14:ligatures w14:val="none"/>
        </w:rPr>
        <w:t xml:space="preserve">, loyalty rewards and long-term subscription options are used to encourage customer retention. Monitoring metrics such as </w:t>
      </w:r>
      <w:r w:rsidRPr="00B0216D">
        <w:rPr>
          <w:rFonts w:ascii="Times New Roman" w:eastAsia="Times New Roman" w:hAnsi="Times New Roman" w:cs="Times New Roman"/>
          <w:b/>
          <w:bCs/>
          <w:kern w:val="0"/>
          <w:lang w:eastAsia="en-GB"/>
          <w14:ligatures w14:val="none"/>
        </w:rPr>
        <w:t>Customer Acquisition Cost (CAC)</w:t>
      </w:r>
      <w:r w:rsidRPr="00B0216D">
        <w:rPr>
          <w:rFonts w:ascii="Times New Roman" w:eastAsia="Times New Roman" w:hAnsi="Times New Roman" w:cs="Times New Roman"/>
          <w:kern w:val="0"/>
          <w:lang w:eastAsia="en-GB"/>
          <w14:ligatures w14:val="none"/>
        </w:rPr>
        <w:t xml:space="preserve"> and </w:t>
      </w:r>
      <w:r w:rsidRPr="00B0216D">
        <w:rPr>
          <w:rFonts w:ascii="Times New Roman" w:eastAsia="Times New Roman" w:hAnsi="Times New Roman" w:cs="Times New Roman"/>
          <w:b/>
          <w:bCs/>
          <w:kern w:val="0"/>
          <w:lang w:eastAsia="en-GB"/>
          <w14:ligatures w14:val="none"/>
        </w:rPr>
        <w:t>Lifetime Value (LTV)</w:t>
      </w:r>
      <w:r w:rsidRPr="00B0216D">
        <w:rPr>
          <w:rFonts w:ascii="Times New Roman" w:eastAsia="Times New Roman" w:hAnsi="Times New Roman" w:cs="Times New Roman"/>
          <w:kern w:val="0"/>
          <w:lang w:eastAsia="en-GB"/>
          <w14:ligatures w14:val="none"/>
        </w:rPr>
        <w:t xml:space="preserve"> ensures sustainable pricing and profitability (Kotler et al., 2022).</w:t>
      </w:r>
    </w:p>
    <w:p w14:paraId="126E8A07"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5B1DA14"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216D">
        <w:rPr>
          <w:rFonts w:ascii="Times New Roman" w:eastAsia="Times New Roman" w:hAnsi="Times New Roman" w:cs="Times New Roman"/>
          <w:b/>
          <w:bCs/>
          <w:kern w:val="0"/>
          <w:lang w:eastAsia="en-GB"/>
          <w14:ligatures w14:val="none"/>
        </w:rPr>
        <w:t>Place:</w:t>
      </w:r>
    </w:p>
    <w:p w14:paraId="0307F933"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216D">
        <w:rPr>
          <w:rFonts w:ascii="Times New Roman" w:eastAsia="Times New Roman" w:hAnsi="Times New Roman" w:cs="Times New Roman"/>
          <w:kern w:val="0"/>
          <w:lang w:eastAsia="en-GB"/>
          <w14:ligatures w14:val="none"/>
        </w:rPr>
        <w:t xml:space="preserve">Glow Box operates through a </w:t>
      </w:r>
      <w:r w:rsidRPr="00B0216D">
        <w:rPr>
          <w:rFonts w:ascii="Times New Roman" w:eastAsia="Times New Roman" w:hAnsi="Times New Roman" w:cs="Times New Roman"/>
          <w:b/>
          <w:bCs/>
          <w:kern w:val="0"/>
          <w:lang w:eastAsia="en-GB"/>
          <w14:ligatures w14:val="none"/>
        </w:rPr>
        <w:t>fully online model</w:t>
      </w:r>
      <w:r w:rsidRPr="00B0216D">
        <w:rPr>
          <w:rFonts w:ascii="Times New Roman" w:eastAsia="Times New Roman" w:hAnsi="Times New Roman" w:cs="Times New Roman"/>
          <w:kern w:val="0"/>
          <w:lang w:eastAsia="en-GB"/>
          <w14:ligatures w14:val="none"/>
        </w:rPr>
        <w:t>, allowing nationwide distribution without the costs associated with physical stores (Mintel, 2023). This structure improves scalability and enables the business to reach customers quickly and efficiently. In the long term, the brand aims to partner with dermatology clinics and pharmacies to increase visibility and credibility.</w:t>
      </w:r>
    </w:p>
    <w:p w14:paraId="63EFDB63"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3C05836"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216D">
        <w:rPr>
          <w:rFonts w:ascii="Times New Roman" w:eastAsia="Times New Roman" w:hAnsi="Times New Roman" w:cs="Times New Roman"/>
          <w:b/>
          <w:bCs/>
          <w:kern w:val="0"/>
          <w:lang w:eastAsia="en-GB"/>
          <w14:ligatures w14:val="none"/>
        </w:rPr>
        <w:t>Promotion:</w:t>
      </w:r>
    </w:p>
    <w:p w14:paraId="0504C1AC"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216D">
        <w:rPr>
          <w:rFonts w:ascii="Times New Roman" w:eastAsia="Times New Roman" w:hAnsi="Times New Roman" w:cs="Times New Roman"/>
          <w:kern w:val="0"/>
          <w:lang w:eastAsia="en-GB"/>
          <w14:ligatures w14:val="none"/>
        </w:rPr>
        <w:lastRenderedPageBreak/>
        <w:t xml:space="preserve">Promotion relies primarily on </w:t>
      </w:r>
      <w:r w:rsidRPr="00B0216D">
        <w:rPr>
          <w:rFonts w:ascii="Times New Roman" w:eastAsia="Times New Roman" w:hAnsi="Times New Roman" w:cs="Times New Roman"/>
          <w:b/>
          <w:bCs/>
          <w:kern w:val="0"/>
          <w:lang w:eastAsia="en-GB"/>
          <w14:ligatures w14:val="none"/>
        </w:rPr>
        <w:t>digital marketing</w:t>
      </w:r>
      <w:r w:rsidRPr="00B0216D">
        <w:rPr>
          <w:rFonts w:ascii="Times New Roman" w:eastAsia="Times New Roman" w:hAnsi="Times New Roman" w:cs="Times New Roman"/>
          <w:kern w:val="0"/>
          <w:lang w:eastAsia="en-GB"/>
          <w14:ligatures w14:val="none"/>
        </w:rPr>
        <w:t>, using platforms where skincare audiences are most active. Key activities include:</w:t>
      </w:r>
    </w:p>
    <w:p w14:paraId="2286A3DA" w14:textId="77777777" w:rsidR="00B0216D" w:rsidRPr="00B0216D" w:rsidRDefault="00B0216D" w:rsidP="00B0216D">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0216D">
        <w:rPr>
          <w:rFonts w:ascii="Times New Roman" w:eastAsia="Times New Roman" w:hAnsi="Times New Roman" w:cs="Times New Roman"/>
          <w:kern w:val="0"/>
          <w:lang w:eastAsia="en-GB"/>
          <w14:ligatures w14:val="none"/>
        </w:rPr>
        <w:t>TikTok and Instagram Reels showcasing unboxings and skincare routines</w:t>
      </w:r>
    </w:p>
    <w:p w14:paraId="224896CC" w14:textId="77777777" w:rsidR="00B0216D" w:rsidRPr="00B0216D" w:rsidRDefault="00B0216D" w:rsidP="00B0216D">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0216D">
        <w:rPr>
          <w:rFonts w:ascii="Times New Roman" w:eastAsia="Times New Roman" w:hAnsi="Times New Roman" w:cs="Times New Roman"/>
          <w:kern w:val="0"/>
          <w:lang w:eastAsia="en-GB"/>
          <w14:ligatures w14:val="none"/>
        </w:rPr>
        <w:t>Micro-influencer partnerships to build authenticity</w:t>
      </w:r>
    </w:p>
    <w:p w14:paraId="55CDD737" w14:textId="77777777" w:rsidR="00B0216D" w:rsidRPr="00B0216D" w:rsidRDefault="00B0216D" w:rsidP="00B0216D">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0216D">
        <w:rPr>
          <w:rFonts w:ascii="Times New Roman" w:eastAsia="Times New Roman" w:hAnsi="Times New Roman" w:cs="Times New Roman"/>
          <w:kern w:val="0"/>
          <w:lang w:eastAsia="en-GB"/>
          <w14:ligatures w14:val="none"/>
        </w:rPr>
        <w:t>SEO-optimised educational blogs and website content</w:t>
      </w:r>
    </w:p>
    <w:p w14:paraId="54C64148" w14:textId="77777777" w:rsidR="00B0216D" w:rsidRPr="00B0216D" w:rsidRDefault="00B0216D" w:rsidP="00B0216D">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0216D">
        <w:rPr>
          <w:rFonts w:ascii="Times New Roman" w:eastAsia="Times New Roman" w:hAnsi="Times New Roman" w:cs="Times New Roman"/>
          <w:kern w:val="0"/>
          <w:lang w:eastAsia="en-GB"/>
          <w14:ligatures w14:val="none"/>
        </w:rPr>
        <w:t>Email marketing and personalised app notifications</w:t>
      </w:r>
    </w:p>
    <w:p w14:paraId="54C33B00" w14:textId="77777777" w:rsidR="00B0216D" w:rsidRPr="00B0216D" w:rsidRDefault="00B0216D" w:rsidP="00B0216D">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0216D">
        <w:rPr>
          <w:rFonts w:ascii="Times New Roman" w:eastAsia="Times New Roman" w:hAnsi="Times New Roman" w:cs="Times New Roman"/>
          <w:kern w:val="0"/>
          <w:lang w:eastAsia="en-GB"/>
          <w14:ligatures w14:val="none"/>
        </w:rPr>
        <w:t>User-generated content such as before/after progress photos (Solomon, 2021)</w:t>
      </w:r>
    </w:p>
    <w:p w14:paraId="60BB52A7"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D5EC0D7"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216D">
        <w:rPr>
          <w:rFonts w:ascii="Times New Roman" w:eastAsia="Times New Roman" w:hAnsi="Times New Roman" w:cs="Times New Roman"/>
          <w:kern w:val="0"/>
          <w:lang w:eastAsia="en-GB"/>
          <w14:ligatures w14:val="none"/>
        </w:rPr>
        <w:t>These methods reinforce brand trust, highlight product benefits and support long-term customer engagement.</w:t>
      </w:r>
    </w:p>
    <w:p w14:paraId="0718A85D" w14:textId="560DF24C" w:rsidR="00B0216D" w:rsidRPr="00B0216D" w:rsidRDefault="00B0216D" w:rsidP="00B0216D">
      <w:pPr>
        <w:spacing w:after="0" w:line="240" w:lineRule="auto"/>
        <w:rPr>
          <w:rFonts w:ascii="Times New Roman" w:eastAsia="Times New Roman" w:hAnsi="Times New Roman" w:cs="Times New Roman"/>
          <w:kern w:val="0"/>
          <w:lang w:eastAsia="en-GB"/>
          <w14:ligatures w14:val="none"/>
        </w:rPr>
      </w:pPr>
    </w:p>
    <w:p w14:paraId="57FFAA5C" w14:textId="77777777" w:rsidR="00B0216D" w:rsidRPr="004F4568" w:rsidRDefault="00B0216D" w:rsidP="00B0216D">
      <w:pPr>
        <w:spacing w:before="100" w:beforeAutospacing="1" w:after="100" w:afterAutospacing="1" w:line="240" w:lineRule="auto"/>
        <w:outlineLvl w:val="1"/>
        <w:rPr>
          <w:rFonts w:ascii="Arial" w:eastAsia="Times New Roman" w:hAnsi="Arial" w:cs="Arial"/>
          <w:b/>
          <w:bCs/>
          <w:kern w:val="0"/>
          <w:lang w:eastAsia="en-GB"/>
          <w14:ligatures w14:val="none"/>
        </w:rPr>
      </w:pPr>
      <w:r w:rsidRPr="004F4568">
        <w:rPr>
          <w:rFonts w:ascii="Arial" w:eastAsia="Times New Roman" w:hAnsi="Arial" w:cs="Arial"/>
          <w:b/>
          <w:bCs/>
          <w:kern w:val="0"/>
          <w:lang w:eastAsia="en-GB"/>
          <w14:ligatures w14:val="none"/>
        </w:rPr>
        <w:t>4.3 Evaluation of Online Marketing Strategies</w:t>
      </w:r>
    </w:p>
    <w:p w14:paraId="06377C91"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9B284CB"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216D">
        <w:rPr>
          <w:rFonts w:ascii="Times New Roman" w:eastAsia="Times New Roman" w:hAnsi="Times New Roman" w:cs="Times New Roman"/>
          <w:kern w:val="0"/>
          <w:lang w:eastAsia="en-GB"/>
          <w14:ligatures w14:val="none"/>
        </w:rPr>
        <w:t xml:space="preserve">Online marketing is essential due to Glow Box’s digital-first business model. </w:t>
      </w:r>
      <w:r w:rsidRPr="00B0216D">
        <w:rPr>
          <w:rFonts w:ascii="Times New Roman" w:eastAsia="Times New Roman" w:hAnsi="Times New Roman" w:cs="Times New Roman"/>
          <w:b/>
          <w:bCs/>
          <w:kern w:val="0"/>
          <w:lang w:eastAsia="en-GB"/>
          <w14:ligatures w14:val="none"/>
        </w:rPr>
        <w:t>Influencer campaigns</w:t>
      </w:r>
      <w:r w:rsidRPr="00B0216D">
        <w:rPr>
          <w:rFonts w:ascii="Times New Roman" w:eastAsia="Times New Roman" w:hAnsi="Times New Roman" w:cs="Times New Roman"/>
          <w:kern w:val="0"/>
          <w:lang w:eastAsia="en-GB"/>
          <w14:ligatures w14:val="none"/>
        </w:rPr>
        <w:t xml:space="preserve"> are highly effective for reaching skincare audiences, but they also pose risks if influencers lack credibility or do not align with the brand’s sensitive-skin focus (Nielsen, 2022). Therefore, Glow Box must prioritise partnerships with micro-influencers who offer authenticity rather than mass reach.</w:t>
      </w:r>
    </w:p>
    <w:p w14:paraId="709D2979"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84CFCF8"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216D">
        <w:rPr>
          <w:rFonts w:ascii="Times New Roman" w:eastAsia="Times New Roman" w:hAnsi="Times New Roman" w:cs="Times New Roman"/>
          <w:b/>
          <w:bCs/>
          <w:kern w:val="0"/>
          <w:lang w:eastAsia="en-GB"/>
          <w14:ligatures w14:val="none"/>
        </w:rPr>
        <w:t>Email campaigns and app notifications</w:t>
      </w:r>
      <w:r w:rsidRPr="00B0216D">
        <w:rPr>
          <w:rFonts w:ascii="Times New Roman" w:eastAsia="Times New Roman" w:hAnsi="Times New Roman" w:cs="Times New Roman"/>
          <w:kern w:val="0"/>
          <w:lang w:eastAsia="en-GB"/>
          <w14:ligatures w14:val="none"/>
        </w:rPr>
        <w:t xml:space="preserve"> help maintain strong customer engagement by delivering tailored reminders, educational tips and product recommendations. However, overuse can annoy customers, making it important to find the right balance (Kotler et al., 2022).</w:t>
      </w:r>
    </w:p>
    <w:p w14:paraId="1C91933B"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7CA0FCF"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216D">
        <w:rPr>
          <w:rFonts w:ascii="Times New Roman" w:eastAsia="Times New Roman" w:hAnsi="Times New Roman" w:cs="Times New Roman"/>
          <w:b/>
          <w:bCs/>
          <w:kern w:val="0"/>
          <w:lang w:eastAsia="en-GB"/>
          <w14:ligatures w14:val="none"/>
        </w:rPr>
        <w:t>Search Engine Optimisation (SEO)</w:t>
      </w:r>
      <w:r w:rsidRPr="00B0216D">
        <w:rPr>
          <w:rFonts w:ascii="Times New Roman" w:eastAsia="Times New Roman" w:hAnsi="Times New Roman" w:cs="Times New Roman"/>
          <w:kern w:val="0"/>
          <w:lang w:eastAsia="en-GB"/>
          <w14:ligatures w14:val="none"/>
        </w:rPr>
        <w:t xml:space="preserve"> supports long-term organic growth by driving continuous website traffic through educational content. Although it requires consistent effort, it is one of the most cost-effective strategies over time (Mintel, 2023).</w:t>
      </w:r>
    </w:p>
    <w:p w14:paraId="3DCD35B7"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4928C32"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216D">
        <w:rPr>
          <w:rFonts w:ascii="Times New Roman" w:eastAsia="Times New Roman" w:hAnsi="Times New Roman" w:cs="Times New Roman"/>
          <w:b/>
          <w:bCs/>
          <w:kern w:val="0"/>
          <w:lang w:eastAsia="en-GB"/>
          <w14:ligatures w14:val="none"/>
        </w:rPr>
        <w:t>Referral programmes</w:t>
      </w:r>
      <w:r w:rsidRPr="00B0216D">
        <w:rPr>
          <w:rFonts w:ascii="Times New Roman" w:eastAsia="Times New Roman" w:hAnsi="Times New Roman" w:cs="Times New Roman"/>
          <w:kern w:val="0"/>
          <w:lang w:eastAsia="en-GB"/>
          <w14:ligatures w14:val="none"/>
        </w:rPr>
        <w:t xml:space="preserve"> offer a low-cost way to acquire new customers by encouraging satisfied users to bring in friends or family. Their success depends significantly on maintaining high product quality and positive user experience.</w:t>
      </w:r>
    </w:p>
    <w:p w14:paraId="0518FE0F" w14:textId="777777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DB84D62" w14:textId="196E7077" w:rsidR="00B0216D" w:rsidRPr="00B0216D" w:rsidRDefault="00B0216D" w:rsidP="00B0216D">
      <w:pPr>
        <w:spacing w:before="100" w:beforeAutospacing="1" w:after="100" w:afterAutospacing="1" w:line="240" w:lineRule="auto"/>
        <w:rPr>
          <w:rFonts w:ascii="Times New Roman" w:eastAsia="Times New Roman" w:hAnsi="Times New Roman" w:cs="Times New Roman"/>
          <w:kern w:val="0"/>
          <w:lang w:eastAsia="en-GB"/>
          <w14:ligatures w14:val="none"/>
        </w:rPr>
      </w:pPr>
      <w:r w:rsidRPr="00B0216D">
        <w:rPr>
          <w:rFonts w:ascii="Times New Roman" w:eastAsia="Times New Roman" w:hAnsi="Times New Roman" w:cs="Times New Roman"/>
          <w:kern w:val="0"/>
          <w:lang w:eastAsia="en-GB"/>
          <w14:ligatures w14:val="none"/>
        </w:rPr>
        <w:t>Overall, Glow Box must combine these strategies strategically, ensuring variety without overwhelming customers. Blending authenticity, education and customer value is key to building trust and long-term loyalty in the sensitive-skin market.</w:t>
      </w:r>
    </w:p>
    <w:p w14:paraId="325AA47F" w14:textId="77777777" w:rsidR="004F3E94" w:rsidRPr="005B2C32" w:rsidRDefault="004F3E94" w:rsidP="005B2C32">
      <w:pPr>
        <w:spacing w:after="0" w:line="240" w:lineRule="auto"/>
        <w:rPr>
          <w:rFonts w:ascii="Times New Roman" w:eastAsia="Times New Roman" w:hAnsi="Times New Roman" w:cs="Times New Roman"/>
          <w:kern w:val="0"/>
          <w:lang w:eastAsia="en-GB"/>
          <w14:ligatures w14:val="none"/>
        </w:rPr>
      </w:pPr>
    </w:p>
    <w:p w14:paraId="55C1BD89" w14:textId="77777777" w:rsidR="00C34EA0" w:rsidRPr="00C34EA0" w:rsidRDefault="00C34EA0" w:rsidP="00C34EA0">
      <w:pPr>
        <w:spacing w:before="100" w:beforeAutospacing="1" w:after="100" w:afterAutospacing="1" w:line="240" w:lineRule="auto"/>
        <w:outlineLvl w:val="0"/>
        <w:rPr>
          <w:rFonts w:ascii="Arial" w:eastAsia="Times New Roman" w:hAnsi="Arial" w:cs="Arial"/>
          <w:b/>
          <w:bCs/>
          <w:kern w:val="36"/>
          <w:lang w:eastAsia="en-GB"/>
          <w14:ligatures w14:val="none"/>
        </w:rPr>
      </w:pPr>
      <w:r w:rsidRPr="00C34EA0">
        <w:rPr>
          <w:rFonts w:ascii="Arial" w:eastAsia="Times New Roman" w:hAnsi="Arial" w:cs="Arial"/>
          <w:b/>
          <w:bCs/>
          <w:kern w:val="36"/>
          <w:lang w:eastAsia="en-GB"/>
          <w14:ligatures w14:val="none"/>
        </w:rPr>
        <w:t>5. Legal Structure, Management &amp; Financial Planning</w:t>
      </w:r>
    </w:p>
    <w:p w14:paraId="04911BFF" w14:textId="77777777" w:rsidR="00C34EA0" w:rsidRPr="00C34EA0" w:rsidRDefault="00C34EA0" w:rsidP="00C34EA0">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DEBB657" w14:textId="77777777" w:rsidR="00C34EA0" w:rsidRPr="00C34EA0" w:rsidRDefault="00C34EA0" w:rsidP="00C34EA0">
      <w:pPr>
        <w:spacing w:before="100" w:beforeAutospacing="1" w:after="100" w:afterAutospacing="1" w:line="240" w:lineRule="auto"/>
        <w:outlineLvl w:val="1"/>
        <w:rPr>
          <w:rFonts w:ascii="Arial" w:eastAsia="Times New Roman" w:hAnsi="Arial" w:cs="Arial"/>
          <w:b/>
          <w:bCs/>
          <w:kern w:val="0"/>
          <w:lang w:eastAsia="en-GB"/>
          <w14:ligatures w14:val="none"/>
        </w:rPr>
      </w:pPr>
      <w:r w:rsidRPr="00C34EA0">
        <w:rPr>
          <w:rFonts w:ascii="Arial" w:eastAsia="Times New Roman" w:hAnsi="Arial" w:cs="Arial"/>
          <w:b/>
          <w:bCs/>
          <w:kern w:val="0"/>
          <w:lang w:eastAsia="en-GB"/>
          <w14:ligatures w14:val="none"/>
        </w:rPr>
        <w:t>5.1 Legal Structure</w:t>
      </w:r>
    </w:p>
    <w:p w14:paraId="4908FFB0" w14:textId="77777777" w:rsidR="00C34EA0" w:rsidRPr="00C34EA0" w:rsidRDefault="00C34EA0" w:rsidP="00C34EA0">
      <w:pPr>
        <w:spacing w:before="100" w:beforeAutospacing="1" w:after="100" w:afterAutospacing="1" w:line="240" w:lineRule="auto"/>
        <w:rPr>
          <w:rFonts w:ascii="Times New Roman" w:eastAsia="Times New Roman" w:hAnsi="Times New Roman" w:cs="Times New Roman"/>
          <w:kern w:val="0"/>
          <w:lang w:eastAsia="en-GB"/>
          <w14:ligatures w14:val="none"/>
        </w:rPr>
      </w:pPr>
      <w:r w:rsidRPr="00C34EA0">
        <w:rPr>
          <w:rFonts w:ascii="Times New Roman" w:eastAsia="Times New Roman" w:hAnsi="Times New Roman" w:cs="Times New Roman"/>
          <w:kern w:val="0"/>
          <w:lang w:eastAsia="en-GB"/>
          <w14:ligatures w14:val="none"/>
        </w:rPr>
        <w:t>Glow Box will register as a Private Limited Company (Ltd) to protect personal liability and meet GDPR requirements (UK Government, 2023).</w:t>
      </w:r>
    </w:p>
    <w:p w14:paraId="7945E9A9" w14:textId="676881A0" w:rsidR="00C34EA0" w:rsidRPr="00C34EA0" w:rsidRDefault="00C34EA0" w:rsidP="00C34EA0">
      <w:pPr>
        <w:spacing w:after="0" w:line="240" w:lineRule="auto"/>
        <w:rPr>
          <w:rFonts w:ascii="Times New Roman" w:eastAsia="Times New Roman" w:hAnsi="Times New Roman" w:cs="Times New Roman"/>
          <w:kern w:val="0"/>
          <w:lang w:eastAsia="en-GB"/>
          <w14:ligatures w14:val="none"/>
        </w:rPr>
      </w:pPr>
    </w:p>
    <w:p w14:paraId="0A21F9B9" w14:textId="77777777" w:rsidR="00C34EA0" w:rsidRPr="00C34EA0" w:rsidRDefault="00C34EA0" w:rsidP="00C34EA0">
      <w:pPr>
        <w:spacing w:before="100" w:beforeAutospacing="1" w:after="100" w:afterAutospacing="1" w:line="240" w:lineRule="auto"/>
        <w:outlineLvl w:val="1"/>
        <w:rPr>
          <w:rFonts w:ascii="Arial" w:eastAsia="Times New Roman" w:hAnsi="Arial" w:cs="Arial"/>
          <w:b/>
          <w:bCs/>
          <w:kern w:val="0"/>
          <w:lang w:eastAsia="en-GB"/>
          <w14:ligatures w14:val="none"/>
        </w:rPr>
      </w:pPr>
      <w:r w:rsidRPr="00C34EA0">
        <w:rPr>
          <w:rFonts w:ascii="Arial" w:eastAsia="Times New Roman" w:hAnsi="Arial" w:cs="Arial"/>
          <w:b/>
          <w:bCs/>
          <w:kern w:val="0"/>
          <w:lang w:eastAsia="en-GB"/>
          <w14:ligatures w14:val="none"/>
        </w:rPr>
        <w:t>5.2 Management Structure</w:t>
      </w:r>
    </w:p>
    <w:p w14:paraId="3BB51932" w14:textId="3DDF19C0" w:rsidR="0039331D" w:rsidRDefault="007D099E" w:rsidP="00C34EA0">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drawing>
          <wp:inline distT="0" distB="0" distL="0" distR="0" wp14:anchorId="70E0AFCE" wp14:editId="60D352A0">
            <wp:extent cx="5731510" cy="3820795"/>
            <wp:effectExtent l="0" t="0" r="0" b="1905"/>
            <wp:docPr id="54353065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530655" name="Picture 543530655"/>
                    <pic:cNvPicPr/>
                  </pic:nvPicPr>
                  <pic:blipFill>
                    <a:blip r:embed="rId9"/>
                    <a:stretch>
                      <a:fillRect/>
                    </a:stretch>
                  </pic:blipFill>
                  <pic:spPr>
                    <a:xfrm>
                      <a:off x="0" y="0"/>
                      <a:ext cx="5743389" cy="3828714"/>
                    </a:xfrm>
                    <a:prstGeom prst="rect">
                      <a:avLst/>
                    </a:prstGeom>
                  </pic:spPr>
                </pic:pic>
              </a:graphicData>
            </a:graphic>
          </wp:inline>
        </w:drawing>
      </w:r>
    </w:p>
    <w:p w14:paraId="363EA449" w14:textId="77777777" w:rsidR="007D099E" w:rsidRDefault="007D099E" w:rsidP="00C34EA0">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C227125" w14:textId="0147B02F" w:rsidR="00C34EA0" w:rsidRPr="00C34EA0" w:rsidRDefault="00C34EA0" w:rsidP="00C34EA0">
      <w:pPr>
        <w:spacing w:before="100" w:beforeAutospacing="1" w:after="100" w:afterAutospacing="1" w:line="240" w:lineRule="auto"/>
        <w:rPr>
          <w:rFonts w:ascii="Times New Roman" w:eastAsia="Times New Roman" w:hAnsi="Times New Roman" w:cs="Times New Roman"/>
          <w:kern w:val="0"/>
          <w:lang w:eastAsia="en-GB"/>
          <w14:ligatures w14:val="none"/>
        </w:rPr>
      </w:pPr>
      <w:r w:rsidRPr="00C34EA0">
        <w:rPr>
          <w:rFonts w:ascii="Times New Roman" w:eastAsia="Times New Roman" w:hAnsi="Times New Roman" w:cs="Times New Roman"/>
          <w:kern w:val="0"/>
          <w:lang w:eastAsia="en-GB"/>
          <w14:ligatures w14:val="none"/>
        </w:rPr>
        <w:t>Team roles:</w:t>
      </w:r>
    </w:p>
    <w:p w14:paraId="405B623F" w14:textId="06F06012" w:rsidR="00C34EA0" w:rsidRPr="00C34EA0" w:rsidRDefault="00AC5429" w:rsidP="00AC5429">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      </w:t>
      </w:r>
      <w:r w:rsidR="00C34EA0" w:rsidRPr="00C34EA0">
        <w:rPr>
          <w:rFonts w:ascii="Times New Roman" w:eastAsia="Times New Roman" w:hAnsi="Times New Roman" w:cs="Times New Roman"/>
          <w:b/>
          <w:bCs/>
          <w:kern w:val="0"/>
          <w:lang w:eastAsia="en-GB"/>
          <w14:ligatures w14:val="none"/>
        </w:rPr>
        <w:t>Founder/CEO:</w:t>
      </w:r>
      <w:r w:rsidR="00C34EA0" w:rsidRPr="00C34EA0">
        <w:rPr>
          <w:rFonts w:ascii="Times New Roman" w:eastAsia="Times New Roman" w:hAnsi="Times New Roman" w:cs="Times New Roman"/>
          <w:kern w:val="0"/>
          <w:lang w:eastAsia="en-GB"/>
          <w14:ligatures w14:val="none"/>
        </w:rPr>
        <w:t xml:space="preserve"> Strategy, brand development</w:t>
      </w:r>
    </w:p>
    <w:p w14:paraId="0CD4E182" w14:textId="7E68D0F8" w:rsidR="00C34EA0" w:rsidRPr="00C34EA0" w:rsidRDefault="00AC5429" w:rsidP="00AC5429">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      </w:t>
      </w:r>
      <w:r w:rsidR="00AB3626">
        <w:rPr>
          <w:rFonts w:ascii="Times New Roman" w:eastAsia="Times New Roman" w:hAnsi="Times New Roman" w:cs="Times New Roman"/>
          <w:b/>
          <w:bCs/>
          <w:kern w:val="0"/>
          <w:lang w:eastAsia="en-GB"/>
          <w14:ligatures w14:val="none"/>
        </w:rPr>
        <w:t xml:space="preserve"> </w:t>
      </w:r>
      <w:r w:rsidR="00C34EA0" w:rsidRPr="00C34EA0">
        <w:rPr>
          <w:rFonts w:ascii="Times New Roman" w:eastAsia="Times New Roman" w:hAnsi="Times New Roman" w:cs="Times New Roman"/>
          <w:b/>
          <w:bCs/>
          <w:kern w:val="0"/>
          <w:lang w:eastAsia="en-GB"/>
          <w14:ligatures w14:val="none"/>
        </w:rPr>
        <w:t>Marketing Manager:</w:t>
      </w:r>
      <w:r w:rsidR="00C34EA0" w:rsidRPr="00C34EA0">
        <w:rPr>
          <w:rFonts w:ascii="Times New Roman" w:eastAsia="Times New Roman" w:hAnsi="Times New Roman" w:cs="Times New Roman"/>
          <w:kern w:val="0"/>
          <w:lang w:eastAsia="en-GB"/>
          <w14:ligatures w14:val="none"/>
        </w:rPr>
        <w:t xml:space="preserve"> Social media, influencers</w:t>
      </w:r>
    </w:p>
    <w:p w14:paraId="5DDBEACD" w14:textId="479CDB98" w:rsidR="00C34EA0" w:rsidRPr="00C34EA0" w:rsidRDefault="00AB3626" w:rsidP="00AB3626">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       </w:t>
      </w:r>
      <w:r w:rsidR="00C34EA0" w:rsidRPr="00C34EA0">
        <w:rPr>
          <w:rFonts w:ascii="Times New Roman" w:eastAsia="Times New Roman" w:hAnsi="Times New Roman" w:cs="Times New Roman"/>
          <w:b/>
          <w:bCs/>
          <w:kern w:val="0"/>
          <w:lang w:eastAsia="en-GB"/>
          <w14:ligatures w14:val="none"/>
        </w:rPr>
        <w:t>Operations Manager:</w:t>
      </w:r>
      <w:r w:rsidR="00C34EA0" w:rsidRPr="00C34EA0">
        <w:rPr>
          <w:rFonts w:ascii="Times New Roman" w:eastAsia="Times New Roman" w:hAnsi="Times New Roman" w:cs="Times New Roman"/>
          <w:kern w:val="0"/>
          <w:lang w:eastAsia="en-GB"/>
          <w14:ligatures w14:val="none"/>
        </w:rPr>
        <w:t xml:space="preserve"> Logistics, suppliers</w:t>
      </w:r>
    </w:p>
    <w:p w14:paraId="54EA4FBA" w14:textId="12AD6D84" w:rsidR="00D446DB" w:rsidRPr="0084426F" w:rsidRDefault="00AB3626" w:rsidP="0084426F">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 xml:space="preserve">       </w:t>
      </w:r>
      <w:r w:rsidR="00C34EA0" w:rsidRPr="00C34EA0">
        <w:rPr>
          <w:rFonts w:ascii="Times New Roman" w:eastAsia="Times New Roman" w:hAnsi="Times New Roman" w:cs="Times New Roman"/>
          <w:b/>
          <w:bCs/>
          <w:kern w:val="0"/>
          <w:lang w:eastAsia="en-GB"/>
          <w14:ligatures w14:val="none"/>
        </w:rPr>
        <w:t>IT/App Manager:</w:t>
      </w:r>
      <w:r w:rsidR="00C34EA0" w:rsidRPr="00C34EA0">
        <w:rPr>
          <w:rFonts w:ascii="Times New Roman" w:eastAsia="Times New Roman" w:hAnsi="Times New Roman" w:cs="Times New Roman"/>
          <w:kern w:val="0"/>
          <w:lang w:eastAsia="en-GB"/>
          <w14:ligatures w14:val="none"/>
        </w:rPr>
        <w:t xml:space="preserve"> App development, AI, cybersecurity</w:t>
      </w:r>
    </w:p>
    <w:p w14:paraId="458F1A94" w14:textId="17BA5FD7" w:rsidR="00E57286" w:rsidRPr="0084426F" w:rsidRDefault="004E25EA" w:rsidP="0084426F">
      <w:pPr>
        <w:spacing w:before="100" w:beforeAutospacing="1" w:after="100" w:afterAutospacing="1" w:line="240" w:lineRule="auto"/>
        <w:outlineLvl w:val="1"/>
        <w:rPr>
          <w:rFonts w:ascii="Arial" w:eastAsia="Times New Roman" w:hAnsi="Arial" w:cs="Arial"/>
          <w:b/>
          <w:bCs/>
          <w:kern w:val="0"/>
          <w:lang w:eastAsia="en-GB"/>
          <w14:ligatures w14:val="none"/>
        </w:rPr>
      </w:pPr>
      <w:r w:rsidRPr="004E25EA">
        <w:rPr>
          <w:rFonts w:ascii="Arial" w:eastAsia="Times New Roman" w:hAnsi="Arial" w:cs="Arial"/>
          <w:b/>
          <w:bCs/>
          <w:kern w:val="0"/>
          <w:lang w:eastAsia="en-GB"/>
          <w14:ligatures w14:val="none"/>
        </w:rPr>
        <w:lastRenderedPageBreak/>
        <w:t>5.3 Start-Up Funding</w:t>
      </w:r>
    </w:p>
    <w:p w14:paraId="1FED4F46" w14:textId="77777777" w:rsidR="0084426F" w:rsidRDefault="004E25EA" w:rsidP="004E25EA">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25EA">
        <w:rPr>
          <w:rFonts w:ascii="Times New Roman" w:eastAsia="Times New Roman" w:hAnsi="Times New Roman" w:cs="Times New Roman"/>
          <w:kern w:val="0"/>
          <w:lang w:eastAsia="en-GB"/>
          <w14:ligatures w14:val="none"/>
        </w:rPr>
        <w:t xml:space="preserve">Start-up requirement: </w:t>
      </w:r>
      <w:r w:rsidRPr="004E25EA">
        <w:rPr>
          <w:rFonts w:ascii="Times New Roman" w:eastAsia="Times New Roman" w:hAnsi="Times New Roman" w:cs="Times New Roman"/>
          <w:b/>
          <w:bCs/>
          <w:kern w:val="0"/>
          <w:lang w:eastAsia="en-GB"/>
          <w14:ligatures w14:val="none"/>
        </w:rPr>
        <w:t>£8,000</w:t>
      </w:r>
      <w:r w:rsidRPr="004E25EA">
        <w:rPr>
          <w:rFonts w:ascii="Times New Roman" w:eastAsia="Times New Roman" w:hAnsi="Times New Roman" w:cs="Times New Roman"/>
          <w:kern w:val="0"/>
          <w:lang w:eastAsia="en-GB"/>
          <w14:ligatures w14:val="none"/>
        </w:rPr>
        <w:t xml:space="preserve"> for website development, app creation, inventory, packaging, marketing and legal administration.</w:t>
      </w:r>
    </w:p>
    <w:p w14:paraId="301BBF82" w14:textId="5676A037" w:rsidR="004E25EA" w:rsidRPr="004E25EA" w:rsidRDefault="004E25EA" w:rsidP="004E25EA">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25EA">
        <w:rPr>
          <w:rFonts w:ascii="Times New Roman" w:eastAsia="Times New Roman" w:hAnsi="Times New Roman" w:cs="Times New Roman"/>
          <w:kern w:val="0"/>
          <w:lang w:eastAsia="en-GB"/>
          <w14:ligatures w14:val="none"/>
        </w:rPr>
        <w:t>Funding sources:</w:t>
      </w:r>
    </w:p>
    <w:p w14:paraId="338EB97E" w14:textId="557F4E54" w:rsidR="004E25EA" w:rsidRPr="004E25EA" w:rsidRDefault="00E57286" w:rsidP="00E57286">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4E25EA" w:rsidRPr="004E25EA">
        <w:rPr>
          <w:rFonts w:ascii="Times New Roman" w:eastAsia="Times New Roman" w:hAnsi="Times New Roman" w:cs="Times New Roman"/>
          <w:kern w:val="0"/>
          <w:lang w:eastAsia="en-GB"/>
          <w14:ligatures w14:val="none"/>
        </w:rPr>
        <w:t>Personal savings</w:t>
      </w:r>
    </w:p>
    <w:p w14:paraId="056ED365" w14:textId="0E5643FC" w:rsidR="004E25EA" w:rsidRPr="004E25EA" w:rsidRDefault="00E57286" w:rsidP="00E57286">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4E25EA" w:rsidRPr="004E25EA">
        <w:rPr>
          <w:rFonts w:ascii="Times New Roman" w:eastAsia="Times New Roman" w:hAnsi="Times New Roman" w:cs="Times New Roman"/>
          <w:kern w:val="0"/>
          <w:lang w:eastAsia="en-GB"/>
          <w14:ligatures w14:val="none"/>
        </w:rPr>
        <w:t>UK Start-Up Loan Scheme</w:t>
      </w:r>
    </w:p>
    <w:p w14:paraId="07B07B26" w14:textId="7401B511" w:rsidR="004E25EA" w:rsidRPr="004E25EA" w:rsidRDefault="00E57286" w:rsidP="00E57286">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4E25EA" w:rsidRPr="004E25EA">
        <w:rPr>
          <w:rFonts w:ascii="Times New Roman" w:eastAsia="Times New Roman" w:hAnsi="Times New Roman" w:cs="Times New Roman"/>
          <w:kern w:val="0"/>
          <w:lang w:eastAsia="en-GB"/>
          <w14:ligatures w14:val="none"/>
        </w:rPr>
        <w:t>Prince’s Trust Enterprise Programme</w:t>
      </w:r>
    </w:p>
    <w:p w14:paraId="18710FCA" w14:textId="39B39493" w:rsidR="004E25EA" w:rsidRPr="004E25EA" w:rsidRDefault="00E57286" w:rsidP="00E57286">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4E25EA" w:rsidRPr="004E25EA">
        <w:rPr>
          <w:rFonts w:ascii="Times New Roman" w:eastAsia="Times New Roman" w:hAnsi="Times New Roman" w:cs="Times New Roman"/>
          <w:kern w:val="0"/>
          <w:lang w:eastAsia="en-GB"/>
          <w14:ligatures w14:val="none"/>
        </w:rPr>
        <w:t>Local council sustainability grants</w:t>
      </w:r>
    </w:p>
    <w:p w14:paraId="00D1AD9E" w14:textId="4B47BF9A" w:rsidR="002244AF" w:rsidRPr="00C274E8" w:rsidRDefault="00F1184F" w:rsidP="00C274E8">
      <w:pPr>
        <w:spacing w:before="100" w:beforeAutospacing="1" w:after="100" w:afterAutospacing="1" w:line="240" w:lineRule="auto"/>
        <w:outlineLvl w:val="1"/>
        <w:rPr>
          <w:rFonts w:ascii="Arial" w:eastAsia="Times New Roman" w:hAnsi="Arial" w:cs="Arial"/>
          <w:b/>
          <w:bCs/>
          <w:kern w:val="0"/>
          <w:lang w:eastAsia="en-GB"/>
          <w14:ligatures w14:val="none"/>
        </w:rPr>
      </w:pPr>
      <w:r w:rsidRPr="00F1184F">
        <w:rPr>
          <w:rFonts w:ascii="Arial" w:eastAsia="Times New Roman" w:hAnsi="Arial" w:cs="Arial"/>
          <w:b/>
          <w:bCs/>
          <w:kern w:val="0"/>
          <w:lang w:eastAsia="en-GB"/>
          <w14:ligatures w14:val="none"/>
        </w:rPr>
        <w:t>5.4 12-Month Cash Flow Forecast</w:t>
      </w:r>
    </w:p>
    <w:p w14:paraId="464B653D" w14:textId="77777777" w:rsidR="00B15C90" w:rsidRDefault="00B15C90" w:rsidP="00B15C90"/>
    <w:tbl>
      <w:tblPr>
        <w:tblStyle w:val="TableGrid"/>
        <w:tblW w:w="0" w:type="auto"/>
        <w:tblLayout w:type="fixed"/>
        <w:tblLook w:val="06A0" w:firstRow="1" w:lastRow="0" w:firstColumn="1" w:lastColumn="0" w:noHBand="1" w:noVBand="1"/>
      </w:tblPr>
      <w:tblGrid>
        <w:gridCol w:w="1502"/>
        <w:gridCol w:w="1502"/>
        <w:gridCol w:w="1502"/>
        <w:gridCol w:w="1502"/>
        <w:gridCol w:w="1502"/>
        <w:gridCol w:w="1502"/>
      </w:tblGrid>
      <w:tr w:rsidR="00B15C90" w14:paraId="197C8BC9" w14:textId="77777777" w:rsidTr="00F5464F">
        <w:trPr>
          <w:trHeight w:val="300"/>
        </w:trPr>
        <w:tc>
          <w:tcPr>
            <w:tcW w:w="1502" w:type="dxa"/>
          </w:tcPr>
          <w:p w14:paraId="5577A58F" w14:textId="77777777" w:rsidR="00B15C90" w:rsidRDefault="00B15C90" w:rsidP="00F5464F">
            <w:pPr>
              <w:jc w:val="center"/>
            </w:pPr>
            <w:r w:rsidRPr="5BC27591">
              <w:rPr>
                <w:b/>
                <w:bCs/>
              </w:rPr>
              <w:t>Month</w:t>
            </w:r>
          </w:p>
        </w:tc>
        <w:tc>
          <w:tcPr>
            <w:tcW w:w="1502" w:type="dxa"/>
          </w:tcPr>
          <w:p w14:paraId="6A1734F7" w14:textId="77777777" w:rsidR="00B15C90" w:rsidRDefault="00B15C90" w:rsidP="00F5464F">
            <w:pPr>
              <w:jc w:val="center"/>
            </w:pPr>
            <w:r w:rsidRPr="5BC27591">
              <w:rPr>
                <w:b/>
                <w:bCs/>
              </w:rPr>
              <w:t>Starting Balance (£)</w:t>
            </w:r>
          </w:p>
        </w:tc>
        <w:tc>
          <w:tcPr>
            <w:tcW w:w="1502" w:type="dxa"/>
          </w:tcPr>
          <w:p w14:paraId="1757D5A7" w14:textId="77777777" w:rsidR="00B15C90" w:rsidRDefault="00B15C90" w:rsidP="00F5464F">
            <w:pPr>
              <w:jc w:val="center"/>
            </w:pPr>
            <w:r w:rsidRPr="5BC27591">
              <w:rPr>
                <w:b/>
                <w:bCs/>
              </w:rPr>
              <w:t>Cash Inflows (£)</w:t>
            </w:r>
          </w:p>
        </w:tc>
        <w:tc>
          <w:tcPr>
            <w:tcW w:w="1502" w:type="dxa"/>
          </w:tcPr>
          <w:p w14:paraId="1FAC2D0E" w14:textId="77777777" w:rsidR="00B15C90" w:rsidRDefault="00B15C90" w:rsidP="00F5464F">
            <w:pPr>
              <w:jc w:val="center"/>
            </w:pPr>
            <w:r w:rsidRPr="5BC27591">
              <w:rPr>
                <w:b/>
                <w:bCs/>
              </w:rPr>
              <w:t>Cash Outflows (£)</w:t>
            </w:r>
          </w:p>
        </w:tc>
        <w:tc>
          <w:tcPr>
            <w:tcW w:w="1502" w:type="dxa"/>
          </w:tcPr>
          <w:p w14:paraId="2B492D35" w14:textId="77777777" w:rsidR="00B15C90" w:rsidRDefault="00B15C90" w:rsidP="00F5464F">
            <w:pPr>
              <w:jc w:val="center"/>
            </w:pPr>
            <w:r w:rsidRPr="5BC27591">
              <w:rPr>
                <w:b/>
                <w:bCs/>
              </w:rPr>
              <w:t>Net Cash Flow (£)</w:t>
            </w:r>
          </w:p>
        </w:tc>
        <w:tc>
          <w:tcPr>
            <w:tcW w:w="1502" w:type="dxa"/>
          </w:tcPr>
          <w:p w14:paraId="315809CB" w14:textId="77777777" w:rsidR="00B15C90" w:rsidRDefault="00B15C90" w:rsidP="00F5464F">
            <w:pPr>
              <w:jc w:val="center"/>
            </w:pPr>
            <w:r w:rsidRPr="5BC27591">
              <w:rPr>
                <w:b/>
                <w:bCs/>
              </w:rPr>
              <w:t>Ending Balance (£)</w:t>
            </w:r>
          </w:p>
        </w:tc>
      </w:tr>
      <w:tr w:rsidR="00B15C90" w14:paraId="2057A0EB" w14:textId="77777777" w:rsidTr="00F5464F">
        <w:trPr>
          <w:trHeight w:val="300"/>
        </w:trPr>
        <w:tc>
          <w:tcPr>
            <w:tcW w:w="1502" w:type="dxa"/>
          </w:tcPr>
          <w:p w14:paraId="5A0B6C18" w14:textId="77777777" w:rsidR="00B15C90" w:rsidRDefault="00B15C90" w:rsidP="00F5464F">
            <w:r>
              <w:t>January</w:t>
            </w:r>
          </w:p>
        </w:tc>
        <w:tc>
          <w:tcPr>
            <w:tcW w:w="1502" w:type="dxa"/>
          </w:tcPr>
          <w:p w14:paraId="033EB8E7" w14:textId="69FC7D2F" w:rsidR="00B15C90" w:rsidRDefault="00AB512A" w:rsidP="00F5464F">
            <w:r>
              <w:t xml:space="preserve">   </w:t>
            </w:r>
            <w:r w:rsidR="00F84771">
              <w:t>0</w:t>
            </w:r>
          </w:p>
        </w:tc>
        <w:tc>
          <w:tcPr>
            <w:tcW w:w="1502" w:type="dxa"/>
          </w:tcPr>
          <w:p w14:paraId="184823C7" w14:textId="3A62ACC8" w:rsidR="00B15C90" w:rsidRDefault="009A1EC4" w:rsidP="00F5464F">
            <w:r>
              <w:t xml:space="preserve">  </w:t>
            </w:r>
            <w:r w:rsidR="00D4228E">
              <w:t xml:space="preserve"> 1,500</w:t>
            </w:r>
          </w:p>
        </w:tc>
        <w:tc>
          <w:tcPr>
            <w:tcW w:w="1502" w:type="dxa"/>
          </w:tcPr>
          <w:p w14:paraId="22914311" w14:textId="38C00EBB" w:rsidR="00B15C90" w:rsidRDefault="00152EEC" w:rsidP="00F5464F">
            <w:r>
              <w:t xml:space="preserve">  1,850</w:t>
            </w:r>
          </w:p>
        </w:tc>
        <w:tc>
          <w:tcPr>
            <w:tcW w:w="1502" w:type="dxa"/>
          </w:tcPr>
          <w:p w14:paraId="39C6AF61" w14:textId="14C0E0BE" w:rsidR="00B15C90" w:rsidRDefault="00B87A82" w:rsidP="00F5464F">
            <w:r>
              <w:t xml:space="preserve">   </w:t>
            </w:r>
            <w:r w:rsidR="006B2BD8">
              <w:t>-350</w:t>
            </w:r>
          </w:p>
        </w:tc>
        <w:tc>
          <w:tcPr>
            <w:tcW w:w="1502" w:type="dxa"/>
          </w:tcPr>
          <w:p w14:paraId="1642EBAA" w14:textId="0AC7E866" w:rsidR="00B15C90" w:rsidRDefault="00324C4C" w:rsidP="00F5464F">
            <w:r>
              <w:t xml:space="preserve">   -350</w:t>
            </w:r>
          </w:p>
        </w:tc>
      </w:tr>
      <w:tr w:rsidR="00B15C90" w14:paraId="2C4BA11B" w14:textId="77777777" w:rsidTr="00F5464F">
        <w:trPr>
          <w:trHeight w:val="300"/>
        </w:trPr>
        <w:tc>
          <w:tcPr>
            <w:tcW w:w="1502" w:type="dxa"/>
          </w:tcPr>
          <w:p w14:paraId="5CC507C6" w14:textId="77777777" w:rsidR="00B15C90" w:rsidRDefault="00B15C90" w:rsidP="00F5464F">
            <w:r>
              <w:t>February</w:t>
            </w:r>
          </w:p>
        </w:tc>
        <w:tc>
          <w:tcPr>
            <w:tcW w:w="1502" w:type="dxa"/>
          </w:tcPr>
          <w:p w14:paraId="0DC81DCF" w14:textId="2A668671" w:rsidR="00B15C90" w:rsidRDefault="00AB512A" w:rsidP="00F5464F">
            <w:r>
              <w:t xml:space="preserve">  </w:t>
            </w:r>
            <w:r w:rsidR="00864381">
              <w:t>-350</w:t>
            </w:r>
          </w:p>
        </w:tc>
        <w:tc>
          <w:tcPr>
            <w:tcW w:w="1502" w:type="dxa"/>
          </w:tcPr>
          <w:p w14:paraId="512C50BC" w14:textId="6C57B109" w:rsidR="00B15C90" w:rsidRDefault="00D4228E" w:rsidP="00F5464F">
            <w:r>
              <w:t xml:space="preserve">   2,400</w:t>
            </w:r>
          </w:p>
        </w:tc>
        <w:tc>
          <w:tcPr>
            <w:tcW w:w="1502" w:type="dxa"/>
          </w:tcPr>
          <w:p w14:paraId="2C222187" w14:textId="38BDC69A" w:rsidR="00B15C90" w:rsidRDefault="00152EEC" w:rsidP="00F5464F">
            <w:r>
              <w:t xml:space="preserve">  2,200</w:t>
            </w:r>
          </w:p>
        </w:tc>
        <w:tc>
          <w:tcPr>
            <w:tcW w:w="1502" w:type="dxa"/>
          </w:tcPr>
          <w:p w14:paraId="346CFABB" w14:textId="5DB462B8" w:rsidR="00B15C90" w:rsidRDefault="006B2BD8" w:rsidP="00F5464F">
            <w:r>
              <w:t xml:space="preserve">     200</w:t>
            </w:r>
          </w:p>
        </w:tc>
        <w:tc>
          <w:tcPr>
            <w:tcW w:w="1502" w:type="dxa"/>
          </w:tcPr>
          <w:p w14:paraId="53DBA4BC" w14:textId="4D6988D1" w:rsidR="00B15C90" w:rsidRDefault="00324C4C" w:rsidP="00F5464F">
            <w:r>
              <w:t xml:space="preserve">   -150</w:t>
            </w:r>
          </w:p>
        </w:tc>
      </w:tr>
      <w:tr w:rsidR="00B15C90" w14:paraId="41E67120" w14:textId="77777777" w:rsidTr="00F5464F">
        <w:trPr>
          <w:trHeight w:val="300"/>
        </w:trPr>
        <w:tc>
          <w:tcPr>
            <w:tcW w:w="1502" w:type="dxa"/>
          </w:tcPr>
          <w:p w14:paraId="6C70565B" w14:textId="77777777" w:rsidR="00B15C90" w:rsidRDefault="00B15C90" w:rsidP="00F5464F">
            <w:r>
              <w:t>March</w:t>
            </w:r>
          </w:p>
        </w:tc>
        <w:tc>
          <w:tcPr>
            <w:tcW w:w="1502" w:type="dxa"/>
          </w:tcPr>
          <w:p w14:paraId="2CADE130" w14:textId="164FE594" w:rsidR="00B15C90" w:rsidRDefault="00864381" w:rsidP="00F5464F">
            <w:r>
              <w:t xml:space="preserve">  -150</w:t>
            </w:r>
          </w:p>
        </w:tc>
        <w:tc>
          <w:tcPr>
            <w:tcW w:w="1502" w:type="dxa"/>
          </w:tcPr>
          <w:p w14:paraId="25A4B925" w14:textId="665F6F22" w:rsidR="00B15C90" w:rsidRDefault="00D4228E" w:rsidP="00F5464F">
            <w:r>
              <w:t xml:space="preserve">   </w:t>
            </w:r>
            <w:r w:rsidR="00DF4DB4">
              <w:t>3,600</w:t>
            </w:r>
          </w:p>
        </w:tc>
        <w:tc>
          <w:tcPr>
            <w:tcW w:w="1502" w:type="dxa"/>
          </w:tcPr>
          <w:p w14:paraId="3B5F7797" w14:textId="08E6820F" w:rsidR="00B15C90" w:rsidRDefault="00152EEC" w:rsidP="00F5464F">
            <w:r>
              <w:t xml:space="preserve">  2,700</w:t>
            </w:r>
          </w:p>
        </w:tc>
        <w:tc>
          <w:tcPr>
            <w:tcW w:w="1502" w:type="dxa"/>
          </w:tcPr>
          <w:p w14:paraId="587BA9B4" w14:textId="41CADA31" w:rsidR="00B15C90" w:rsidRDefault="006B2BD8" w:rsidP="00F5464F">
            <w:r>
              <w:t xml:space="preserve">     900</w:t>
            </w:r>
          </w:p>
        </w:tc>
        <w:tc>
          <w:tcPr>
            <w:tcW w:w="1502" w:type="dxa"/>
          </w:tcPr>
          <w:p w14:paraId="1B2A5408" w14:textId="5369C6DF" w:rsidR="00B15C90" w:rsidRDefault="00324C4C" w:rsidP="00F5464F">
            <w:r>
              <w:t xml:space="preserve">     750</w:t>
            </w:r>
          </w:p>
        </w:tc>
      </w:tr>
      <w:tr w:rsidR="00B15C90" w14:paraId="232DF087" w14:textId="77777777" w:rsidTr="00F5464F">
        <w:trPr>
          <w:trHeight w:val="300"/>
        </w:trPr>
        <w:tc>
          <w:tcPr>
            <w:tcW w:w="1502" w:type="dxa"/>
          </w:tcPr>
          <w:p w14:paraId="408EB7A2" w14:textId="77777777" w:rsidR="00B15C90" w:rsidRDefault="00B15C90" w:rsidP="00F5464F">
            <w:r>
              <w:t>April</w:t>
            </w:r>
          </w:p>
        </w:tc>
        <w:tc>
          <w:tcPr>
            <w:tcW w:w="1502" w:type="dxa"/>
          </w:tcPr>
          <w:p w14:paraId="3E27A7FB" w14:textId="70D94327" w:rsidR="00B15C90" w:rsidRDefault="00864381" w:rsidP="00F5464F">
            <w:r>
              <w:t xml:space="preserve">    </w:t>
            </w:r>
            <w:r w:rsidR="007060C0">
              <w:t>750</w:t>
            </w:r>
          </w:p>
        </w:tc>
        <w:tc>
          <w:tcPr>
            <w:tcW w:w="1502" w:type="dxa"/>
          </w:tcPr>
          <w:p w14:paraId="126411C4" w14:textId="3EC66347" w:rsidR="00B15C90" w:rsidRDefault="00DF4DB4" w:rsidP="00F5464F">
            <w:r>
              <w:t xml:space="preserve">   4,800</w:t>
            </w:r>
          </w:p>
        </w:tc>
        <w:tc>
          <w:tcPr>
            <w:tcW w:w="1502" w:type="dxa"/>
          </w:tcPr>
          <w:p w14:paraId="240A4DEB" w14:textId="7F1FCD4F" w:rsidR="00B15C90" w:rsidRDefault="00152EEC" w:rsidP="00F5464F">
            <w:r>
              <w:t xml:space="preserve">  </w:t>
            </w:r>
            <w:r w:rsidR="00972CBA">
              <w:t>3,300</w:t>
            </w:r>
          </w:p>
        </w:tc>
        <w:tc>
          <w:tcPr>
            <w:tcW w:w="1502" w:type="dxa"/>
          </w:tcPr>
          <w:p w14:paraId="3A5BEF50" w14:textId="3CCB2669" w:rsidR="00B15C90" w:rsidRDefault="006B2BD8" w:rsidP="00F5464F">
            <w:r>
              <w:t xml:space="preserve">     </w:t>
            </w:r>
            <w:r w:rsidR="00244903">
              <w:t>1,500</w:t>
            </w:r>
          </w:p>
        </w:tc>
        <w:tc>
          <w:tcPr>
            <w:tcW w:w="1502" w:type="dxa"/>
          </w:tcPr>
          <w:p w14:paraId="73F899B7" w14:textId="6C3A11A2" w:rsidR="00B15C90" w:rsidRDefault="00324C4C" w:rsidP="00F5464F">
            <w:r>
              <w:t xml:space="preserve">    </w:t>
            </w:r>
            <w:r w:rsidR="005B6E3F">
              <w:t xml:space="preserve"> 2,250</w:t>
            </w:r>
          </w:p>
        </w:tc>
      </w:tr>
      <w:tr w:rsidR="00B15C90" w14:paraId="2C01F293" w14:textId="77777777" w:rsidTr="00F5464F">
        <w:trPr>
          <w:trHeight w:val="300"/>
        </w:trPr>
        <w:tc>
          <w:tcPr>
            <w:tcW w:w="1502" w:type="dxa"/>
          </w:tcPr>
          <w:p w14:paraId="347125DD" w14:textId="77777777" w:rsidR="00B15C90" w:rsidRDefault="00B15C90" w:rsidP="00F5464F">
            <w:r>
              <w:t>May</w:t>
            </w:r>
          </w:p>
        </w:tc>
        <w:tc>
          <w:tcPr>
            <w:tcW w:w="1502" w:type="dxa"/>
          </w:tcPr>
          <w:p w14:paraId="73C65950" w14:textId="6A254783" w:rsidR="00B15C90" w:rsidRDefault="007060C0" w:rsidP="00F5464F">
            <w:r>
              <w:t xml:space="preserve">    2,</w:t>
            </w:r>
            <w:r w:rsidR="00C42956">
              <w:t>250</w:t>
            </w:r>
          </w:p>
        </w:tc>
        <w:tc>
          <w:tcPr>
            <w:tcW w:w="1502" w:type="dxa"/>
          </w:tcPr>
          <w:p w14:paraId="1B5D3D96" w14:textId="554DB949" w:rsidR="00B15C90" w:rsidRDefault="00DF4DB4" w:rsidP="00F5464F">
            <w:r>
              <w:t xml:space="preserve">   6,000</w:t>
            </w:r>
          </w:p>
        </w:tc>
        <w:tc>
          <w:tcPr>
            <w:tcW w:w="1502" w:type="dxa"/>
          </w:tcPr>
          <w:p w14:paraId="63107024" w14:textId="0CABBFF9" w:rsidR="00B15C90" w:rsidRDefault="00972CBA" w:rsidP="00F5464F">
            <w:r>
              <w:t xml:space="preserve">  3,800</w:t>
            </w:r>
          </w:p>
        </w:tc>
        <w:tc>
          <w:tcPr>
            <w:tcW w:w="1502" w:type="dxa"/>
          </w:tcPr>
          <w:p w14:paraId="08AB0E51" w14:textId="6A68F700" w:rsidR="00B15C90" w:rsidRDefault="00244903" w:rsidP="00F5464F">
            <w:r>
              <w:t xml:space="preserve">     2,200</w:t>
            </w:r>
          </w:p>
        </w:tc>
        <w:tc>
          <w:tcPr>
            <w:tcW w:w="1502" w:type="dxa"/>
          </w:tcPr>
          <w:p w14:paraId="2550E8DB" w14:textId="2CD0CA73" w:rsidR="00B15C90" w:rsidRDefault="005B6E3F" w:rsidP="00F5464F">
            <w:r>
              <w:t xml:space="preserve">     4,450</w:t>
            </w:r>
          </w:p>
        </w:tc>
      </w:tr>
      <w:tr w:rsidR="00B15C90" w14:paraId="5F89309E" w14:textId="77777777" w:rsidTr="00F5464F">
        <w:trPr>
          <w:trHeight w:val="300"/>
        </w:trPr>
        <w:tc>
          <w:tcPr>
            <w:tcW w:w="1502" w:type="dxa"/>
          </w:tcPr>
          <w:p w14:paraId="61C3C326" w14:textId="77777777" w:rsidR="00B15C90" w:rsidRDefault="00B15C90" w:rsidP="00F5464F">
            <w:r>
              <w:t>June</w:t>
            </w:r>
          </w:p>
        </w:tc>
        <w:tc>
          <w:tcPr>
            <w:tcW w:w="1502" w:type="dxa"/>
          </w:tcPr>
          <w:p w14:paraId="2E22692A" w14:textId="681F7D24" w:rsidR="00B15C90" w:rsidRDefault="00C42956" w:rsidP="00F5464F">
            <w:r>
              <w:t xml:space="preserve">    4,450</w:t>
            </w:r>
          </w:p>
        </w:tc>
        <w:tc>
          <w:tcPr>
            <w:tcW w:w="1502" w:type="dxa"/>
          </w:tcPr>
          <w:p w14:paraId="79293A5C" w14:textId="04DB0372" w:rsidR="00B15C90" w:rsidRDefault="00DF4DB4" w:rsidP="00F5464F">
            <w:r>
              <w:t xml:space="preserve">   </w:t>
            </w:r>
            <w:r w:rsidR="00702DFF">
              <w:t>7,200</w:t>
            </w:r>
          </w:p>
        </w:tc>
        <w:tc>
          <w:tcPr>
            <w:tcW w:w="1502" w:type="dxa"/>
          </w:tcPr>
          <w:p w14:paraId="3DB0CDEA" w14:textId="1E3076D4" w:rsidR="00B15C90" w:rsidRDefault="00972CBA" w:rsidP="00F5464F">
            <w:r>
              <w:t xml:space="preserve">  </w:t>
            </w:r>
            <w:r w:rsidR="00E034CB">
              <w:t>4,300</w:t>
            </w:r>
          </w:p>
        </w:tc>
        <w:tc>
          <w:tcPr>
            <w:tcW w:w="1502" w:type="dxa"/>
          </w:tcPr>
          <w:p w14:paraId="42D85277" w14:textId="0814DE6D" w:rsidR="00B15C90" w:rsidRDefault="00244903" w:rsidP="00F5464F">
            <w:r>
              <w:t xml:space="preserve">   </w:t>
            </w:r>
            <w:r w:rsidR="00B95F90">
              <w:t xml:space="preserve">  </w:t>
            </w:r>
            <w:r w:rsidR="002F74E3">
              <w:t>2,900</w:t>
            </w:r>
            <w:r>
              <w:t xml:space="preserve">  </w:t>
            </w:r>
          </w:p>
        </w:tc>
        <w:tc>
          <w:tcPr>
            <w:tcW w:w="1502" w:type="dxa"/>
          </w:tcPr>
          <w:p w14:paraId="7FE06B81" w14:textId="514BDDD1" w:rsidR="00B15C90" w:rsidRDefault="005B6E3F" w:rsidP="00F5464F">
            <w:r>
              <w:t xml:space="preserve">     </w:t>
            </w:r>
            <w:r w:rsidR="0023016C">
              <w:t>7,350</w:t>
            </w:r>
          </w:p>
        </w:tc>
      </w:tr>
      <w:tr w:rsidR="00B15C90" w14:paraId="1D6212A8" w14:textId="77777777" w:rsidTr="00F5464F">
        <w:trPr>
          <w:trHeight w:val="300"/>
        </w:trPr>
        <w:tc>
          <w:tcPr>
            <w:tcW w:w="1502" w:type="dxa"/>
          </w:tcPr>
          <w:p w14:paraId="2D1B07DF" w14:textId="77777777" w:rsidR="00B15C90" w:rsidRDefault="00B15C90" w:rsidP="00F5464F">
            <w:r>
              <w:t>July</w:t>
            </w:r>
          </w:p>
        </w:tc>
        <w:tc>
          <w:tcPr>
            <w:tcW w:w="1502" w:type="dxa"/>
          </w:tcPr>
          <w:p w14:paraId="0109D420" w14:textId="5F8F90E4" w:rsidR="00B15C90" w:rsidRDefault="00C42956" w:rsidP="00F5464F">
            <w:r>
              <w:t xml:space="preserve">    </w:t>
            </w:r>
            <w:r w:rsidR="00624716">
              <w:t>7,350</w:t>
            </w:r>
          </w:p>
        </w:tc>
        <w:tc>
          <w:tcPr>
            <w:tcW w:w="1502" w:type="dxa"/>
          </w:tcPr>
          <w:p w14:paraId="711B887E" w14:textId="56346727" w:rsidR="00B15C90" w:rsidRDefault="00702DFF" w:rsidP="00F5464F">
            <w:r>
              <w:t xml:space="preserve">   8,400</w:t>
            </w:r>
          </w:p>
        </w:tc>
        <w:tc>
          <w:tcPr>
            <w:tcW w:w="1502" w:type="dxa"/>
          </w:tcPr>
          <w:p w14:paraId="485044CF" w14:textId="5B9891FC" w:rsidR="00B15C90" w:rsidRDefault="00E034CB" w:rsidP="00F5464F">
            <w:r>
              <w:t xml:space="preserve">  4,950</w:t>
            </w:r>
          </w:p>
        </w:tc>
        <w:tc>
          <w:tcPr>
            <w:tcW w:w="1502" w:type="dxa"/>
          </w:tcPr>
          <w:p w14:paraId="4A6C81F4" w14:textId="1FB8AF1F" w:rsidR="00B15C90" w:rsidRDefault="002F74E3" w:rsidP="00F5464F">
            <w:r>
              <w:t xml:space="preserve">     3,</w:t>
            </w:r>
            <w:r w:rsidR="00F72A81">
              <w:t>450</w:t>
            </w:r>
          </w:p>
        </w:tc>
        <w:tc>
          <w:tcPr>
            <w:tcW w:w="1502" w:type="dxa"/>
          </w:tcPr>
          <w:p w14:paraId="3FC255CB" w14:textId="5EA961EC" w:rsidR="00B15C90" w:rsidRDefault="0023016C" w:rsidP="00F5464F">
            <w:r>
              <w:t xml:space="preserve">   </w:t>
            </w:r>
            <w:r w:rsidR="00776375">
              <w:t xml:space="preserve">  </w:t>
            </w:r>
            <w:r>
              <w:t>10,800</w:t>
            </w:r>
          </w:p>
        </w:tc>
      </w:tr>
      <w:tr w:rsidR="00B15C90" w14:paraId="47B13D70" w14:textId="77777777" w:rsidTr="00F5464F">
        <w:trPr>
          <w:trHeight w:val="300"/>
        </w:trPr>
        <w:tc>
          <w:tcPr>
            <w:tcW w:w="1502" w:type="dxa"/>
          </w:tcPr>
          <w:p w14:paraId="56727C90" w14:textId="77777777" w:rsidR="00B15C90" w:rsidRDefault="00B15C90" w:rsidP="00F5464F">
            <w:r>
              <w:t>August</w:t>
            </w:r>
          </w:p>
        </w:tc>
        <w:tc>
          <w:tcPr>
            <w:tcW w:w="1502" w:type="dxa"/>
          </w:tcPr>
          <w:p w14:paraId="01218FBC" w14:textId="7342D27C" w:rsidR="00B15C90" w:rsidRDefault="00624716" w:rsidP="00F5464F">
            <w:r>
              <w:t xml:space="preserve">  </w:t>
            </w:r>
            <w:r w:rsidR="00D33673">
              <w:t xml:space="preserve"> </w:t>
            </w:r>
            <w:r w:rsidR="004A6D57">
              <w:t xml:space="preserve"> </w:t>
            </w:r>
            <w:r w:rsidR="00D33673">
              <w:t>10,800</w:t>
            </w:r>
          </w:p>
        </w:tc>
        <w:tc>
          <w:tcPr>
            <w:tcW w:w="1502" w:type="dxa"/>
          </w:tcPr>
          <w:p w14:paraId="7F93D697" w14:textId="1A35697B" w:rsidR="00B15C90" w:rsidRDefault="00DA1580" w:rsidP="00F5464F">
            <w:r>
              <w:t xml:space="preserve">   9,000</w:t>
            </w:r>
          </w:p>
        </w:tc>
        <w:tc>
          <w:tcPr>
            <w:tcW w:w="1502" w:type="dxa"/>
          </w:tcPr>
          <w:p w14:paraId="659C6101" w14:textId="4B961E6B" w:rsidR="00B15C90" w:rsidRDefault="00E034CB" w:rsidP="00F5464F">
            <w:r>
              <w:t xml:space="preserve">  5,200</w:t>
            </w:r>
          </w:p>
        </w:tc>
        <w:tc>
          <w:tcPr>
            <w:tcW w:w="1502" w:type="dxa"/>
          </w:tcPr>
          <w:p w14:paraId="3B425C39" w14:textId="52F02340" w:rsidR="00B15C90" w:rsidRDefault="00F72A81" w:rsidP="00F5464F">
            <w:r>
              <w:t xml:space="preserve">     3,800</w:t>
            </w:r>
          </w:p>
        </w:tc>
        <w:tc>
          <w:tcPr>
            <w:tcW w:w="1502" w:type="dxa"/>
          </w:tcPr>
          <w:p w14:paraId="7BD8D005" w14:textId="033EC096" w:rsidR="00B15C90" w:rsidRDefault="0023016C" w:rsidP="00F5464F">
            <w:r>
              <w:t xml:space="preserve">   </w:t>
            </w:r>
            <w:r w:rsidR="00776375">
              <w:t xml:space="preserve"> </w:t>
            </w:r>
            <w:r w:rsidR="00220F80">
              <w:t xml:space="preserve"> </w:t>
            </w:r>
            <w:r w:rsidR="00776375">
              <w:t>14,600</w:t>
            </w:r>
          </w:p>
        </w:tc>
      </w:tr>
      <w:tr w:rsidR="00B15C90" w14:paraId="25CB024C" w14:textId="77777777" w:rsidTr="00F5464F">
        <w:trPr>
          <w:trHeight w:val="300"/>
        </w:trPr>
        <w:tc>
          <w:tcPr>
            <w:tcW w:w="1502" w:type="dxa"/>
          </w:tcPr>
          <w:p w14:paraId="758EC1A2" w14:textId="77777777" w:rsidR="00B15C90" w:rsidRDefault="00B15C90" w:rsidP="00F5464F">
            <w:r>
              <w:t>September</w:t>
            </w:r>
          </w:p>
        </w:tc>
        <w:tc>
          <w:tcPr>
            <w:tcW w:w="1502" w:type="dxa"/>
          </w:tcPr>
          <w:p w14:paraId="00A75CCA" w14:textId="7549A983" w:rsidR="00B15C90" w:rsidRDefault="004A6D57" w:rsidP="00F5464F">
            <w:r>
              <w:t xml:space="preserve">   </w:t>
            </w:r>
            <w:r w:rsidR="00C12C31">
              <w:t xml:space="preserve"> 14,600</w:t>
            </w:r>
          </w:p>
        </w:tc>
        <w:tc>
          <w:tcPr>
            <w:tcW w:w="1502" w:type="dxa"/>
          </w:tcPr>
          <w:p w14:paraId="2F9F6B4E" w14:textId="1154922E" w:rsidR="00B15C90" w:rsidRDefault="00B71C7E" w:rsidP="00F5464F">
            <w:r>
              <w:t xml:space="preserve">   9,900</w:t>
            </w:r>
          </w:p>
        </w:tc>
        <w:tc>
          <w:tcPr>
            <w:tcW w:w="1502" w:type="dxa"/>
          </w:tcPr>
          <w:p w14:paraId="11E4527A" w14:textId="62A226E3" w:rsidR="00B15C90" w:rsidRDefault="00E034CB" w:rsidP="00F5464F">
            <w:r>
              <w:t xml:space="preserve">  </w:t>
            </w:r>
            <w:r w:rsidR="00FA3583">
              <w:t>5,650</w:t>
            </w:r>
          </w:p>
        </w:tc>
        <w:tc>
          <w:tcPr>
            <w:tcW w:w="1502" w:type="dxa"/>
          </w:tcPr>
          <w:p w14:paraId="7F3CC7B4" w14:textId="02BEECDE" w:rsidR="00B15C90" w:rsidRDefault="00F72A81" w:rsidP="00F5464F">
            <w:r>
              <w:t xml:space="preserve">     </w:t>
            </w:r>
            <w:r w:rsidR="00664EF7">
              <w:t>4,250</w:t>
            </w:r>
          </w:p>
        </w:tc>
        <w:tc>
          <w:tcPr>
            <w:tcW w:w="1502" w:type="dxa"/>
          </w:tcPr>
          <w:p w14:paraId="59C6417B" w14:textId="196EFE61" w:rsidR="00B15C90" w:rsidRDefault="00776375" w:rsidP="00F5464F">
            <w:r>
              <w:t xml:space="preserve">     18</w:t>
            </w:r>
            <w:r w:rsidR="009C78E9">
              <w:t>,850</w:t>
            </w:r>
          </w:p>
        </w:tc>
      </w:tr>
      <w:tr w:rsidR="00B15C90" w14:paraId="678D953D" w14:textId="77777777" w:rsidTr="00F5464F">
        <w:trPr>
          <w:trHeight w:val="300"/>
        </w:trPr>
        <w:tc>
          <w:tcPr>
            <w:tcW w:w="1502" w:type="dxa"/>
          </w:tcPr>
          <w:p w14:paraId="7823E5B0" w14:textId="77777777" w:rsidR="00B15C90" w:rsidRDefault="00B15C90" w:rsidP="00F5464F">
            <w:r>
              <w:t>October</w:t>
            </w:r>
          </w:p>
        </w:tc>
        <w:tc>
          <w:tcPr>
            <w:tcW w:w="1502" w:type="dxa"/>
          </w:tcPr>
          <w:p w14:paraId="142F871A" w14:textId="155EB93E" w:rsidR="00B15C90" w:rsidRDefault="00C12C31" w:rsidP="00F5464F">
            <w:r>
              <w:t xml:space="preserve">    18</w:t>
            </w:r>
            <w:r w:rsidR="00965A74">
              <w:t>,850</w:t>
            </w:r>
          </w:p>
        </w:tc>
        <w:tc>
          <w:tcPr>
            <w:tcW w:w="1502" w:type="dxa"/>
          </w:tcPr>
          <w:p w14:paraId="7E5EB527" w14:textId="441FC01E" w:rsidR="00B15C90" w:rsidRDefault="00B71C7E" w:rsidP="00F5464F">
            <w:r>
              <w:t xml:space="preserve"> 10,</w:t>
            </w:r>
            <w:r w:rsidR="00AB6AD2">
              <w:t>800</w:t>
            </w:r>
          </w:p>
        </w:tc>
        <w:tc>
          <w:tcPr>
            <w:tcW w:w="1502" w:type="dxa"/>
          </w:tcPr>
          <w:p w14:paraId="125888AA" w14:textId="42400148" w:rsidR="00B15C90" w:rsidRDefault="00FA3583" w:rsidP="00F5464F">
            <w:r>
              <w:t xml:space="preserve">  6,050</w:t>
            </w:r>
          </w:p>
        </w:tc>
        <w:tc>
          <w:tcPr>
            <w:tcW w:w="1502" w:type="dxa"/>
          </w:tcPr>
          <w:p w14:paraId="697FA005" w14:textId="736BA084" w:rsidR="00B15C90" w:rsidRDefault="00664EF7" w:rsidP="00F5464F">
            <w:r>
              <w:t xml:space="preserve">     </w:t>
            </w:r>
            <w:r w:rsidR="00B617A8">
              <w:t>4,750</w:t>
            </w:r>
          </w:p>
        </w:tc>
        <w:tc>
          <w:tcPr>
            <w:tcW w:w="1502" w:type="dxa"/>
          </w:tcPr>
          <w:p w14:paraId="602ADDD8" w14:textId="52219872" w:rsidR="00B15C90" w:rsidRDefault="009C78E9" w:rsidP="00F5464F">
            <w:r>
              <w:t xml:space="preserve">     23,600</w:t>
            </w:r>
          </w:p>
        </w:tc>
      </w:tr>
      <w:tr w:rsidR="00B15C90" w14:paraId="503CD76E" w14:textId="77777777" w:rsidTr="00F5464F">
        <w:trPr>
          <w:trHeight w:val="300"/>
        </w:trPr>
        <w:tc>
          <w:tcPr>
            <w:tcW w:w="1502" w:type="dxa"/>
          </w:tcPr>
          <w:p w14:paraId="3DA322F9" w14:textId="77777777" w:rsidR="00B15C90" w:rsidRDefault="00B15C90" w:rsidP="00F5464F">
            <w:r>
              <w:t>November</w:t>
            </w:r>
          </w:p>
        </w:tc>
        <w:tc>
          <w:tcPr>
            <w:tcW w:w="1502" w:type="dxa"/>
          </w:tcPr>
          <w:p w14:paraId="36816DD2" w14:textId="67863576" w:rsidR="00B15C90" w:rsidRDefault="00965A74" w:rsidP="00F5464F">
            <w:r>
              <w:t xml:space="preserve">    23,</w:t>
            </w:r>
            <w:r w:rsidR="00D640B7">
              <w:t>600</w:t>
            </w:r>
          </w:p>
        </w:tc>
        <w:tc>
          <w:tcPr>
            <w:tcW w:w="1502" w:type="dxa"/>
          </w:tcPr>
          <w:p w14:paraId="1E5ED015" w14:textId="7D739DCE" w:rsidR="00B15C90" w:rsidRDefault="00AB6AD2" w:rsidP="00F5464F">
            <w:r>
              <w:t xml:space="preserve"> 11,400</w:t>
            </w:r>
          </w:p>
        </w:tc>
        <w:tc>
          <w:tcPr>
            <w:tcW w:w="1502" w:type="dxa"/>
          </w:tcPr>
          <w:p w14:paraId="36617159" w14:textId="36057DF5" w:rsidR="00B15C90" w:rsidRDefault="00FA3583" w:rsidP="00F5464F">
            <w:r>
              <w:t xml:space="preserve">  6,350</w:t>
            </w:r>
          </w:p>
        </w:tc>
        <w:tc>
          <w:tcPr>
            <w:tcW w:w="1502" w:type="dxa"/>
          </w:tcPr>
          <w:p w14:paraId="53463441" w14:textId="50A4A765" w:rsidR="00B15C90" w:rsidRDefault="00B617A8" w:rsidP="00F5464F">
            <w:r>
              <w:t xml:space="preserve">     5,</w:t>
            </w:r>
            <w:r w:rsidR="000F1CED">
              <w:t>050</w:t>
            </w:r>
          </w:p>
        </w:tc>
        <w:tc>
          <w:tcPr>
            <w:tcW w:w="1502" w:type="dxa"/>
          </w:tcPr>
          <w:p w14:paraId="474F820C" w14:textId="6DE229A6" w:rsidR="00B15C90" w:rsidRDefault="009C78E9" w:rsidP="00F5464F">
            <w:r>
              <w:t xml:space="preserve">     28,650</w:t>
            </w:r>
          </w:p>
        </w:tc>
      </w:tr>
      <w:tr w:rsidR="00B15C90" w14:paraId="2E745217" w14:textId="77777777" w:rsidTr="00F5464F">
        <w:trPr>
          <w:trHeight w:val="300"/>
        </w:trPr>
        <w:tc>
          <w:tcPr>
            <w:tcW w:w="1502" w:type="dxa"/>
          </w:tcPr>
          <w:p w14:paraId="49218554" w14:textId="77777777" w:rsidR="00B15C90" w:rsidRDefault="00B15C90" w:rsidP="00F5464F">
            <w:r>
              <w:t>December</w:t>
            </w:r>
          </w:p>
        </w:tc>
        <w:tc>
          <w:tcPr>
            <w:tcW w:w="1502" w:type="dxa"/>
          </w:tcPr>
          <w:p w14:paraId="2604D6B6" w14:textId="32ACCF0C" w:rsidR="00B15C90" w:rsidRDefault="00D640B7" w:rsidP="00F5464F">
            <w:r>
              <w:t xml:space="preserve">    28,650</w:t>
            </w:r>
          </w:p>
        </w:tc>
        <w:tc>
          <w:tcPr>
            <w:tcW w:w="1502" w:type="dxa"/>
          </w:tcPr>
          <w:p w14:paraId="22ADCCE0" w14:textId="4DE1AE49" w:rsidR="00B15C90" w:rsidRDefault="00AB6AD2" w:rsidP="00F5464F">
            <w:r>
              <w:t xml:space="preserve"> 12,</w:t>
            </w:r>
            <w:r w:rsidR="00C929AD">
              <w:t>000</w:t>
            </w:r>
          </w:p>
        </w:tc>
        <w:tc>
          <w:tcPr>
            <w:tcW w:w="1502" w:type="dxa"/>
          </w:tcPr>
          <w:p w14:paraId="00996F2B" w14:textId="0AEE2ED7" w:rsidR="00B15C90" w:rsidRDefault="00FA3583" w:rsidP="00F5464F">
            <w:r>
              <w:t xml:space="preserve">  </w:t>
            </w:r>
            <w:r w:rsidR="00B87A82">
              <w:t>6,650</w:t>
            </w:r>
          </w:p>
        </w:tc>
        <w:tc>
          <w:tcPr>
            <w:tcW w:w="1502" w:type="dxa"/>
          </w:tcPr>
          <w:p w14:paraId="194A642B" w14:textId="43FE8804" w:rsidR="00B15C90" w:rsidRDefault="000F1CED" w:rsidP="00F5464F">
            <w:r>
              <w:t xml:space="preserve">     5,350</w:t>
            </w:r>
          </w:p>
        </w:tc>
        <w:tc>
          <w:tcPr>
            <w:tcW w:w="1502" w:type="dxa"/>
          </w:tcPr>
          <w:p w14:paraId="55F18B28" w14:textId="1864B626" w:rsidR="00B15C90" w:rsidRDefault="009C78E9" w:rsidP="00F5464F">
            <w:r>
              <w:t xml:space="preserve">     </w:t>
            </w:r>
            <w:r w:rsidR="00220F80">
              <w:t>34,000</w:t>
            </w:r>
          </w:p>
        </w:tc>
      </w:tr>
    </w:tbl>
    <w:p w14:paraId="3F7E0257" w14:textId="77777777" w:rsidR="00B15C90" w:rsidRDefault="00B15C90" w:rsidP="00B15C90"/>
    <w:p w14:paraId="002B28EC" w14:textId="77777777" w:rsidR="00801C67" w:rsidRDefault="00801C67" w:rsidP="000F7AB1">
      <w:pPr>
        <w:spacing w:before="100" w:beforeAutospacing="1" w:after="100" w:afterAutospacing="1" w:line="240" w:lineRule="auto"/>
        <w:outlineLvl w:val="1"/>
        <w:rPr>
          <w:rFonts w:ascii="Arial" w:eastAsia="Times New Roman" w:hAnsi="Arial" w:cs="Arial"/>
          <w:b/>
          <w:bCs/>
          <w:kern w:val="0"/>
          <w:lang w:eastAsia="en-GB"/>
          <w14:ligatures w14:val="none"/>
        </w:rPr>
      </w:pPr>
    </w:p>
    <w:p w14:paraId="377C7530" w14:textId="57CA1F9A" w:rsidR="000F7AB1" w:rsidRPr="000F7AB1" w:rsidRDefault="000F7AB1" w:rsidP="000F7AB1">
      <w:pPr>
        <w:spacing w:before="100" w:beforeAutospacing="1" w:after="100" w:afterAutospacing="1" w:line="240" w:lineRule="auto"/>
        <w:outlineLvl w:val="1"/>
        <w:rPr>
          <w:rFonts w:ascii="Arial" w:eastAsia="Times New Roman" w:hAnsi="Arial" w:cs="Arial"/>
          <w:b/>
          <w:bCs/>
          <w:kern w:val="0"/>
          <w:lang w:eastAsia="en-GB"/>
          <w14:ligatures w14:val="none"/>
        </w:rPr>
      </w:pPr>
      <w:r w:rsidRPr="000F7AB1">
        <w:rPr>
          <w:rFonts w:ascii="Arial" w:eastAsia="Times New Roman" w:hAnsi="Arial" w:cs="Arial"/>
          <w:b/>
          <w:bCs/>
          <w:kern w:val="0"/>
          <w:lang w:eastAsia="en-GB"/>
          <w14:ligatures w14:val="none"/>
        </w:rPr>
        <w:t>5.5 Financial Explanation</w:t>
      </w:r>
    </w:p>
    <w:p w14:paraId="5EF68831" w14:textId="6E06FC7B" w:rsidR="006E23D8" w:rsidRDefault="006E23D8" w:rsidP="006E23D8">
      <w:pPr>
        <w:pStyle w:val="p1"/>
      </w:pPr>
      <w:r>
        <w:t>The cash inflows throughout the year come mainly from monthly subscription payments made by customers. As Glow Box grows and attracts more subscribers, the inflows increase steadily. Additional early inflows, such as the UK Start-Up Loan Scheme funding, a Prince’s Trust grant and support from local council sustainability programmes, help cover initial development, marketing and inventory costs while subscription revenue becomes the primary income source from February onwards.</w:t>
      </w:r>
    </w:p>
    <w:p w14:paraId="32D398F7" w14:textId="77777777" w:rsidR="006E23D8" w:rsidRDefault="006E23D8" w:rsidP="006E23D8">
      <w:pPr>
        <w:pStyle w:val="p2"/>
      </w:pPr>
    </w:p>
    <w:p w14:paraId="67D261B2" w14:textId="5BD10C19" w:rsidR="000B6592" w:rsidRPr="0084426F" w:rsidRDefault="006E23D8" w:rsidP="0084426F">
      <w:pPr>
        <w:pStyle w:val="p1"/>
      </w:pPr>
      <w:r>
        <w:lastRenderedPageBreak/>
        <w:t>The cash flow forecast shows a small initial loss in January due to launch expenses, including app development, marketing and stock purchases. From February onwards, inflows rise consistently as customer numbers increase, while outflows remain stable due to Glow Box’s online operating model, which keeps overheads low. As a result, the net cash flow becomes positive early in the year and continues improving each month. By December, the ending balance reaches £34,000, indicating strong financial performance and long-term sustainability for the business during its first operational year (Mintel, 2023).</w:t>
      </w:r>
    </w:p>
    <w:p w14:paraId="0489C746" w14:textId="77777777" w:rsidR="00284AAF" w:rsidRDefault="00284AAF" w:rsidP="001768EE">
      <w:pPr>
        <w:spacing w:before="100" w:beforeAutospacing="1" w:after="100" w:afterAutospacing="1" w:line="240" w:lineRule="auto"/>
        <w:outlineLvl w:val="0"/>
        <w:rPr>
          <w:rFonts w:ascii="Arial" w:eastAsia="Times New Roman" w:hAnsi="Arial" w:cs="Arial"/>
          <w:b/>
          <w:bCs/>
          <w:kern w:val="36"/>
          <w:lang w:eastAsia="en-GB"/>
          <w14:ligatures w14:val="none"/>
        </w:rPr>
      </w:pPr>
    </w:p>
    <w:p w14:paraId="3B7A6243" w14:textId="685E4BAB" w:rsidR="001768EE" w:rsidRPr="001768EE" w:rsidRDefault="001768EE" w:rsidP="001768EE">
      <w:pPr>
        <w:spacing w:before="100" w:beforeAutospacing="1" w:after="100" w:afterAutospacing="1" w:line="240" w:lineRule="auto"/>
        <w:outlineLvl w:val="0"/>
        <w:rPr>
          <w:rFonts w:ascii="Arial" w:eastAsia="Times New Roman" w:hAnsi="Arial" w:cs="Arial"/>
          <w:b/>
          <w:bCs/>
          <w:kern w:val="36"/>
          <w:lang w:eastAsia="en-GB"/>
          <w14:ligatures w14:val="none"/>
        </w:rPr>
      </w:pPr>
      <w:r w:rsidRPr="001768EE">
        <w:rPr>
          <w:rFonts w:ascii="Arial" w:eastAsia="Times New Roman" w:hAnsi="Arial" w:cs="Arial"/>
          <w:b/>
          <w:bCs/>
          <w:kern w:val="36"/>
          <w:lang w:eastAsia="en-GB"/>
          <w14:ligatures w14:val="none"/>
        </w:rPr>
        <w:t>6. References</w:t>
      </w:r>
    </w:p>
    <w:p w14:paraId="18E2E241" w14:textId="77777777" w:rsidR="006E739D" w:rsidRPr="006E739D" w:rsidRDefault="006E739D" w:rsidP="006E7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739D">
        <w:rPr>
          <w:rFonts w:ascii="Times New Roman" w:eastAsia="Times New Roman" w:hAnsi="Times New Roman" w:cs="Times New Roman"/>
          <w:kern w:val="0"/>
          <w:lang w:eastAsia="en-GB"/>
          <w14:ligatures w14:val="none"/>
        </w:rPr>
        <w:t xml:space="preserve">Allergy UK (2023) </w:t>
      </w:r>
      <w:r w:rsidRPr="006E739D">
        <w:rPr>
          <w:rFonts w:ascii="Times New Roman" w:eastAsia="Times New Roman" w:hAnsi="Times New Roman" w:cs="Times New Roman"/>
          <w:i/>
          <w:iCs/>
          <w:kern w:val="0"/>
          <w:lang w:eastAsia="en-GB"/>
          <w14:ligatures w14:val="none"/>
        </w:rPr>
        <w:t>Sensitive Skin Statistics Report</w:t>
      </w:r>
      <w:r w:rsidRPr="006E739D">
        <w:rPr>
          <w:rFonts w:ascii="Times New Roman" w:eastAsia="Times New Roman" w:hAnsi="Times New Roman" w:cs="Times New Roman"/>
          <w:kern w:val="0"/>
          <w:lang w:eastAsia="en-GB"/>
          <w14:ligatures w14:val="none"/>
        </w:rPr>
        <w:t>.</w:t>
      </w:r>
    </w:p>
    <w:p w14:paraId="6FB2E642" w14:textId="77777777" w:rsidR="006E739D" w:rsidRPr="006E739D" w:rsidRDefault="006E739D" w:rsidP="006E7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739D">
        <w:rPr>
          <w:rFonts w:ascii="Times New Roman" w:eastAsia="Times New Roman" w:hAnsi="Times New Roman" w:cs="Times New Roman"/>
          <w:kern w:val="0"/>
          <w:lang w:eastAsia="en-GB"/>
          <w14:ligatures w14:val="none"/>
        </w:rPr>
        <w:t xml:space="preserve">British Skin Foundation (2022) </w:t>
      </w:r>
      <w:r w:rsidRPr="006E739D">
        <w:rPr>
          <w:rFonts w:ascii="Times New Roman" w:eastAsia="Times New Roman" w:hAnsi="Times New Roman" w:cs="Times New Roman"/>
          <w:i/>
          <w:iCs/>
          <w:kern w:val="0"/>
          <w:lang w:eastAsia="en-GB"/>
          <w14:ligatures w14:val="none"/>
        </w:rPr>
        <w:t>Sensitive Skin Insights and Consumer Issues</w:t>
      </w:r>
      <w:r w:rsidRPr="006E739D">
        <w:rPr>
          <w:rFonts w:ascii="Times New Roman" w:eastAsia="Times New Roman" w:hAnsi="Times New Roman" w:cs="Times New Roman"/>
          <w:kern w:val="0"/>
          <w:lang w:eastAsia="en-GB"/>
          <w14:ligatures w14:val="none"/>
        </w:rPr>
        <w:t>.</w:t>
      </w:r>
    </w:p>
    <w:p w14:paraId="37A115FB" w14:textId="77777777" w:rsidR="006E739D" w:rsidRPr="006E739D" w:rsidRDefault="006E739D" w:rsidP="006E7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739D">
        <w:rPr>
          <w:rFonts w:ascii="Times New Roman" w:eastAsia="Times New Roman" w:hAnsi="Times New Roman" w:cs="Times New Roman"/>
          <w:kern w:val="0"/>
          <w:lang w:eastAsia="en-GB"/>
          <w14:ligatures w14:val="none"/>
        </w:rPr>
        <w:t xml:space="preserve">Cosmetic, Toiletry and Perfumery Association (CTPA) (2023) </w:t>
      </w:r>
      <w:r w:rsidRPr="006E739D">
        <w:rPr>
          <w:rFonts w:ascii="Times New Roman" w:eastAsia="Times New Roman" w:hAnsi="Times New Roman" w:cs="Times New Roman"/>
          <w:i/>
          <w:iCs/>
          <w:kern w:val="0"/>
          <w:lang w:eastAsia="en-GB"/>
          <w14:ligatures w14:val="none"/>
        </w:rPr>
        <w:t>UK Cosmetic Regulations Overview</w:t>
      </w:r>
      <w:r w:rsidRPr="006E739D">
        <w:rPr>
          <w:rFonts w:ascii="Times New Roman" w:eastAsia="Times New Roman" w:hAnsi="Times New Roman" w:cs="Times New Roman"/>
          <w:kern w:val="0"/>
          <w:lang w:eastAsia="en-GB"/>
          <w14:ligatures w14:val="none"/>
        </w:rPr>
        <w:t>.</w:t>
      </w:r>
    </w:p>
    <w:p w14:paraId="10861655" w14:textId="77777777" w:rsidR="0064415A" w:rsidRDefault="006E739D" w:rsidP="006E7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739D">
        <w:rPr>
          <w:rFonts w:ascii="Times New Roman" w:eastAsia="Times New Roman" w:hAnsi="Times New Roman" w:cs="Times New Roman"/>
          <w:kern w:val="0"/>
          <w:lang w:eastAsia="en-GB"/>
          <w14:ligatures w14:val="none"/>
        </w:rPr>
        <w:t xml:space="preserve">European Commission (2023) </w:t>
      </w:r>
      <w:r w:rsidRPr="006E739D">
        <w:rPr>
          <w:rFonts w:ascii="Times New Roman" w:eastAsia="Times New Roman" w:hAnsi="Times New Roman" w:cs="Times New Roman"/>
          <w:i/>
          <w:iCs/>
          <w:kern w:val="0"/>
          <w:lang w:eastAsia="en-GB"/>
          <w14:ligatures w14:val="none"/>
        </w:rPr>
        <w:t>Post-Brexit Trade Rules for Cosmetic Goods</w:t>
      </w:r>
      <w:r w:rsidRPr="006E739D">
        <w:rPr>
          <w:rFonts w:ascii="Times New Roman" w:eastAsia="Times New Roman" w:hAnsi="Times New Roman" w:cs="Times New Roman"/>
          <w:kern w:val="0"/>
          <w:lang w:eastAsia="en-GB"/>
          <w14:ligatures w14:val="none"/>
        </w:rPr>
        <w:t>.</w:t>
      </w:r>
    </w:p>
    <w:p w14:paraId="0D05CC38" w14:textId="2D9D8F10" w:rsidR="006E739D" w:rsidRPr="006E739D" w:rsidRDefault="006E739D" w:rsidP="006E7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739D">
        <w:rPr>
          <w:rFonts w:ascii="Times New Roman" w:eastAsia="Times New Roman" w:hAnsi="Times New Roman" w:cs="Times New Roman"/>
          <w:kern w:val="0"/>
          <w:lang w:eastAsia="en-GB"/>
          <w14:ligatures w14:val="none"/>
        </w:rPr>
        <w:t xml:space="preserve">Kotler, P., Armstrong, G. &amp; Operonic, M. (2022) </w:t>
      </w:r>
      <w:r w:rsidRPr="006E739D">
        <w:rPr>
          <w:rFonts w:ascii="Times New Roman" w:eastAsia="Times New Roman" w:hAnsi="Times New Roman" w:cs="Times New Roman"/>
          <w:i/>
          <w:iCs/>
          <w:kern w:val="0"/>
          <w:lang w:eastAsia="en-GB"/>
          <w14:ligatures w14:val="none"/>
        </w:rPr>
        <w:t>Principles of Marketing</w:t>
      </w:r>
      <w:r w:rsidRPr="006E739D">
        <w:rPr>
          <w:rFonts w:ascii="Times New Roman" w:eastAsia="Times New Roman" w:hAnsi="Times New Roman" w:cs="Times New Roman"/>
          <w:kern w:val="0"/>
          <w:lang w:eastAsia="en-GB"/>
          <w14:ligatures w14:val="none"/>
        </w:rPr>
        <w:t>. Pearson.</w:t>
      </w:r>
    </w:p>
    <w:p w14:paraId="4893EF05" w14:textId="77777777" w:rsidR="006E739D" w:rsidRPr="006E739D" w:rsidRDefault="006E739D" w:rsidP="006E7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739D">
        <w:rPr>
          <w:rFonts w:ascii="Times New Roman" w:eastAsia="Times New Roman" w:hAnsi="Times New Roman" w:cs="Times New Roman"/>
          <w:kern w:val="0"/>
          <w:lang w:eastAsia="en-GB"/>
          <w14:ligatures w14:val="none"/>
        </w:rPr>
        <w:t xml:space="preserve">Mintel (2023) </w:t>
      </w:r>
      <w:r w:rsidRPr="006E739D">
        <w:rPr>
          <w:rFonts w:ascii="Times New Roman" w:eastAsia="Times New Roman" w:hAnsi="Times New Roman" w:cs="Times New Roman"/>
          <w:i/>
          <w:iCs/>
          <w:kern w:val="0"/>
          <w:lang w:eastAsia="en-GB"/>
          <w14:ligatures w14:val="none"/>
        </w:rPr>
        <w:t>Beauty and Personal Care Consumer Report UK</w:t>
      </w:r>
      <w:r w:rsidRPr="006E739D">
        <w:rPr>
          <w:rFonts w:ascii="Times New Roman" w:eastAsia="Times New Roman" w:hAnsi="Times New Roman" w:cs="Times New Roman"/>
          <w:kern w:val="0"/>
          <w:lang w:eastAsia="en-GB"/>
          <w14:ligatures w14:val="none"/>
        </w:rPr>
        <w:t>.</w:t>
      </w:r>
    </w:p>
    <w:p w14:paraId="7A9101BD" w14:textId="77777777" w:rsidR="006E739D" w:rsidRPr="006E739D" w:rsidRDefault="006E739D" w:rsidP="006E7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739D">
        <w:rPr>
          <w:rFonts w:ascii="Times New Roman" w:eastAsia="Times New Roman" w:hAnsi="Times New Roman" w:cs="Times New Roman"/>
          <w:kern w:val="0"/>
          <w:lang w:eastAsia="en-GB"/>
          <w14:ligatures w14:val="none"/>
        </w:rPr>
        <w:t xml:space="preserve">Nielsen (2022) </w:t>
      </w:r>
      <w:r w:rsidRPr="006E739D">
        <w:rPr>
          <w:rFonts w:ascii="Times New Roman" w:eastAsia="Times New Roman" w:hAnsi="Times New Roman" w:cs="Times New Roman"/>
          <w:i/>
          <w:iCs/>
          <w:kern w:val="0"/>
          <w:lang w:eastAsia="en-GB"/>
          <w14:ligatures w14:val="none"/>
        </w:rPr>
        <w:t>Consumer Trust in Dermatological Skincare Products</w:t>
      </w:r>
      <w:r w:rsidRPr="006E739D">
        <w:rPr>
          <w:rFonts w:ascii="Times New Roman" w:eastAsia="Times New Roman" w:hAnsi="Times New Roman" w:cs="Times New Roman"/>
          <w:kern w:val="0"/>
          <w:lang w:eastAsia="en-GB"/>
          <w14:ligatures w14:val="none"/>
        </w:rPr>
        <w:t>.</w:t>
      </w:r>
    </w:p>
    <w:p w14:paraId="256EF1F6" w14:textId="77777777" w:rsidR="006E739D" w:rsidRPr="006E739D" w:rsidRDefault="006E739D" w:rsidP="006E7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739D">
        <w:rPr>
          <w:rFonts w:ascii="Times New Roman" w:eastAsia="Times New Roman" w:hAnsi="Times New Roman" w:cs="Times New Roman"/>
          <w:kern w:val="0"/>
          <w:lang w:eastAsia="en-GB"/>
          <w14:ligatures w14:val="none"/>
        </w:rPr>
        <w:t xml:space="preserve">Prince’s Trust (2024) </w:t>
      </w:r>
      <w:r w:rsidRPr="006E739D">
        <w:rPr>
          <w:rFonts w:ascii="Times New Roman" w:eastAsia="Times New Roman" w:hAnsi="Times New Roman" w:cs="Times New Roman"/>
          <w:i/>
          <w:iCs/>
          <w:kern w:val="0"/>
          <w:lang w:eastAsia="en-GB"/>
          <w14:ligatures w14:val="none"/>
        </w:rPr>
        <w:t>Enterprise Programme Funding Guide</w:t>
      </w:r>
      <w:r w:rsidRPr="006E739D">
        <w:rPr>
          <w:rFonts w:ascii="Times New Roman" w:eastAsia="Times New Roman" w:hAnsi="Times New Roman" w:cs="Times New Roman"/>
          <w:kern w:val="0"/>
          <w:lang w:eastAsia="en-GB"/>
          <w14:ligatures w14:val="none"/>
        </w:rPr>
        <w:t>.</w:t>
      </w:r>
    </w:p>
    <w:p w14:paraId="78481792" w14:textId="77777777" w:rsidR="006E739D" w:rsidRPr="006E739D" w:rsidRDefault="006E739D" w:rsidP="006E7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739D">
        <w:rPr>
          <w:rFonts w:ascii="Times New Roman" w:eastAsia="Times New Roman" w:hAnsi="Times New Roman" w:cs="Times New Roman"/>
          <w:kern w:val="0"/>
          <w:lang w:eastAsia="en-GB"/>
          <w14:ligatures w14:val="none"/>
        </w:rPr>
        <w:t xml:space="preserve">Solomon, M. (2021) </w:t>
      </w:r>
      <w:r w:rsidRPr="006E739D">
        <w:rPr>
          <w:rFonts w:ascii="Times New Roman" w:eastAsia="Times New Roman" w:hAnsi="Times New Roman" w:cs="Times New Roman"/>
          <w:i/>
          <w:iCs/>
          <w:kern w:val="0"/>
          <w:lang w:eastAsia="en-GB"/>
          <w14:ligatures w14:val="none"/>
        </w:rPr>
        <w:t>Consumer Behaviour: Buying, Having and Being</w:t>
      </w:r>
      <w:r w:rsidRPr="006E739D">
        <w:rPr>
          <w:rFonts w:ascii="Times New Roman" w:eastAsia="Times New Roman" w:hAnsi="Times New Roman" w:cs="Times New Roman"/>
          <w:kern w:val="0"/>
          <w:lang w:eastAsia="en-GB"/>
          <w14:ligatures w14:val="none"/>
        </w:rPr>
        <w:t>. Pearson.</w:t>
      </w:r>
    </w:p>
    <w:p w14:paraId="7402679E" w14:textId="77777777" w:rsidR="006E739D" w:rsidRPr="006E739D" w:rsidRDefault="006E739D" w:rsidP="006E7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739D">
        <w:rPr>
          <w:rFonts w:ascii="Times New Roman" w:eastAsia="Times New Roman" w:hAnsi="Times New Roman" w:cs="Times New Roman"/>
          <w:kern w:val="0"/>
          <w:lang w:eastAsia="en-GB"/>
          <w14:ligatures w14:val="none"/>
        </w:rPr>
        <w:t xml:space="preserve">Statista (2024) </w:t>
      </w:r>
      <w:r w:rsidRPr="006E739D">
        <w:rPr>
          <w:rFonts w:ascii="Times New Roman" w:eastAsia="Times New Roman" w:hAnsi="Times New Roman" w:cs="Times New Roman"/>
          <w:i/>
          <w:iCs/>
          <w:kern w:val="0"/>
          <w:lang w:eastAsia="en-GB"/>
          <w14:ligatures w14:val="none"/>
        </w:rPr>
        <w:t>Skincare Market Size in the United Kingdom</w:t>
      </w:r>
      <w:r w:rsidRPr="006E739D">
        <w:rPr>
          <w:rFonts w:ascii="Times New Roman" w:eastAsia="Times New Roman" w:hAnsi="Times New Roman" w:cs="Times New Roman"/>
          <w:kern w:val="0"/>
          <w:lang w:eastAsia="en-GB"/>
          <w14:ligatures w14:val="none"/>
        </w:rPr>
        <w:t>.</w:t>
      </w:r>
    </w:p>
    <w:p w14:paraId="1E99C315" w14:textId="77777777" w:rsidR="006E739D" w:rsidRPr="006E739D" w:rsidRDefault="006E739D" w:rsidP="006E7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739D">
        <w:rPr>
          <w:rFonts w:ascii="Times New Roman" w:eastAsia="Times New Roman" w:hAnsi="Times New Roman" w:cs="Times New Roman"/>
          <w:kern w:val="0"/>
          <w:lang w:eastAsia="en-GB"/>
          <w14:ligatures w14:val="none"/>
        </w:rPr>
        <w:t xml:space="preserve">UK Government (2023) </w:t>
      </w:r>
      <w:r w:rsidRPr="006E739D">
        <w:rPr>
          <w:rFonts w:ascii="Times New Roman" w:eastAsia="Times New Roman" w:hAnsi="Times New Roman" w:cs="Times New Roman"/>
          <w:i/>
          <w:iCs/>
          <w:kern w:val="0"/>
          <w:lang w:eastAsia="en-GB"/>
          <w14:ligatures w14:val="none"/>
        </w:rPr>
        <w:t>Packaging Waste Regulations</w:t>
      </w:r>
      <w:r w:rsidRPr="006E739D">
        <w:rPr>
          <w:rFonts w:ascii="Times New Roman" w:eastAsia="Times New Roman" w:hAnsi="Times New Roman" w:cs="Times New Roman"/>
          <w:kern w:val="0"/>
          <w:lang w:eastAsia="en-GB"/>
          <w14:ligatures w14:val="none"/>
        </w:rPr>
        <w:t>.</w:t>
      </w:r>
    </w:p>
    <w:p w14:paraId="5238734D" w14:textId="77777777" w:rsidR="006E739D" w:rsidRPr="006E739D" w:rsidRDefault="006E739D" w:rsidP="006E739D">
      <w:pPr>
        <w:spacing w:before="100" w:beforeAutospacing="1" w:after="100" w:afterAutospacing="1" w:line="240" w:lineRule="auto"/>
        <w:rPr>
          <w:rFonts w:ascii="Times New Roman" w:eastAsia="Times New Roman" w:hAnsi="Times New Roman" w:cs="Times New Roman"/>
          <w:kern w:val="0"/>
          <w:lang w:eastAsia="en-GB"/>
          <w14:ligatures w14:val="none"/>
        </w:rPr>
      </w:pPr>
      <w:r w:rsidRPr="006E739D">
        <w:rPr>
          <w:rFonts w:ascii="Times New Roman" w:eastAsia="Times New Roman" w:hAnsi="Times New Roman" w:cs="Times New Roman"/>
          <w:kern w:val="0"/>
          <w:lang w:eastAsia="en-GB"/>
          <w14:ligatures w14:val="none"/>
        </w:rPr>
        <w:t xml:space="preserve">UK Start-Up Loans (2024) </w:t>
      </w:r>
      <w:r w:rsidRPr="006E739D">
        <w:rPr>
          <w:rFonts w:ascii="Times New Roman" w:eastAsia="Times New Roman" w:hAnsi="Times New Roman" w:cs="Times New Roman"/>
          <w:i/>
          <w:iCs/>
          <w:kern w:val="0"/>
          <w:lang w:eastAsia="en-GB"/>
          <w14:ligatures w14:val="none"/>
        </w:rPr>
        <w:t>Government Start-Up Loan Scheme</w:t>
      </w:r>
      <w:r w:rsidRPr="006E739D">
        <w:rPr>
          <w:rFonts w:ascii="Times New Roman" w:eastAsia="Times New Roman" w:hAnsi="Times New Roman" w:cs="Times New Roman"/>
          <w:kern w:val="0"/>
          <w:lang w:eastAsia="en-GB"/>
          <w14:ligatures w14:val="none"/>
        </w:rPr>
        <w:t>.</w:t>
      </w:r>
    </w:p>
    <w:p w14:paraId="5AAC23FE" w14:textId="4ED2CA0F" w:rsidR="006E739D" w:rsidRPr="006E739D" w:rsidRDefault="006E739D" w:rsidP="006E739D">
      <w:pPr>
        <w:spacing w:after="0" w:line="240" w:lineRule="auto"/>
        <w:rPr>
          <w:rFonts w:ascii="Times New Roman" w:eastAsia="Times New Roman" w:hAnsi="Times New Roman" w:cs="Times New Roman"/>
          <w:kern w:val="0"/>
          <w:lang w:eastAsia="en-GB"/>
          <w14:ligatures w14:val="none"/>
        </w:rPr>
      </w:pPr>
    </w:p>
    <w:p w14:paraId="48063C3C" w14:textId="77777777" w:rsidR="00BA7489" w:rsidRDefault="00BA7489"/>
    <w:sectPr w:rsidR="00BA74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71437"/>
    <w:multiLevelType w:val="multilevel"/>
    <w:tmpl w:val="E30CF97A"/>
    <w:lvl w:ilvl="0">
      <w:start w:val="1"/>
      <w:numFmt w:val="decimal"/>
      <w:lvlText w:val="%1."/>
      <w:lvlJc w:val="left"/>
      <w:pPr>
        <w:tabs>
          <w:tab w:val="num" w:pos="720"/>
        </w:tabs>
        <w:ind w:left="720" w:hanging="360"/>
      </w:pPr>
      <w:rPr>
        <w:rFonts w:ascii="Times New Roman" w:eastAsia="Times New Roman"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956818"/>
    <w:multiLevelType w:val="multilevel"/>
    <w:tmpl w:val="68305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FB4E94"/>
    <w:multiLevelType w:val="multilevel"/>
    <w:tmpl w:val="812A9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581DA1"/>
    <w:multiLevelType w:val="multilevel"/>
    <w:tmpl w:val="AFD02B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C8D2AA0"/>
    <w:multiLevelType w:val="multilevel"/>
    <w:tmpl w:val="140A1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86469E"/>
    <w:multiLevelType w:val="multilevel"/>
    <w:tmpl w:val="C9B6C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0868584">
    <w:abstractNumId w:val="0"/>
  </w:num>
  <w:num w:numId="2" w16cid:durableId="1404371539">
    <w:abstractNumId w:val="2"/>
  </w:num>
  <w:num w:numId="3" w16cid:durableId="700522017">
    <w:abstractNumId w:val="5"/>
  </w:num>
  <w:num w:numId="4" w16cid:durableId="963773047">
    <w:abstractNumId w:val="1"/>
  </w:num>
  <w:num w:numId="5" w16cid:durableId="1663584678">
    <w:abstractNumId w:val="3"/>
  </w:num>
  <w:num w:numId="6" w16cid:durableId="14555174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44E"/>
    <w:rsid w:val="00056D12"/>
    <w:rsid w:val="00074CFC"/>
    <w:rsid w:val="00092957"/>
    <w:rsid w:val="000A18C6"/>
    <w:rsid w:val="000A1E73"/>
    <w:rsid w:val="000B04ED"/>
    <w:rsid w:val="000B6592"/>
    <w:rsid w:val="000D32AC"/>
    <w:rsid w:val="000D7925"/>
    <w:rsid w:val="000F1CED"/>
    <w:rsid w:val="000F26F6"/>
    <w:rsid w:val="000F4734"/>
    <w:rsid w:val="000F7AB1"/>
    <w:rsid w:val="0015162A"/>
    <w:rsid w:val="00152EEC"/>
    <w:rsid w:val="00163CE4"/>
    <w:rsid w:val="001768EE"/>
    <w:rsid w:val="00196F30"/>
    <w:rsid w:val="00220F80"/>
    <w:rsid w:val="002244AF"/>
    <w:rsid w:val="0023016C"/>
    <w:rsid w:val="00230B4F"/>
    <w:rsid w:val="00244903"/>
    <w:rsid w:val="00264C2F"/>
    <w:rsid w:val="00282D09"/>
    <w:rsid w:val="00284AAF"/>
    <w:rsid w:val="002C0620"/>
    <w:rsid w:val="002C1E03"/>
    <w:rsid w:val="002F2F5A"/>
    <w:rsid w:val="002F74E3"/>
    <w:rsid w:val="00324C4C"/>
    <w:rsid w:val="00340FD3"/>
    <w:rsid w:val="0037442E"/>
    <w:rsid w:val="00383A2F"/>
    <w:rsid w:val="0039331D"/>
    <w:rsid w:val="0039572E"/>
    <w:rsid w:val="003B55EE"/>
    <w:rsid w:val="003D1ABB"/>
    <w:rsid w:val="003E0C67"/>
    <w:rsid w:val="00415ECE"/>
    <w:rsid w:val="00433E5E"/>
    <w:rsid w:val="00451AF7"/>
    <w:rsid w:val="00475149"/>
    <w:rsid w:val="004A1B4D"/>
    <w:rsid w:val="004A6D57"/>
    <w:rsid w:val="004A77B0"/>
    <w:rsid w:val="004D6164"/>
    <w:rsid w:val="004E25EA"/>
    <w:rsid w:val="004F36F4"/>
    <w:rsid w:val="004F3E94"/>
    <w:rsid w:val="004F4568"/>
    <w:rsid w:val="00530268"/>
    <w:rsid w:val="00564B4F"/>
    <w:rsid w:val="00567072"/>
    <w:rsid w:val="005A15D2"/>
    <w:rsid w:val="005A1911"/>
    <w:rsid w:val="005B2C32"/>
    <w:rsid w:val="005B6E3F"/>
    <w:rsid w:val="005F22B4"/>
    <w:rsid w:val="00624716"/>
    <w:rsid w:val="00644045"/>
    <w:rsid w:val="0064415A"/>
    <w:rsid w:val="00662B3C"/>
    <w:rsid w:val="00664EF7"/>
    <w:rsid w:val="00671378"/>
    <w:rsid w:val="00676DC1"/>
    <w:rsid w:val="006B2BD8"/>
    <w:rsid w:val="006D152D"/>
    <w:rsid w:val="006E23D8"/>
    <w:rsid w:val="006E739D"/>
    <w:rsid w:val="00702DFF"/>
    <w:rsid w:val="007060C0"/>
    <w:rsid w:val="0072126C"/>
    <w:rsid w:val="00724587"/>
    <w:rsid w:val="007664E2"/>
    <w:rsid w:val="00776375"/>
    <w:rsid w:val="00790F2B"/>
    <w:rsid w:val="007925C1"/>
    <w:rsid w:val="007A3C15"/>
    <w:rsid w:val="007D099E"/>
    <w:rsid w:val="007F29A3"/>
    <w:rsid w:val="00801C67"/>
    <w:rsid w:val="00810935"/>
    <w:rsid w:val="008325CF"/>
    <w:rsid w:val="008337AC"/>
    <w:rsid w:val="0084426F"/>
    <w:rsid w:val="00854BC2"/>
    <w:rsid w:val="00861FED"/>
    <w:rsid w:val="00864381"/>
    <w:rsid w:val="00880D21"/>
    <w:rsid w:val="00890376"/>
    <w:rsid w:val="008A66D1"/>
    <w:rsid w:val="008D31E5"/>
    <w:rsid w:val="00906411"/>
    <w:rsid w:val="00914E9A"/>
    <w:rsid w:val="00932266"/>
    <w:rsid w:val="00932B0A"/>
    <w:rsid w:val="00943B30"/>
    <w:rsid w:val="009464D0"/>
    <w:rsid w:val="00965A74"/>
    <w:rsid w:val="00971F83"/>
    <w:rsid w:val="00972CBA"/>
    <w:rsid w:val="009A1EC4"/>
    <w:rsid w:val="009C78E9"/>
    <w:rsid w:val="009D6F84"/>
    <w:rsid w:val="009F65D3"/>
    <w:rsid w:val="009F7162"/>
    <w:rsid w:val="00A17991"/>
    <w:rsid w:val="00A40A97"/>
    <w:rsid w:val="00A63D1B"/>
    <w:rsid w:val="00AB3626"/>
    <w:rsid w:val="00AB512A"/>
    <w:rsid w:val="00AB6AD2"/>
    <w:rsid w:val="00AC5429"/>
    <w:rsid w:val="00AC7D45"/>
    <w:rsid w:val="00AD54A4"/>
    <w:rsid w:val="00AD76FA"/>
    <w:rsid w:val="00AF1106"/>
    <w:rsid w:val="00B0216D"/>
    <w:rsid w:val="00B15C90"/>
    <w:rsid w:val="00B617A8"/>
    <w:rsid w:val="00B71C7E"/>
    <w:rsid w:val="00B77C78"/>
    <w:rsid w:val="00B804C5"/>
    <w:rsid w:val="00B87A82"/>
    <w:rsid w:val="00B95F90"/>
    <w:rsid w:val="00BA7489"/>
    <w:rsid w:val="00C07E40"/>
    <w:rsid w:val="00C12C31"/>
    <w:rsid w:val="00C274E8"/>
    <w:rsid w:val="00C34EA0"/>
    <w:rsid w:val="00C42956"/>
    <w:rsid w:val="00C929AD"/>
    <w:rsid w:val="00CA2DDD"/>
    <w:rsid w:val="00CA7219"/>
    <w:rsid w:val="00CB1181"/>
    <w:rsid w:val="00D0244E"/>
    <w:rsid w:val="00D30C1E"/>
    <w:rsid w:val="00D3323C"/>
    <w:rsid w:val="00D33673"/>
    <w:rsid w:val="00D4228E"/>
    <w:rsid w:val="00D446DB"/>
    <w:rsid w:val="00D51873"/>
    <w:rsid w:val="00D640B7"/>
    <w:rsid w:val="00D64405"/>
    <w:rsid w:val="00D76B0F"/>
    <w:rsid w:val="00D7714A"/>
    <w:rsid w:val="00D90781"/>
    <w:rsid w:val="00DA1580"/>
    <w:rsid w:val="00DA4B61"/>
    <w:rsid w:val="00DE3D4D"/>
    <w:rsid w:val="00DF4DB4"/>
    <w:rsid w:val="00DF4DF9"/>
    <w:rsid w:val="00E034CB"/>
    <w:rsid w:val="00E242FB"/>
    <w:rsid w:val="00E311AD"/>
    <w:rsid w:val="00E44AF7"/>
    <w:rsid w:val="00E57286"/>
    <w:rsid w:val="00E97035"/>
    <w:rsid w:val="00E97958"/>
    <w:rsid w:val="00EB3D03"/>
    <w:rsid w:val="00EC44E1"/>
    <w:rsid w:val="00EE38F3"/>
    <w:rsid w:val="00F06609"/>
    <w:rsid w:val="00F1184F"/>
    <w:rsid w:val="00F63A03"/>
    <w:rsid w:val="00F71515"/>
    <w:rsid w:val="00F71B64"/>
    <w:rsid w:val="00F71BA0"/>
    <w:rsid w:val="00F72A81"/>
    <w:rsid w:val="00F84771"/>
    <w:rsid w:val="00FA3583"/>
    <w:rsid w:val="00FA3F8E"/>
    <w:rsid w:val="00FE77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8A301"/>
  <w15:chartTrackingRefBased/>
  <w15:docId w15:val="{21978329-7CD5-CB43-8974-E2F3CAFEF7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24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024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024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24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24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24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24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24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24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24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024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024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24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24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24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24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24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244E"/>
    <w:rPr>
      <w:rFonts w:eastAsiaTheme="majorEastAsia" w:cstheme="majorBidi"/>
      <w:color w:val="272727" w:themeColor="text1" w:themeTint="D8"/>
    </w:rPr>
  </w:style>
  <w:style w:type="paragraph" w:styleId="Title">
    <w:name w:val="Title"/>
    <w:basedOn w:val="Normal"/>
    <w:next w:val="Normal"/>
    <w:link w:val="TitleChar"/>
    <w:uiPriority w:val="10"/>
    <w:qFormat/>
    <w:rsid w:val="00D024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24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24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24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244E"/>
    <w:pPr>
      <w:spacing w:before="160"/>
      <w:jc w:val="center"/>
    </w:pPr>
    <w:rPr>
      <w:i/>
      <w:iCs/>
      <w:color w:val="404040" w:themeColor="text1" w:themeTint="BF"/>
    </w:rPr>
  </w:style>
  <w:style w:type="character" w:customStyle="1" w:styleId="QuoteChar">
    <w:name w:val="Quote Char"/>
    <w:basedOn w:val="DefaultParagraphFont"/>
    <w:link w:val="Quote"/>
    <w:uiPriority w:val="29"/>
    <w:rsid w:val="00D0244E"/>
    <w:rPr>
      <w:i/>
      <w:iCs/>
      <w:color w:val="404040" w:themeColor="text1" w:themeTint="BF"/>
    </w:rPr>
  </w:style>
  <w:style w:type="paragraph" w:styleId="ListParagraph">
    <w:name w:val="List Paragraph"/>
    <w:basedOn w:val="Normal"/>
    <w:uiPriority w:val="34"/>
    <w:qFormat/>
    <w:rsid w:val="00D0244E"/>
    <w:pPr>
      <w:ind w:left="720"/>
      <w:contextualSpacing/>
    </w:pPr>
  </w:style>
  <w:style w:type="character" w:styleId="IntenseEmphasis">
    <w:name w:val="Intense Emphasis"/>
    <w:basedOn w:val="DefaultParagraphFont"/>
    <w:uiPriority w:val="21"/>
    <w:qFormat/>
    <w:rsid w:val="00D0244E"/>
    <w:rPr>
      <w:i/>
      <w:iCs/>
      <w:color w:val="0F4761" w:themeColor="accent1" w:themeShade="BF"/>
    </w:rPr>
  </w:style>
  <w:style w:type="paragraph" w:styleId="IntenseQuote">
    <w:name w:val="Intense Quote"/>
    <w:basedOn w:val="Normal"/>
    <w:next w:val="Normal"/>
    <w:link w:val="IntenseQuoteChar"/>
    <w:uiPriority w:val="30"/>
    <w:qFormat/>
    <w:rsid w:val="00D024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244E"/>
    <w:rPr>
      <w:i/>
      <w:iCs/>
      <w:color w:val="0F4761" w:themeColor="accent1" w:themeShade="BF"/>
    </w:rPr>
  </w:style>
  <w:style w:type="character" w:styleId="IntenseReference">
    <w:name w:val="Intense Reference"/>
    <w:basedOn w:val="DefaultParagraphFont"/>
    <w:uiPriority w:val="32"/>
    <w:qFormat/>
    <w:rsid w:val="00D0244E"/>
    <w:rPr>
      <w:b/>
      <w:bCs/>
      <w:smallCaps/>
      <w:color w:val="0F4761" w:themeColor="accent1" w:themeShade="BF"/>
      <w:spacing w:val="5"/>
    </w:rPr>
  </w:style>
  <w:style w:type="paragraph" w:customStyle="1" w:styleId="p1">
    <w:name w:val="p1"/>
    <w:basedOn w:val="Normal"/>
    <w:rsid w:val="00DA4B6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2">
    <w:name w:val="p2"/>
    <w:basedOn w:val="Normal"/>
    <w:rsid w:val="00DA4B6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BA7489"/>
  </w:style>
  <w:style w:type="paragraph" w:customStyle="1" w:styleId="p3">
    <w:name w:val="p3"/>
    <w:basedOn w:val="Normal"/>
    <w:rsid w:val="00BA748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4">
    <w:name w:val="p4"/>
    <w:basedOn w:val="Normal"/>
    <w:rsid w:val="000B04E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676DC1"/>
  </w:style>
  <w:style w:type="table" w:styleId="TableGrid">
    <w:name w:val="Table Grid"/>
    <w:basedOn w:val="TableNormal"/>
    <w:uiPriority w:val="59"/>
    <w:rsid w:val="00B15C90"/>
    <w:pPr>
      <w:spacing w:after="0" w:line="240" w:lineRule="auto"/>
    </w:pPr>
    <w:rPr>
      <w:rFonts w:eastAsiaTheme="minorEastAsia"/>
      <w:kern w:val="0"/>
      <w:lang w:eastAsia="ja-JP"/>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s3">
    <w:name w:val="s3"/>
    <w:basedOn w:val="DefaultParagraphFont"/>
    <w:rsid w:val="00810935"/>
  </w:style>
  <w:style w:type="character" w:customStyle="1" w:styleId="apple-converted-space">
    <w:name w:val="apple-converted-space"/>
    <w:basedOn w:val="DefaultParagraphFont"/>
    <w:rsid w:val="00282D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118</TotalTime>
  <Pages>16</Pages>
  <Words>3901</Words>
  <Characters>22239</Characters>
  <Application>Microsoft Office Word</Application>
  <DocSecurity>0</DocSecurity>
  <Lines>185</Lines>
  <Paragraphs>52</Paragraphs>
  <ScaleCrop>false</ScaleCrop>
  <Company/>
  <LinksUpToDate>false</LinksUpToDate>
  <CharactersWithSpaces>26088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Kremena Petrova Nedelcheva (2336425)</dc:creator>
  <cp:keywords/>
  <dc:description/>
  <cp:lastModifiedBy>Kremena Petrova Nedelcheva (2336425)</cp:lastModifiedBy>
  <cp:revision>173</cp:revision>
  <dcterms:created xsi:type="dcterms:W3CDTF">2025-11-27T13:36:00Z</dcterms:created>
  <dcterms:modified xsi:type="dcterms:W3CDTF">2025-11-29T10:33:00Z</dcterms:modified>
</cp:coreProperties>
</file>