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9077472"/>
        <w:docPartObj>
          <w:docPartGallery w:val="Cover Pages"/>
          <w:docPartUnique/>
        </w:docPartObj>
      </w:sdtPr>
      <w:sdtEndPr/>
      <w:sdtContent>
        <w:p w14:paraId="2982CC8D" w14:textId="4D6B4557" w:rsidR="00D24A19" w:rsidRDefault="00D24A19">
          <w:r>
            <w:rPr>
              <w:noProof/>
            </w:rPr>
            <mc:AlternateContent>
              <mc:Choice Requires="wps">
                <w:drawing>
                  <wp:anchor distT="0" distB="0" distL="114300" distR="114300" simplePos="0" relativeHeight="251659264" behindDoc="1" locked="0" layoutInCell="1" allowOverlap="0" wp14:anchorId="19EDFA4B" wp14:editId="59A7C425">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24A19" w14:paraId="286DF87D" w14:textId="77777777">
                                  <w:trPr>
                                    <w:trHeight w:hRule="exact" w:val="9360"/>
                                  </w:trPr>
                                  <w:tc>
                                    <w:tcPr>
                                      <w:tcW w:w="9350" w:type="dxa"/>
                                    </w:tcPr>
                                    <w:p w14:paraId="7F883BE0" w14:textId="77777777" w:rsidR="00D24A19" w:rsidRDefault="00D24A19">
                                      <w:r>
                                        <w:rPr>
                                          <w:noProof/>
                                        </w:rPr>
                                        <w:drawing>
                                          <wp:inline distT="0" distB="0" distL="0" distR="0" wp14:anchorId="20CCEF15" wp14:editId="70FCB398">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24A19" w14:paraId="04D7727D" w14:textId="77777777">
                                  <w:trPr>
                                    <w:trHeight w:hRule="exact" w:val="4320"/>
                                  </w:trPr>
                                  <w:tc>
                                    <w:tcPr>
                                      <w:tcW w:w="9350" w:type="dxa"/>
                                      <w:shd w:val="clear" w:color="auto" w:fill="0E2841" w:themeFill="text2"/>
                                      <w:vAlign w:val="center"/>
                                    </w:tcPr>
                                    <w:p w14:paraId="1DE28D7B" w14:textId="26B29696" w:rsidR="00D24A19" w:rsidRPr="00D24A19" w:rsidRDefault="00371391">
                                      <w:pPr>
                                        <w:pStyle w:val="NoSpacing"/>
                                        <w:spacing w:before="200" w:line="216" w:lineRule="auto"/>
                                        <w:ind w:left="720" w:right="720"/>
                                        <w:rPr>
                                          <w:rFonts w:asciiTheme="majorHAnsi" w:hAnsiTheme="majorHAnsi"/>
                                          <w:color w:val="FFFFFF" w:themeColor="background1"/>
                                          <w:sz w:val="56"/>
                                          <w:szCs w:val="56"/>
                                        </w:rPr>
                                      </w:pPr>
                                      <w:sdt>
                                        <w:sdtPr>
                                          <w:rPr>
                                            <w:rFonts w:asciiTheme="majorHAnsi" w:hAnsiTheme="majorHAnsi"/>
                                            <w:color w:val="FFFFFF" w:themeColor="background1"/>
                                            <w:sz w:val="56"/>
                                            <w:szCs w:val="56"/>
                                          </w:rPr>
                                          <w:alias w:val="Title"/>
                                          <w:tag w:val=""/>
                                          <w:id w:val="739824258"/>
                                          <w:placeholder>
                                            <w:docPart w:val="738C60D40FB34BF186721AD57CE58579"/>
                                          </w:placeholder>
                                          <w:dataBinding w:prefixMappings="xmlns:ns0='http://purl.org/dc/elements/1.1/' xmlns:ns1='http://schemas.openxmlformats.org/package/2006/metadata/core-properties' " w:xpath="/ns1:coreProperties[1]/ns0:title[1]" w:storeItemID="{6C3C8BC8-F283-45AE-878A-BAB7291924A1}"/>
                                          <w:text/>
                                        </w:sdtPr>
                                        <w:sdtEndPr/>
                                        <w:sdtContent>
                                          <w:r w:rsidR="00D24A19" w:rsidRPr="00D24A19">
                                            <w:rPr>
                                              <w:rFonts w:asciiTheme="majorHAnsi" w:hAnsiTheme="majorHAnsi"/>
                                              <w:color w:val="FFFFFF" w:themeColor="background1"/>
                                              <w:sz w:val="56"/>
                                              <w:szCs w:val="56"/>
                                            </w:rPr>
                                            <w:t>Organisational Culture and Its Influence on Structure, Decision-Making, and Performance at John Lewis</w:t>
                                          </w:r>
                                        </w:sdtContent>
                                      </w:sdt>
                                    </w:p>
                                    <w:p w14:paraId="175A78C2" w14:textId="0558BDEF" w:rsidR="00D24A19" w:rsidRPr="00D24A19" w:rsidRDefault="00371391">
                                      <w:pPr>
                                        <w:pStyle w:val="NoSpacing"/>
                                        <w:spacing w:before="240"/>
                                        <w:ind w:left="720" w:right="720"/>
                                        <w:rPr>
                                          <w:color w:val="FFFFFF" w:themeColor="background1"/>
                                          <w:sz w:val="56"/>
                                          <w:szCs w:val="56"/>
                                        </w:rPr>
                                      </w:pPr>
                                      <w:sdt>
                                        <w:sdtPr>
                                          <w:rPr>
                                            <w:color w:val="FFFFFF" w:themeColor="background1"/>
                                            <w:sz w:val="36"/>
                                            <w:szCs w:val="36"/>
                                          </w:rPr>
                                          <w:alias w:val="Subtitle"/>
                                          <w:tag w:val=""/>
                                          <w:id w:val="1143089448"/>
                                          <w:placeholder>
                                            <w:docPart w:val="40F5D5099DE24DA3AB0C61FFF4A1A8AC"/>
                                          </w:placeholder>
                                          <w:dataBinding w:prefixMappings="xmlns:ns0='http://purl.org/dc/elements/1.1/' xmlns:ns1='http://schemas.openxmlformats.org/package/2006/metadata/core-properties' " w:xpath="/ns1:coreProperties[1]/ns0:subject[1]" w:storeItemID="{6C3C8BC8-F283-45AE-878A-BAB7291924A1}"/>
                                          <w:text/>
                                        </w:sdtPr>
                                        <w:sdtEndPr/>
                                        <w:sdtContent>
                                          <w:r w:rsidR="00D24A19" w:rsidRPr="00D24A19">
                                            <w:rPr>
                                              <w:color w:val="FFFFFF" w:themeColor="background1"/>
                                              <w:sz w:val="36"/>
                                              <w:szCs w:val="36"/>
                                            </w:rPr>
                                            <w:t>BA (Hons) Leadership and Management Skills for the Workplace</w:t>
                                          </w:r>
                                        </w:sdtContent>
                                      </w:sdt>
                                    </w:p>
                                  </w:tc>
                                </w:tr>
                                <w:tr w:rsidR="00D24A19" w14:paraId="1D2B1F6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936"/>
                                        <w:gridCol w:w="6267"/>
                                      </w:tblGrid>
                                      <w:tr w:rsidR="00D24A19" w14:paraId="6B9BB201" w14:textId="77777777" w:rsidTr="0046361A">
                                        <w:trPr>
                                          <w:trHeight w:hRule="exact" w:val="720"/>
                                        </w:trPr>
                                        <w:tc>
                                          <w:tcPr>
                                            <w:tcW w:w="3600" w:type="dxa"/>
                                            <w:vAlign w:val="center"/>
                                          </w:tcPr>
                                          <w:p w14:paraId="584FC7E0" w14:textId="0265FE57" w:rsidR="00D24A19" w:rsidRDefault="00371391">
                                            <w:pPr>
                                              <w:pStyle w:val="NoSpacing"/>
                                              <w:ind w:left="720" w:right="144"/>
                                              <w:rPr>
                                                <w:color w:val="FFFFFF" w:themeColor="background1"/>
                                              </w:rPr>
                                            </w:pPr>
                                            <w:sdt>
                                              <w:sdtPr>
                                                <w:rPr>
                                                  <w:color w:val="FFFFFF" w:themeColor="background1"/>
                                                </w:rPr>
                                                <w:alias w:val="Author"/>
                                                <w:tag w:val=""/>
                                                <w:id w:val="942812742"/>
                                                <w:placeholder>
                                                  <w:docPart w:val="A32EA9F688F444C68EDFF927EA4DABEE"/>
                                                </w:placeholder>
                                                <w:dataBinding w:prefixMappings="xmlns:ns0='http://purl.org/dc/elements/1.1/' xmlns:ns1='http://schemas.openxmlformats.org/package/2006/metadata/core-properties' " w:xpath="/ns1:coreProperties[1]/ns0:creator[1]" w:storeItemID="{6C3C8BC8-F283-45AE-878A-BAB7291924A1}"/>
                                                <w:text/>
                                              </w:sdtPr>
                                              <w:sdtEndPr/>
                                              <w:sdtContent>
                                                <w:r w:rsidR="0046361A">
                                                  <w:rPr>
                                                    <w:color w:val="FFFFFF" w:themeColor="background1"/>
                                                  </w:rPr>
                                                  <w:t>Shazad Iqbal 2406671</w:t>
                                                </w:r>
                                              </w:sdtContent>
                                            </w:sdt>
                                          </w:p>
                                        </w:tc>
                                        <w:tc>
                                          <w:tcPr>
                                            <w:tcW w:w="936" w:type="dxa"/>
                                            <w:vAlign w:val="center"/>
                                          </w:tcPr>
                                          <w:sdt>
                                            <w:sdtPr>
                                              <w:rPr>
                                                <w:color w:val="FFFFFF" w:themeColor="background1"/>
                                              </w:rPr>
                                              <w:alias w:val="Date"/>
                                              <w:tag w:val=""/>
                                              <w:id w:val="748164578"/>
                                              <w:placeholder>
                                                <w:docPart w:val="D8E89C2E907A4ADDB7DA69DD5E916FCF"/>
                                              </w:placeholder>
                                              <w:dataBinding w:prefixMappings="xmlns:ns0='http://schemas.microsoft.com/office/2006/coverPageProps' " w:xpath="/ns0:CoverPageProperties[1]/ns0:PublishDate[1]" w:storeItemID="{55AF091B-3C7A-41E3-B477-F2FDAA23CFDA}"/>
                                              <w:date w:fullDate="2026-06-07T00:00:00Z">
                                                <w:dateFormat w:val="M/d/yy"/>
                                                <w:lid w:val="en-US"/>
                                                <w:storeMappedDataAs w:val="dateTime"/>
                                                <w:calendar w:val="gregorian"/>
                                              </w:date>
                                            </w:sdtPr>
                                            <w:sdtEndPr/>
                                            <w:sdtContent>
                                              <w:p w14:paraId="07B3CB7F" w14:textId="4B12A7A0" w:rsidR="00D24A19" w:rsidRDefault="00D24A19">
                                                <w:pPr>
                                                  <w:pStyle w:val="NoSpacing"/>
                                                  <w:ind w:left="144" w:right="144"/>
                                                  <w:jc w:val="center"/>
                                                  <w:rPr>
                                                    <w:color w:val="FFFFFF" w:themeColor="background1"/>
                                                  </w:rPr>
                                                </w:pPr>
                                                <w:r>
                                                  <w:rPr>
                                                    <w:color w:val="FFFFFF" w:themeColor="background1"/>
                                                  </w:rPr>
                                                  <w:t>6/7/26</w:t>
                                                </w:r>
                                              </w:p>
                                            </w:sdtContent>
                                          </w:sdt>
                                        </w:tc>
                                        <w:sdt>
                                          <w:sdtPr>
                                            <w:rPr>
                                              <w:color w:val="FFFFFF" w:themeColor="background1"/>
                                            </w:rPr>
                                            <w:alias w:val="Course title"/>
                                            <w:tag w:val=""/>
                                            <w:id w:val="-15923909"/>
                                            <w:placeholder>
                                              <w:docPart w:val="AE98EFBD89EF458386FA94EA08BFAE0C"/>
                                            </w:placeholder>
                                            <w:dataBinding w:prefixMappings="xmlns:ns0='http://purl.org/dc/elements/1.1/' xmlns:ns1='http://schemas.openxmlformats.org/package/2006/metadata/core-properties' " w:xpath="/ns1:coreProperties[1]/ns1:category[1]" w:storeItemID="{6C3C8BC8-F283-45AE-878A-BAB7291924A1}"/>
                                            <w:text/>
                                          </w:sdtPr>
                                          <w:sdtEndPr/>
                                          <w:sdtContent>
                                            <w:tc>
                                              <w:tcPr>
                                                <w:tcW w:w="6264" w:type="dxa"/>
                                                <w:vAlign w:val="center"/>
                                              </w:tcPr>
                                              <w:p w14:paraId="179288ED" w14:textId="03B4254E" w:rsidR="00D24A19" w:rsidRDefault="0046361A">
                                                <w:pPr>
                                                  <w:pStyle w:val="NoSpacing"/>
                                                  <w:ind w:left="144" w:right="720"/>
                                                  <w:jc w:val="right"/>
                                                  <w:rPr>
                                                    <w:color w:val="FFFFFF" w:themeColor="background1"/>
                                                  </w:rPr>
                                                </w:pPr>
                                                <w:r>
                                                  <w:rPr>
                                                    <w:color w:val="FFFFFF" w:themeColor="background1"/>
                                                  </w:rPr>
                                                  <w:t>LCLM5005- Organizational Culture – Report Component 1</w:t>
                                                </w:r>
                                              </w:p>
                                            </w:tc>
                                          </w:sdtContent>
                                        </w:sdt>
                                      </w:tr>
                                    </w:tbl>
                                    <w:p w14:paraId="4F08BC42" w14:textId="77777777" w:rsidR="00D24A19" w:rsidRDefault="00D24A19"/>
                                  </w:tc>
                                </w:tr>
                              </w:tbl>
                              <w:p w14:paraId="1A60435B" w14:textId="77777777" w:rsidR="00D24A19" w:rsidRDefault="00D24A1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9EDFA4B"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24A19" w14:paraId="286DF87D" w14:textId="77777777">
                            <w:trPr>
                              <w:trHeight w:hRule="exact" w:val="9360"/>
                            </w:trPr>
                            <w:tc>
                              <w:tcPr>
                                <w:tcW w:w="9350" w:type="dxa"/>
                              </w:tcPr>
                              <w:p w14:paraId="7F883BE0" w14:textId="77777777" w:rsidR="00D24A19" w:rsidRDefault="00D24A19">
                                <w:r>
                                  <w:rPr>
                                    <w:noProof/>
                                  </w:rPr>
                                  <w:drawing>
                                    <wp:inline distT="0" distB="0" distL="0" distR="0" wp14:anchorId="20CCEF15" wp14:editId="70FCB398">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D24A19" w14:paraId="04D7727D" w14:textId="77777777">
                            <w:trPr>
                              <w:trHeight w:hRule="exact" w:val="4320"/>
                            </w:trPr>
                            <w:tc>
                              <w:tcPr>
                                <w:tcW w:w="9350" w:type="dxa"/>
                                <w:shd w:val="clear" w:color="auto" w:fill="0E2841" w:themeFill="text2"/>
                                <w:vAlign w:val="center"/>
                              </w:tcPr>
                              <w:p w14:paraId="1DE28D7B" w14:textId="26B29696" w:rsidR="00D24A19" w:rsidRPr="00D24A19" w:rsidRDefault="00371391">
                                <w:pPr>
                                  <w:pStyle w:val="NoSpacing"/>
                                  <w:spacing w:before="200" w:line="216" w:lineRule="auto"/>
                                  <w:ind w:left="720" w:right="720"/>
                                  <w:rPr>
                                    <w:rFonts w:asciiTheme="majorHAnsi" w:hAnsiTheme="majorHAnsi"/>
                                    <w:color w:val="FFFFFF" w:themeColor="background1"/>
                                    <w:sz w:val="56"/>
                                    <w:szCs w:val="56"/>
                                  </w:rPr>
                                </w:pPr>
                                <w:sdt>
                                  <w:sdtPr>
                                    <w:rPr>
                                      <w:rFonts w:asciiTheme="majorHAnsi" w:hAnsiTheme="majorHAnsi"/>
                                      <w:color w:val="FFFFFF" w:themeColor="background1"/>
                                      <w:sz w:val="56"/>
                                      <w:szCs w:val="56"/>
                                    </w:rPr>
                                    <w:alias w:val="Title"/>
                                    <w:tag w:val=""/>
                                    <w:id w:val="739824258"/>
                                    <w:placeholder>
                                      <w:docPart w:val="738C60D40FB34BF186721AD57CE58579"/>
                                    </w:placeholder>
                                    <w:dataBinding w:prefixMappings="xmlns:ns0='http://purl.org/dc/elements/1.1/' xmlns:ns1='http://schemas.openxmlformats.org/package/2006/metadata/core-properties' " w:xpath="/ns1:coreProperties[1]/ns0:title[1]" w:storeItemID="{6C3C8BC8-F283-45AE-878A-BAB7291924A1}"/>
                                    <w:text/>
                                  </w:sdtPr>
                                  <w:sdtEndPr/>
                                  <w:sdtContent>
                                    <w:r w:rsidR="00D24A19" w:rsidRPr="00D24A19">
                                      <w:rPr>
                                        <w:rFonts w:asciiTheme="majorHAnsi" w:hAnsiTheme="majorHAnsi"/>
                                        <w:color w:val="FFFFFF" w:themeColor="background1"/>
                                        <w:sz w:val="56"/>
                                        <w:szCs w:val="56"/>
                                      </w:rPr>
                                      <w:t>Organisational Culture and Its Influence on Structure, Decision-Making, and Performance at John Lewis</w:t>
                                    </w:r>
                                  </w:sdtContent>
                                </w:sdt>
                              </w:p>
                              <w:p w14:paraId="175A78C2" w14:textId="0558BDEF" w:rsidR="00D24A19" w:rsidRPr="00D24A19" w:rsidRDefault="00371391">
                                <w:pPr>
                                  <w:pStyle w:val="NoSpacing"/>
                                  <w:spacing w:before="240"/>
                                  <w:ind w:left="720" w:right="720"/>
                                  <w:rPr>
                                    <w:color w:val="FFFFFF" w:themeColor="background1"/>
                                    <w:sz w:val="56"/>
                                    <w:szCs w:val="56"/>
                                  </w:rPr>
                                </w:pPr>
                                <w:sdt>
                                  <w:sdtPr>
                                    <w:rPr>
                                      <w:color w:val="FFFFFF" w:themeColor="background1"/>
                                      <w:sz w:val="36"/>
                                      <w:szCs w:val="36"/>
                                    </w:rPr>
                                    <w:alias w:val="Subtitle"/>
                                    <w:tag w:val=""/>
                                    <w:id w:val="1143089448"/>
                                    <w:placeholder>
                                      <w:docPart w:val="40F5D5099DE24DA3AB0C61FFF4A1A8AC"/>
                                    </w:placeholder>
                                    <w:dataBinding w:prefixMappings="xmlns:ns0='http://purl.org/dc/elements/1.1/' xmlns:ns1='http://schemas.openxmlformats.org/package/2006/metadata/core-properties' " w:xpath="/ns1:coreProperties[1]/ns0:subject[1]" w:storeItemID="{6C3C8BC8-F283-45AE-878A-BAB7291924A1}"/>
                                    <w:text/>
                                  </w:sdtPr>
                                  <w:sdtEndPr/>
                                  <w:sdtContent>
                                    <w:r w:rsidR="00D24A19" w:rsidRPr="00D24A19">
                                      <w:rPr>
                                        <w:color w:val="FFFFFF" w:themeColor="background1"/>
                                        <w:sz w:val="36"/>
                                        <w:szCs w:val="36"/>
                                      </w:rPr>
                                      <w:t>BA (Hons) Leadership and Management Skills for the Workplace</w:t>
                                    </w:r>
                                  </w:sdtContent>
                                </w:sdt>
                              </w:p>
                            </w:tc>
                          </w:tr>
                          <w:tr w:rsidR="00D24A19" w14:paraId="1D2B1F66"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936"/>
                                  <w:gridCol w:w="6267"/>
                                </w:tblGrid>
                                <w:tr w:rsidR="00D24A19" w14:paraId="6B9BB201" w14:textId="77777777" w:rsidTr="0046361A">
                                  <w:trPr>
                                    <w:trHeight w:hRule="exact" w:val="720"/>
                                  </w:trPr>
                                  <w:tc>
                                    <w:tcPr>
                                      <w:tcW w:w="3600" w:type="dxa"/>
                                      <w:vAlign w:val="center"/>
                                    </w:tcPr>
                                    <w:p w14:paraId="584FC7E0" w14:textId="0265FE57" w:rsidR="00D24A19" w:rsidRDefault="00371391">
                                      <w:pPr>
                                        <w:pStyle w:val="NoSpacing"/>
                                        <w:ind w:left="720" w:right="144"/>
                                        <w:rPr>
                                          <w:color w:val="FFFFFF" w:themeColor="background1"/>
                                        </w:rPr>
                                      </w:pPr>
                                      <w:sdt>
                                        <w:sdtPr>
                                          <w:rPr>
                                            <w:color w:val="FFFFFF" w:themeColor="background1"/>
                                          </w:rPr>
                                          <w:alias w:val="Author"/>
                                          <w:tag w:val=""/>
                                          <w:id w:val="942812742"/>
                                          <w:placeholder>
                                            <w:docPart w:val="A32EA9F688F444C68EDFF927EA4DABEE"/>
                                          </w:placeholder>
                                          <w:dataBinding w:prefixMappings="xmlns:ns0='http://purl.org/dc/elements/1.1/' xmlns:ns1='http://schemas.openxmlformats.org/package/2006/metadata/core-properties' " w:xpath="/ns1:coreProperties[1]/ns0:creator[1]" w:storeItemID="{6C3C8BC8-F283-45AE-878A-BAB7291924A1}"/>
                                          <w:text/>
                                        </w:sdtPr>
                                        <w:sdtEndPr/>
                                        <w:sdtContent>
                                          <w:r w:rsidR="0046361A">
                                            <w:rPr>
                                              <w:color w:val="FFFFFF" w:themeColor="background1"/>
                                            </w:rPr>
                                            <w:t>Shazad Iqbal 2406671</w:t>
                                          </w:r>
                                        </w:sdtContent>
                                      </w:sdt>
                                    </w:p>
                                  </w:tc>
                                  <w:tc>
                                    <w:tcPr>
                                      <w:tcW w:w="936" w:type="dxa"/>
                                      <w:vAlign w:val="center"/>
                                    </w:tcPr>
                                    <w:sdt>
                                      <w:sdtPr>
                                        <w:rPr>
                                          <w:color w:val="FFFFFF" w:themeColor="background1"/>
                                        </w:rPr>
                                        <w:alias w:val="Date"/>
                                        <w:tag w:val=""/>
                                        <w:id w:val="748164578"/>
                                        <w:placeholder>
                                          <w:docPart w:val="D8E89C2E907A4ADDB7DA69DD5E916FCF"/>
                                        </w:placeholder>
                                        <w:dataBinding w:prefixMappings="xmlns:ns0='http://schemas.microsoft.com/office/2006/coverPageProps' " w:xpath="/ns0:CoverPageProperties[1]/ns0:PublishDate[1]" w:storeItemID="{55AF091B-3C7A-41E3-B477-F2FDAA23CFDA}"/>
                                        <w:date w:fullDate="2026-06-07T00:00:00Z">
                                          <w:dateFormat w:val="M/d/yy"/>
                                          <w:lid w:val="en-US"/>
                                          <w:storeMappedDataAs w:val="dateTime"/>
                                          <w:calendar w:val="gregorian"/>
                                        </w:date>
                                      </w:sdtPr>
                                      <w:sdtEndPr/>
                                      <w:sdtContent>
                                        <w:p w14:paraId="07B3CB7F" w14:textId="4B12A7A0" w:rsidR="00D24A19" w:rsidRDefault="00D24A19">
                                          <w:pPr>
                                            <w:pStyle w:val="NoSpacing"/>
                                            <w:ind w:left="144" w:right="144"/>
                                            <w:jc w:val="center"/>
                                            <w:rPr>
                                              <w:color w:val="FFFFFF" w:themeColor="background1"/>
                                            </w:rPr>
                                          </w:pPr>
                                          <w:r>
                                            <w:rPr>
                                              <w:color w:val="FFFFFF" w:themeColor="background1"/>
                                            </w:rPr>
                                            <w:t>6/7/26</w:t>
                                          </w:r>
                                        </w:p>
                                      </w:sdtContent>
                                    </w:sdt>
                                  </w:tc>
                                  <w:sdt>
                                    <w:sdtPr>
                                      <w:rPr>
                                        <w:color w:val="FFFFFF" w:themeColor="background1"/>
                                      </w:rPr>
                                      <w:alias w:val="Course title"/>
                                      <w:tag w:val=""/>
                                      <w:id w:val="-15923909"/>
                                      <w:placeholder>
                                        <w:docPart w:val="AE98EFBD89EF458386FA94EA08BFAE0C"/>
                                      </w:placeholder>
                                      <w:dataBinding w:prefixMappings="xmlns:ns0='http://purl.org/dc/elements/1.1/' xmlns:ns1='http://schemas.openxmlformats.org/package/2006/metadata/core-properties' " w:xpath="/ns1:coreProperties[1]/ns1:category[1]" w:storeItemID="{6C3C8BC8-F283-45AE-878A-BAB7291924A1}"/>
                                      <w:text/>
                                    </w:sdtPr>
                                    <w:sdtEndPr/>
                                    <w:sdtContent>
                                      <w:tc>
                                        <w:tcPr>
                                          <w:tcW w:w="6264" w:type="dxa"/>
                                          <w:vAlign w:val="center"/>
                                        </w:tcPr>
                                        <w:p w14:paraId="179288ED" w14:textId="03B4254E" w:rsidR="00D24A19" w:rsidRDefault="0046361A">
                                          <w:pPr>
                                            <w:pStyle w:val="NoSpacing"/>
                                            <w:ind w:left="144" w:right="720"/>
                                            <w:jc w:val="right"/>
                                            <w:rPr>
                                              <w:color w:val="FFFFFF" w:themeColor="background1"/>
                                            </w:rPr>
                                          </w:pPr>
                                          <w:r>
                                            <w:rPr>
                                              <w:color w:val="FFFFFF" w:themeColor="background1"/>
                                            </w:rPr>
                                            <w:t>LCLM5005- Organizational Culture – Report Component 1</w:t>
                                          </w:r>
                                        </w:p>
                                      </w:tc>
                                    </w:sdtContent>
                                  </w:sdt>
                                </w:tr>
                              </w:tbl>
                              <w:p w14:paraId="4F08BC42" w14:textId="77777777" w:rsidR="00D24A19" w:rsidRDefault="00D24A19"/>
                            </w:tc>
                          </w:tr>
                        </w:tbl>
                        <w:p w14:paraId="1A60435B" w14:textId="77777777" w:rsidR="00D24A19" w:rsidRDefault="00D24A19"/>
                      </w:txbxContent>
                    </v:textbox>
                    <w10:wrap anchorx="page" anchory="page"/>
                  </v:shape>
                </w:pict>
              </mc:Fallback>
            </mc:AlternateContent>
          </w:r>
        </w:p>
        <w:p w14:paraId="55DEBF7D" w14:textId="36D3D7F7" w:rsidR="00D24A19" w:rsidRDefault="00D24A19">
          <w:pPr>
            <w:rPr>
              <w:rFonts w:asciiTheme="majorHAnsi" w:eastAsiaTheme="majorEastAsia" w:hAnsiTheme="majorHAnsi" w:cstheme="majorBidi"/>
              <w:spacing w:val="-10"/>
              <w:kern w:val="28"/>
              <w:sz w:val="56"/>
              <w:szCs w:val="56"/>
            </w:rPr>
          </w:pPr>
          <w:r>
            <w:br w:type="page"/>
          </w:r>
        </w:p>
      </w:sdtContent>
    </w:sdt>
    <w:sdt>
      <w:sdtPr>
        <w:rPr>
          <w:rFonts w:asciiTheme="minorHAnsi" w:eastAsiaTheme="minorHAnsi" w:hAnsiTheme="minorHAnsi" w:cstheme="minorBidi"/>
          <w:color w:val="auto"/>
          <w:kern w:val="2"/>
          <w:sz w:val="24"/>
          <w:szCs w:val="24"/>
          <w:lang w:eastAsia="en-US"/>
          <w14:ligatures w14:val="standardContextual"/>
        </w:rPr>
        <w:id w:val="-1607569976"/>
        <w:docPartObj>
          <w:docPartGallery w:val="Table of Contents"/>
          <w:docPartUnique/>
        </w:docPartObj>
      </w:sdtPr>
      <w:sdtEndPr>
        <w:rPr>
          <w:b/>
          <w:bCs/>
        </w:rPr>
      </w:sdtEndPr>
      <w:sdtContent>
        <w:p w14:paraId="6796E71C" w14:textId="695A811A" w:rsidR="0046361A" w:rsidRDefault="0046361A">
          <w:pPr>
            <w:pStyle w:val="TOCHeading"/>
          </w:pPr>
          <w:r>
            <w:t>Contents</w:t>
          </w:r>
        </w:p>
        <w:p w14:paraId="0699D0C6" w14:textId="7B0A2F87" w:rsidR="003C7CBF" w:rsidRDefault="004636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2957802" w:history="1">
            <w:r w:rsidR="003C7CBF" w:rsidRPr="00CF19D1">
              <w:rPr>
                <w:rStyle w:val="Hyperlink"/>
                <w:noProof/>
              </w:rPr>
              <w:t>1. Introduction</w:t>
            </w:r>
            <w:r w:rsidR="003C7CBF">
              <w:rPr>
                <w:noProof/>
                <w:webHidden/>
              </w:rPr>
              <w:tab/>
            </w:r>
            <w:r w:rsidR="003C7CBF">
              <w:rPr>
                <w:noProof/>
                <w:webHidden/>
              </w:rPr>
              <w:fldChar w:fldCharType="begin"/>
            </w:r>
            <w:r w:rsidR="003C7CBF">
              <w:rPr>
                <w:noProof/>
                <w:webHidden/>
              </w:rPr>
              <w:instrText xml:space="preserve"> PAGEREF _Toc232957802 \h </w:instrText>
            </w:r>
            <w:r w:rsidR="003C7CBF">
              <w:rPr>
                <w:noProof/>
                <w:webHidden/>
              </w:rPr>
            </w:r>
            <w:r w:rsidR="003C7CBF">
              <w:rPr>
                <w:noProof/>
                <w:webHidden/>
              </w:rPr>
              <w:fldChar w:fldCharType="separate"/>
            </w:r>
            <w:r w:rsidR="003C7CBF">
              <w:rPr>
                <w:noProof/>
                <w:webHidden/>
              </w:rPr>
              <w:t>2</w:t>
            </w:r>
            <w:r w:rsidR="003C7CBF">
              <w:rPr>
                <w:noProof/>
                <w:webHidden/>
              </w:rPr>
              <w:fldChar w:fldCharType="end"/>
            </w:r>
          </w:hyperlink>
        </w:p>
        <w:p w14:paraId="55EAE79D" w14:textId="13F04BFB" w:rsidR="003C7CBF" w:rsidRDefault="003C7CBF">
          <w:pPr>
            <w:pStyle w:val="TOC1"/>
            <w:tabs>
              <w:tab w:val="right" w:leader="dot" w:pos="9016"/>
            </w:tabs>
            <w:rPr>
              <w:rFonts w:eastAsiaTheme="minorEastAsia"/>
              <w:noProof/>
              <w:lang w:eastAsia="en-GB"/>
            </w:rPr>
          </w:pPr>
          <w:hyperlink w:anchor="_Toc232957803" w:history="1">
            <w:r w:rsidRPr="00CF19D1">
              <w:rPr>
                <w:rStyle w:val="Hyperlink"/>
                <w:noProof/>
              </w:rPr>
              <w:t>2. Overview of John Lewis</w:t>
            </w:r>
            <w:r>
              <w:rPr>
                <w:noProof/>
                <w:webHidden/>
              </w:rPr>
              <w:tab/>
            </w:r>
            <w:r>
              <w:rPr>
                <w:noProof/>
                <w:webHidden/>
              </w:rPr>
              <w:fldChar w:fldCharType="begin"/>
            </w:r>
            <w:r>
              <w:rPr>
                <w:noProof/>
                <w:webHidden/>
              </w:rPr>
              <w:instrText xml:space="preserve"> PAGEREF _Toc232957803 \h </w:instrText>
            </w:r>
            <w:r>
              <w:rPr>
                <w:noProof/>
                <w:webHidden/>
              </w:rPr>
            </w:r>
            <w:r>
              <w:rPr>
                <w:noProof/>
                <w:webHidden/>
              </w:rPr>
              <w:fldChar w:fldCharType="separate"/>
            </w:r>
            <w:r>
              <w:rPr>
                <w:noProof/>
                <w:webHidden/>
              </w:rPr>
              <w:t>2</w:t>
            </w:r>
            <w:r>
              <w:rPr>
                <w:noProof/>
                <w:webHidden/>
              </w:rPr>
              <w:fldChar w:fldCharType="end"/>
            </w:r>
          </w:hyperlink>
        </w:p>
        <w:p w14:paraId="2FC4558F" w14:textId="7A652066" w:rsidR="003C7CBF" w:rsidRDefault="003C7CBF">
          <w:pPr>
            <w:pStyle w:val="TOC1"/>
            <w:tabs>
              <w:tab w:val="right" w:leader="dot" w:pos="9016"/>
            </w:tabs>
            <w:rPr>
              <w:rFonts w:eastAsiaTheme="minorEastAsia"/>
              <w:noProof/>
              <w:lang w:eastAsia="en-GB"/>
            </w:rPr>
          </w:pPr>
          <w:hyperlink w:anchor="_Toc232957804" w:history="1">
            <w:r w:rsidRPr="00CF19D1">
              <w:rPr>
                <w:rStyle w:val="Hyperlink"/>
                <w:noProof/>
              </w:rPr>
              <w:t>3. Influence of Organisational Culture on Structure and Decision-Making</w:t>
            </w:r>
            <w:r>
              <w:rPr>
                <w:noProof/>
                <w:webHidden/>
              </w:rPr>
              <w:tab/>
            </w:r>
            <w:r>
              <w:rPr>
                <w:noProof/>
                <w:webHidden/>
              </w:rPr>
              <w:fldChar w:fldCharType="begin"/>
            </w:r>
            <w:r>
              <w:rPr>
                <w:noProof/>
                <w:webHidden/>
              </w:rPr>
              <w:instrText xml:space="preserve"> PAGEREF _Toc232957804 \h </w:instrText>
            </w:r>
            <w:r>
              <w:rPr>
                <w:noProof/>
                <w:webHidden/>
              </w:rPr>
            </w:r>
            <w:r>
              <w:rPr>
                <w:noProof/>
                <w:webHidden/>
              </w:rPr>
              <w:fldChar w:fldCharType="separate"/>
            </w:r>
            <w:r>
              <w:rPr>
                <w:noProof/>
                <w:webHidden/>
              </w:rPr>
              <w:t>3</w:t>
            </w:r>
            <w:r>
              <w:rPr>
                <w:noProof/>
                <w:webHidden/>
              </w:rPr>
              <w:fldChar w:fldCharType="end"/>
            </w:r>
          </w:hyperlink>
        </w:p>
        <w:p w14:paraId="1A132951" w14:textId="455F6702" w:rsidR="003C7CBF" w:rsidRDefault="003C7CBF">
          <w:pPr>
            <w:pStyle w:val="TOC2"/>
            <w:tabs>
              <w:tab w:val="right" w:leader="dot" w:pos="9016"/>
            </w:tabs>
            <w:rPr>
              <w:rFonts w:eastAsiaTheme="minorEastAsia"/>
              <w:noProof/>
              <w:lang w:eastAsia="en-GB"/>
            </w:rPr>
          </w:pPr>
          <w:hyperlink w:anchor="_Toc232957805" w:history="1">
            <w:r w:rsidRPr="00CF19D1">
              <w:rPr>
                <w:rStyle w:val="Hyperlink"/>
                <w:noProof/>
              </w:rPr>
              <w:t>3.1 Influence on Organisational Structure</w:t>
            </w:r>
            <w:r>
              <w:rPr>
                <w:noProof/>
                <w:webHidden/>
              </w:rPr>
              <w:tab/>
            </w:r>
            <w:r>
              <w:rPr>
                <w:noProof/>
                <w:webHidden/>
              </w:rPr>
              <w:fldChar w:fldCharType="begin"/>
            </w:r>
            <w:r>
              <w:rPr>
                <w:noProof/>
                <w:webHidden/>
              </w:rPr>
              <w:instrText xml:space="preserve"> PAGEREF _Toc232957805 \h </w:instrText>
            </w:r>
            <w:r>
              <w:rPr>
                <w:noProof/>
                <w:webHidden/>
              </w:rPr>
            </w:r>
            <w:r>
              <w:rPr>
                <w:noProof/>
                <w:webHidden/>
              </w:rPr>
              <w:fldChar w:fldCharType="separate"/>
            </w:r>
            <w:r>
              <w:rPr>
                <w:noProof/>
                <w:webHidden/>
              </w:rPr>
              <w:t>3</w:t>
            </w:r>
            <w:r>
              <w:rPr>
                <w:noProof/>
                <w:webHidden/>
              </w:rPr>
              <w:fldChar w:fldCharType="end"/>
            </w:r>
          </w:hyperlink>
        </w:p>
        <w:p w14:paraId="6C24BE26" w14:textId="218BE458" w:rsidR="003C7CBF" w:rsidRDefault="003C7CBF">
          <w:pPr>
            <w:pStyle w:val="TOC2"/>
            <w:tabs>
              <w:tab w:val="right" w:leader="dot" w:pos="9016"/>
            </w:tabs>
            <w:rPr>
              <w:rFonts w:eastAsiaTheme="minorEastAsia"/>
              <w:noProof/>
              <w:lang w:eastAsia="en-GB"/>
            </w:rPr>
          </w:pPr>
          <w:hyperlink w:anchor="_Toc232957806" w:history="1">
            <w:r w:rsidRPr="00CF19D1">
              <w:rPr>
                <w:rStyle w:val="Hyperlink"/>
                <w:noProof/>
              </w:rPr>
              <w:t>3.2 Influence on Decision-Making Processes</w:t>
            </w:r>
            <w:r>
              <w:rPr>
                <w:noProof/>
                <w:webHidden/>
              </w:rPr>
              <w:tab/>
            </w:r>
            <w:r>
              <w:rPr>
                <w:noProof/>
                <w:webHidden/>
              </w:rPr>
              <w:fldChar w:fldCharType="begin"/>
            </w:r>
            <w:r>
              <w:rPr>
                <w:noProof/>
                <w:webHidden/>
              </w:rPr>
              <w:instrText xml:space="preserve"> PAGEREF _Toc232957806 \h </w:instrText>
            </w:r>
            <w:r>
              <w:rPr>
                <w:noProof/>
                <w:webHidden/>
              </w:rPr>
            </w:r>
            <w:r>
              <w:rPr>
                <w:noProof/>
                <w:webHidden/>
              </w:rPr>
              <w:fldChar w:fldCharType="separate"/>
            </w:r>
            <w:r>
              <w:rPr>
                <w:noProof/>
                <w:webHidden/>
              </w:rPr>
              <w:t>4</w:t>
            </w:r>
            <w:r>
              <w:rPr>
                <w:noProof/>
                <w:webHidden/>
              </w:rPr>
              <w:fldChar w:fldCharType="end"/>
            </w:r>
          </w:hyperlink>
        </w:p>
        <w:p w14:paraId="589F9AB5" w14:textId="06139A12" w:rsidR="003C7CBF" w:rsidRDefault="003C7CBF">
          <w:pPr>
            <w:pStyle w:val="TOC1"/>
            <w:tabs>
              <w:tab w:val="right" w:leader="dot" w:pos="9016"/>
            </w:tabs>
            <w:rPr>
              <w:rFonts w:eastAsiaTheme="minorEastAsia"/>
              <w:noProof/>
              <w:lang w:eastAsia="en-GB"/>
            </w:rPr>
          </w:pPr>
          <w:hyperlink w:anchor="_Toc232957807" w:history="1">
            <w:r w:rsidRPr="00CF19D1">
              <w:rPr>
                <w:rStyle w:val="Hyperlink"/>
                <w:noProof/>
              </w:rPr>
              <w:t>4. Identifying John Lewis’ Culture Using Theoretical Frameworks</w:t>
            </w:r>
            <w:r>
              <w:rPr>
                <w:noProof/>
                <w:webHidden/>
              </w:rPr>
              <w:tab/>
            </w:r>
            <w:r>
              <w:rPr>
                <w:noProof/>
                <w:webHidden/>
              </w:rPr>
              <w:fldChar w:fldCharType="begin"/>
            </w:r>
            <w:r>
              <w:rPr>
                <w:noProof/>
                <w:webHidden/>
              </w:rPr>
              <w:instrText xml:space="preserve"> PAGEREF _Toc232957807 \h </w:instrText>
            </w:r>
            <w:r>
              <w:rPr>
                <w:noProof/>
                <w:webHidden/>
              </w:rPr>
            </w:r>
            <w:r>
              <w:rPr>
                <w:noProof/>
                <w:webHidden/>
              </w:rPr>
              <w:fldChar w:fldCharType="separate"/>
            </w:r>
            <w:r>
              <w:rPr>
                <w:noProof/>
                <w:webHidden/>
              </w:rPr>
              <w:t>5</w:t>
            </w:r>
            <w:r>
              <w:rPr>
                <w:noProof/>
                <w:webHidden/>
              </w:rPr>
              <w:fldChar w:fldCharType="end"/>
            </w:r>
          </w:hyperlink>
        </w:p>
        <w:p w14:paraId="7DFF08F6" w14:textId="5EC24D66" w:rsidR="003C7CBF" w:rsidRDefault="003C7CBF">
          <w:pPr>
            <w:pStyle w:val="TOC2"/>
            <w:tabs>
              <w:tab w:val="right" w:leader="dot" w:pos="9016"/>
            </w:tabs>
            <w:rPr>
              <w:rFonts w:eastAsiaTheme="minorEastAsia"/>
              <w:noProof/>
              <w:lang w:eastAsia="en-GB"/>
            </w:rPr>
          </w:pPr>
          <w:hyperlink w:anchor="_Toc232957808" w:history="1">
            <w:r w:rsidRPr="00CF19D1">
              <w:rPr>
                <w:rStyle w:val="Hyperlink"/>
                <w:noProof/>
              </w:rPr>
              <w:t>4.1 Schein’s Three Levels of Organisational Culture</w:t>
            </w:r>
            <w:r>
              <w:rPr>
                <w:noProof/>
                <w:webHidden/>
              </w:rPr>
              <w:tab/>
            </w:r>
            <w:r>
              <w:rPr>
                <w:noProof/>
                <w:webHidden/>
              </w:rPr>
              <w:fldChar w:fldCharType="begin"/>
            </w:r>
            <w:r>
              <w:rPr>
                <w:noProof/>
                <w:webHidden/>
              </w:rPr>
              <w:instrText xml:space="preserve"> PAGEREF _Toc232957808 \h </w:instrText>
            </w:r>
            <w:r>
              <w:rPr>
                <w:noProof/>
                <w:webHidden/>
              </w:rPr>
            </w:r>
            <w:r>
              <w:rPr>
                <w:noProof/>
                <w:webHidden/>
              </w:rPr>
              <w:fldChar w:fldCharType="separate"/>
            </w:r>
            <w:r>
              <w:rPr>
                <w:noProof/>
                <w:webHidden/>
              </w:rPr>
              <w:t>5</w:t>
            </w:r>
            <w:r>
              <w:rPr>
                <w:noProof/>
                <w:webHidden/>
              </w:rPr>
              <w:fldChar w:fldCharType="end"/>
            </w:r>
          </w:hyperlink>
        </w:p>
        <w:p w14:paraId="3C07C532" w14:textId="6D84B5BE" w:rsidR="003C7CBF" w:rsidRDefault="003C7CBF">
          <w:pPr>
            <w:pStyle w:val="TOC2"/>
            <w:tabs>
              <w:tab w:val="right" w:leader="dot" w:pos="9016"/>
            </w:tabs>
            <w:rPr>
              <w:rFonts w:eastAsiaTheme="minorEastAsia"/>
              <w:noProof/>
              <w:lang w:eastAsia="en-GB"/>
            </w:rPr>
          </w:pPr>
          <w:hyperlink w:anchor="_Toc232957809" w:history="1">
            <w:r w:rsidRPr="00CF19D1">
              <w:rPr>
                <w:rStyle w:val="Hyperlink"/>
                <w:noProof/>
              </w:rPr>
              <w:t>4.2 Handy’s Cultural Types</w:t>
            </w:r>
            <w:r>
              <w:rPr>
                <w:noProof/>
                <w:webHidden/>
              </w:rPr>
              <w:tab/>
            </w:r>
            <w:r>
              <w:rPr>
                <w:noProof/>
                <w:webHidden/>
              </w:rPr>
              <w:fldChar w:fldCharType="begin"/>
            </w:r>
            <w:r>
              <w:rPr>
                <w:noProof/>
                <w:webHidden/>
              </w:rPr>
              <w:instrText xml:space="preserve"> PAGEREF _Toc232957809 \h </w:instrText>
            </w:r>
            <w:r>
              <w:rPr>
                <w:noProof/>
                <w:webHidden/>
              </w:rPr>
            </w:r>
            <w:r>
              <w:rPr>
                <w:noProof/>
                <w:webHidden/>
              </w:rPr>
              <w:fldChar w:fldCharType="separate"/>
            </w:r>
            <w:r>
              <w:rPr>
                <w:noProof/>
                <w:webHidden/>
              </w:rPr>
              <w:t>6</w:t>
            </w:r>
            <w:r>
              <w:rPr>
                <w:noProof/>
                <w:webHidden/>
              </w:rPr>
              <w:fldChar w:fldCharType="end"/>
            </w:r>
          </w:hyperlink>
        </w:p>
        <w:p w14:paraId="1124E483" w14:textId="1E664911" w:rsidR="003C7CBF" w:rsidRDefault="003C7CBF">
          <w:pPr>
            <w:pStyle w:val="TOC2"/>
            <w:tabs>
              <w:tab w:val="right" w:leader="dot" w:pos="9016"/>
            </w:tabs>
            <w:rPr>
              <w:rFonts w:eastAsiaTheme="minorEastAsia"/>
              <w:noProof/>
              <w:lang w:eastAsia="en-GB"/>
            </w:rPr>
          </w:pPr>
          <w:hyperlink w:anchor="_Toc232957810" w:history="1">
            <w:r w:rsidRPr="00CF19D1">
              <w:rPr>
                <w:rStyle w:val="Hyperlink"/>
                <w:noProof/>
              </w:rPr>
              <w:t>4.3 Hofstede’s Cultural Dimensions</w:t>
            </w:r>
            <w:r>
              <w:rPr>
                <w:noProof/>
                <w:webHidden/>
              </w:rPr>
              <w:tab/>
            </w:r>
            <w:r>
              <w:rPr>
                <w:noProof/>
                <w:webHidden/>
              </w:rPr>
              <w:fldChar w:fldCharType="begin"/>
            </w:r>
            <w:r>
              <w:rPr>
                <w:noProof/>
                <w:webHidden/>
              </w:rPr>
              <w:instrText xml:space="preserve"> PAGEREF _Toc232957810 \h </w:instrText>
            </w:r>
            <w:r>
              <w:rPr>
                <w:noProof/>
                <w:webHidden/>
              </w:rPr>
            </w:r>
            <w:r>
              <w:rPr>
                <w:noProof/>
                <w:webHidden/>
              </w:rPr>
              <w:fldChar w:fldCharType="separate"/>
            </w:r>
            <w:r>
              <w:rPr>
                <w:noProof/>
                <w:webHidden/>
              </w:rPr>
              <w:t>6</w:t>
            </w:r>
            <w:r>
              <w:rPr>
                <w:noProof/>
                <w:webHidden/>
              </w:rPr>
              <w:fldChar w:fldCharType="end"/>
            </w:r>
          </w:hyperlink>
        </w:p>
        <w:p w14:paraId="4F5F24CB" w14:textId="0F8286B6" w:rsidR="003C7CBF" w:rsidRDefault="003C7CBF">
          <w:pPr>
            <w:pStyle w:val="TOC1"/>
            <w:tabs>
              <w:tab w:val="right" w:leader="dot" w:pos="9016"/>
            </w:tabs>
            <w:rPr>
              <w:rFonts w:eastAsiaTheme="minorEastAsia"/>
              <w:noProof/>
              <w:lang w:eastAsia="en-GB"/>
            </w:rPr>
          </w:pPr>
          <w:hyperlink w:anchor="_Toc232957811" w:history="1">
            <w:r w:rsidRPr="00CF19D1">
              <w:rPr>
                <w:rStyle w:val="Hyperlink"/>
                <w:noProof/>
              </w:rPr>
              <w:t>5. Organisational Culture and Adaptation to the External Environment</w:t>
            </w:r>
            <w:r>
              <w:rPr>
                <w:noProof/>
                <w:webHidden/>
              </w:rPr>
              <w:tab/>
            </w:r>
            <w:r>
              <w:rPr>
                <w:noProof/>
                <w:webHidden/>
              </w:rPr>
              <w:fldChar w:fldCharType="begin"/>
            </w:r>
            <w:r>
              <w:rPr>
                <w:noProof/>
                <w:webHidden/>
              </w:rPr>
              <w:instrText xml:space="preserve"> PAGEREF _Toc232957811 \h </w:instrText>
            </w:r>
            <w:r>
              <w:rPr>
                <w:noProof/>
                <w:webHidden/>
              </w:rPr>
            </w:r>
            <w:r>
              <w:rPr>
                <w:noProof/>
                <w:webHidden/>
              </w:rPr>
              <w:fldChar w:fldCharType="separate"/>
            </w:r>
            <w:r>
              <w:rPr>
                <w:noProof/>
                <w:webHidden/>
              </w:rPr>
              <w:t>7</w:t>
            </w:r>
            <w:r>
              <w:rPr>
                <w:noProof/>
                <w:webHidden/>
              </w:rPr>
              <w:fldChar w:fldCharType="end"/>
            </w:r>
          </w:hyperlink>
        </w:p>
        <w:p w14:paraId="10136A39" w14:textId="6A78B5DD" w:rsidR="003C7CBF" w:rsidRDefault="003C7CBF">
          <w:pPr>
            <w:pStyle w:val="TOC1"/>
            <w:tabs>
              <w:tab w:val="right" w:leader="dot" w:pos="9016"/>
            </w:tabs>
            <w:rPr>
              <w:rFonts w:eastAsiaTheme="minorEastAsia"/>
              <w:noProof/>
              <w:lang w:eastAsia="en-GB"/>
            </w:rPr>
          </w:pPr>
          <w:hyperlink w:anchor="_Toc232957812" w:history="1">
            <w:r w:rsidRPr="00CF19D1">
              <w:rPr>
                <w:rStyle w:val="Hyperlink"/>
                <w:noProof/>
              </w:rPr>
              <w:t>6. Organisational Culture as a Barrier or an Enabler</w:t>
            </w:r>
            <w:r>
              <w:rPr>
                <w:noProof/>
                <w:webHidden/>
              </w:rPr>
              <w:tab/>
            </w:r>
            <w:r>
              <w:rPr>
                <w:noProof/>
                <w:webHidden/>
              </w:rPr>
              <w:fldChar w:fldCharType="begin"/>
            </w:r>
            <w:r>
              <w:rPr>
                <w:noProof/>
                <w:webHidden/>
              </w:rPr>
              <w:instrText xml:space="preserve"> PAGEREF _Toc232957812 \h </w:instrText>
            </w:r>
            <w:r>
              <w:rPr>
                <w:noProof/>
                <w:webHidden/>
              </w:rPr>
            </w:r>
            <w:r>
              <w:rPr>
                <w:noProof/>
                <w:webHidden/>
              </w:rPr>
              <w:fldChar w:fldCharType="separate"/>
            </w:r>
            <w:r>
              <w:rPr>
                <w:noProof/>
                <w:webHidden/>
              </w:rPr>
              <w:t>8</w:t>
            </w:r>
            <w:r>
              <w:rPr>
                <w:noProof/>
                <w:webHidden/>
              </w:rPr>
              <w:fldChar w:fldCharType="end"/>
            </w:r>
          </w:hyperlink>
        </w:p>
        <w:p w14:paraId="53DEC474" w14:textId="1445B563" w:rsidR="003C7CBF" w:rsidRDefault="003C7CBF">
          <w:pPr>
            <w:pStyle w:val="TOC1"/>
            <w:tabs>
              <w:tab w:val="right" w:leader="dot" w:pos="9016"/>
            </w:tabs>
            <w:rPr>
              <w:rFonts w:eastAsiaTheme="minorEastAsia"/>
              <w:noProof/>
              <w:lang w:eastAsia="en-GB"/>
            </w:rPr>
          </w:pPr>
          <w:hyperlink w:anchor="_Toc232957813" w:history="1">
            <w:r w:rsidRPr="00CF19D1">
              <w:rPr>
                <w:rStyle w:val="Hyperlink"/>
                <w:noProof/>
              </w:rPr>
              <w:t>7. Impact of Organisational Culture on Performance</w:t>
            </w:r>
            <w:r>
              <w:rPr>
                <w:noProof/>
                <w:webHidden/>
              </w:rPr>
              <w:tab/>
            </w:r>
            <w:r>
              <w:rPr>
                <w:noProof/>
                <w:webHidden/>
              </w:rPr>
              <w:fldChar w:fldCharType="begin"/>
            </w:r>
            <w:r>
              <w:rPr>
                <w:noProof/>
                <w:webHidden/>
              </w:rPr>
              <w:instrText xml:space="preserve"> PAGEREF _Toc232957813 \h </w:instrText>
            </w:r>
            <w:r>
              <w:rPr>
                <w:noProof/>
                <w:webHidden/>
              </w:rPr>
            </w:r>
            <w:r>
              <w:rPr>
                <w:noProof/>
                <w:webHidden/>
              </w:rPr>
              <w:fldChar w:fldCharType="separate"/>
            </w:r>
            <w:r>
              <w:rPr>
                <w:noProof/>
                <w:webHidden/>
              </w:rPr>
              <w:t>9</w:t>
            </w:r>
            <w:r>
              <w:rPr>
                <w:noProof/>
                <w:webHidden/>
              </w:rPr>
              <w:fldChar w:fldCharType="end"/>
            </w:r>
          </w:hyperlink>
        </w:p>
        <w:p w14:paraId="24237560" w14:textId="791268BA" w:rsidR="003C7CBF" w:rsidRDefault="003C7CBF">
          <w:pPr>
            <w:pStyle w:val="TOC1"/>
            <w:tabs>
              <w:tab w:val="right" w:leader="dot" w:pos="9016"/>
            </w:tabs>
            <w:rPr>
              <w:rFonts w:eastAsiaTheme="minorEastAsia"/>
              <w:noProof/>
              <w:lang w:eastAsia="en-GB"/>
            </w:rPr>
          </w:pPr>
          <w:hyperlink w:anchor="_Toc232957814" w:history="1">
            <w:r w:rsidRPr="00CF19D1">
              <w:rPr>
                <w:rStyle w:val="Hyperlink"/>
                <w:noProof/>
              </w:rPr>
              <w:t>8. Recommendations for Improvement</w:t>
            </w:r>
            <w:r>
              <w:rPr>
                <w:noProof/>
                <w:webHidden/>
              </w:rPr>
              <w:tab/>
            </w:r>
            <w:r>
              <w:rPr>
                <w:noProof/>
                <w:webHidden/>
              </w:rPr>
              <w:fldChar w:fldCharType="begin"/>
            </w:r>
            <w:r>
              <w:rPr>
                <w:noProof/>
                <w:webHidden/>
              </w:rPr>
              <w:instrText xml:space="preserve"> PAGEREF _Toc232957814 \h </w:instrText>
            </w:r>
            <w:r>
              <w:rPr>
                <w:noProof/>
                <w:webHidden/>
              </w:rPr>
            </w:r>
            <w:r>
              <w:rPr>
                <w:noProof/>
                <w:webHidden/>
              </w:rPr>
              <w:fldChar w:fldCharType="separate"/>
            </w:r>
            <w:r>
              <w:rPr>
                <w:noProof/>
                <w:webHidden/>
              </w:rPr>
              <w:t>10</w:t>
            </w:r>
            <w:r>
              <w:rPr>
                <w:noProof/>
                <w:webHidden/>
              </w:rPr>
              <w:fldChar w:fldCharType="end"/>
            </w:r>
          </w:hyperlink>
        </w:p>
        <w:p w14:paraId="7F5AB88A" w14:textId="44E0F0B7" w:rsidR="003C7CBF" w:rsidRDefault="003C7CBF">
          <w:pPr>
            <w:pStyle w:val="TOC1"/>
            <w:tabs>
              <w:tab w:val="right" w:leader="dot" w:pos="9016"/>
            </w:tabs>
            <w:rPr>
              <w:rFonts w:eastAsiaTheme="minorEastAsia"/>
              <w:noProof/>
              <w:lang w:eastAsia="en-GB"/>
            </w:rPr>
          </w:pPr>
          <w:hyperlink w:anchor="_Toc232957815" w:history="1">
            <w:r w:rsidRPr="00CF19D1">
              <w:rPr>
                <w:rStyle w:val="Hyperlink"/>
                <w:noProof/>
              </w:rPr>
              <w:t>9. Conclusion</w:t>
            </w:r>
            <w:r>
              <w:rPr>
                <w:noProof/>
                <w:webHidden/>
              </w:rPr>
              <w:tab/>
            </w:r>
            <w:r>
              <w:rPr>
                <w:noProof/>
                <w:webHidden/>
              </w:rPr>
              <w:fldChar w:fldCharType="begin"/>
            </w:r>
            <w:r>
              <w:rPr>
                <w:noProof/>
                <w:webHidden/>
              </w:rPr>
              <w:instrText xml:space="preserve"> PAGEREF _Toc232957815 \h </w:instrText>
            </w:r>
            <w:r>
              <w:rPr>
                <w:noProof/>
                <w:webHidden/>
              </w:rPr>
            </w:r>
            <w:r>
              <w:rPr>
                <w:noProof/>
                <w:webHidden/>
              </w:rPr>
              <w:fldChar w:fldCharType="separate"/>
            </w:r>
            <w:r>
              <w:rPr>
                <w:noProof/>
                <w:webHidden/>
              </w:rPr>
              <w:t>11</w:t>
            </w:r>
            <w:r>
              <w:rPr>
                <w:noProof/>
                <w:webHidden/>
              </w:rPr>
              <w:fldChar w:fldCharType="end"/>
            </w:r>
          </w:hyperlink>
        </w:p>
        <w:p w14:paraId="56669013" w14:textId="264D3799" w:rsidR="003C7CBF" w:rsidRDefault="003C7CBF">
          <w:pPr>
            <w:pStyle w:val="TOC1"/>
            <w:tabs>
              <w:tab w:val="right" w:leader="dot" w:pos="9016"/>
            </w:tabs>
            <w:rPr>
              <w:rFonts w:eastAsiaTheme="minorEastAsia"/>
              <w:noProof/>
              <w:lang w:eastAsia="en-GB"/>
            </w:rPr>
          </w:pPr>
          <w:hyperlink w:anchor="_Toc232957816" w:history="1">
            <w:r w:rsidRPr="00CF19D1">
              <w:rPr>
                <w:rStyle w:val="Hyperlink"/>
                <w:noProof/>
              </w:rPr>
              <w:t>References</w:t>
            </w:r>
            <w:r>
              <w:rPr>
                <w:noProof/>
                <w:webHidden/>
              </w:rPr>
              <w:tab/>
            </w:r>
            <w:r>
              <w:rPr>
                <w:noProof/>
                <w:webHidden/>
              </w:rPr>
              <w:fldChar w:fldCharType="begin"/>
            </w:r>
            <w:r>
              <w:rPr>
                <w:noProof/>
                <w:webHidden/>
              </w:rPr>
              <w:instrText xml:space="preserve"> PAGEREF _Toc232957816 \h </w:instrText>
            </w:r>
            <w:r>
              <w:rPr>
                <w:noProof/>
                <w:webHidden/>
              </w:rPr>
            </w:r>
            <w:r>
              <w:rPr>
                <w:noProof/>
                <w:webHidden/>
              </w:rPr>
              <w:fldChar w:fldCharType="separate"/>
            </w:r>
            <w:r>
              <w:rPr>
                <w:noProof/>
                <w:webHidden/>
              </w:rPr>
              <w:t>11</w:t>
            </w:r>
            <w:r>
              <w:rPr>
                <w:noProof/>
                <w:webHidden/>
              </w:rPr>
              <w:fldChar w:fldCharType="end"/>
            </w:r>
          </w:hyperlink>
        </w:p>
        <w:p w14:paraId="15C9FF5D" w14:textId="37B2122D" w:rsidR="00E643EF" w:rsidRDefault="0046361A" w:rsidP="0046361A">
          <w:pPr>
            <w:rPr>
              <w:b/>
              <w:bCs/>
            </w:rPr>
          </w:pPr>
          <w:r>
            <w:rPr>
              <w:b/>
              <w:bCs/>
            </w:rPr>
            <w:fldChar w:fldCharType="end"/>
          </w:r>
        </w:p>
      </w:sdtContent>
    </w:sdt>
    <w:p w14:paraId="710ED200" w14:textId="55A89F36" w:rsidR="003C7CBF" w:rsidRPr="003C7CBF" w:rsidRDefault="0046361A" w:rsidP="003C7CBF">
      <w:r>
        <w:br w:type="page"/>
      </w:r>
    </w:p>
    <w:p w14:paraId="0D4D0109" w14:textId="79D4055D" w:rsidR="00D24A19" w:rsidRDefault="00D24A19" w:rsidP="00D24A19">
      <w:pPr>
        <w:pStyle w:val="Title"/>
      </w:pPr>
      <w:r>
        <w:lastRenderedPageBreak/>
        <w:t>Organisational Culture and Its Influence on Structure, Decision-Making, and Performance at John Lewis</w:t>
      </w:r>
    </w:p>
    <w:p w14:paraId="5E2D6912" w14:textId="77777777" w:rsidR="00D24A19" w:rsidRDefault="00D24A19" w:rsidP="00D24A19">
      <w:pPr>
        <w:pStyle w:val="Heading1"/>
      </w:pPr>
      <w:bookmarkStart w:id="0" w:name="_Toc232957802"/>
      <w:r>
        <w:t>1. Introduction</w:t>
      </w:r>
      <w:bookmarkEnd w:id="0"/>
    </w:p>
    <w:p w14:paraId="0E95DDD3" w14:textId="223D8197"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Organisational culture is widely recognised as a central determinant of organisational behaviour, shaping how employees think, act and interact within the workplace. Mullins and Christy (2016) emphasise that culture influences “how things are done around here,” affecting decision</w:t>
      </w:r>
      <w:r w:rsidRPr="0046361A">
        <w:rPr>
          <w:rFonts w:ascii="Cambria Math" w:hAnsi="Cambria Math" w:cs="Cambria Math"/>
          <w:sz w:val="22"/>
          <w:szCs w:val="22"/>
        </w:rPr>
        <w:t>‑</w:t>
      </w:r>
      <w:r w:rsidRPr="0046361A">
        <w:rPr>
          <w:rFonts w:ascii="Arial" w:hAnsi="Arial" w:cs="Arial"/>
          <w:sz w:val="22"/>
          <w:szCs w:val="22"/>
        </w:rPr>
        <w:t>making, organisational structure, motivation, job satisfaction and management control. As organisations operate in increasingly complex and globalised environments, the ability to understand and manage culture becomes essential for maintaining coherence, ensuring effective functioning and achieving strategic objectives. Culture is not merely an abstract concept; it is a powerful social force that guides behaviour beyond formal rules and procedures, shaping the assumptions, values and norms that underpin organisational life (Schein, 1992).</w:t>
      </w:r>
    </w:p>
    <w:p w14:paraId="0CABEA50" w14:textId="373E8BC9"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This report critically examines the organisational culture of the John Lewis Partnership (JLP), one of the United Kingdom’s most distinctive retail organisations. John Lewis provides a rich context for cultural analysis because of its unique employee</w:t>
      </w:r>
      <w:r w:rsidRPr="0046361A">
        <w:rPr>
          <w:rFonts w:ascii="Cambria Math" w:hAnsi="Cambria Math" w:cs="Cambria Math"/>
          <w:sz w:val="22"/>
          <w:szCs w:val="22"/>
        </w:rPr>
        <w:t>‑</w:t>
      </w:r>
      <w:r w:rsidRPr="0046361A">
        <w:rPr>
          <w:rFonts w:ascii="Arial" w:hAnsi="Arial" w:cs="Arial"/>
          <w:sz w:val="22"/>
          <w:szCs w:val="22"/>
        </w:rPr>
        <w:t>ownership model, democratic governance structures and long</w:t>
      </w:r>
      <w:r w:rsidRPr="0046361A">
        <w:rPr>
          <w:rFonts w:ascii="Cambria Math" w:hAnsi="Cambria Math" w:cs="Cambria Math"/>
          <w:sz w:val="22"/>
          <w:szCs w:val="22"/>
        </w:rPr>
        <w:t>‑</w:t>
      </w:r>
      <w:r w:rsidRPr="0046361A">
        <w:rPr>
          <w:rFonts w:ascii="Arial" w:hAnsi="Arial" w:cs="Arial"/>
          <w:sz w:val="22"/>
          <w:szCs w:val="22"/>
        </w:rPr>
        <w:t>standing commitment to ethical business practices. Using Mullins and Christy’s (2016) argument as a foundation, the report evaluates how culture influences the organisation’s structure and decision</w:t>
      </w:r>
      <w:r w:rsidRPr="0046361A">
        <w:rPr>
          <w:rFonts w:ascii="Cambria Math" w:hAnsi="Cambria Math" w:cs="Cambria Math"/>
          <w:sz w:val="22"/>
          <w:szCs w:val="22"/>
        </w:rPr>
        <w:t>‑</w:t>
      </w:r>
      <w:r w:rsidRPr="0046361A">
        <w:rPr>
          <w:rFonts w:ascii="Arial" w:hAnsi="Arial" w:cs="Arial"/>
          <w:sz w:val="22"/>
          <w:szCs w:val="22"/>
        </w:rPr>
        <w:t>making processes, applies relevant theoretical frameworks to identify the prevailing culture, analyses how culture shapes responses to external environmental influences and assesses whether culture acts as a barrier or an enabler to organisational functioning. The report concludes with evidence</w:t>
      </w:r>
      <w:r w:rsidRPr="0046361A">
        <w:rPr>
          <w:rFonts w:ascii="Cambria Math" w:hAnsi="Cambria Math" w:cs="Cambria Math"/>
          <w:sz w:val="22"/>
          <w:szCs w:val="22"/>
        </w:rPr>
        <w:t>‑</w:t>
      </w:r>
      <w:r w:rsidRPr="0046361A">
        <w:rPr>
          <w:rFonts w:ascii="Arial" w:hAnsi="Arial" w:cs="Arial"/>
          <w:sz w:val="22"/>
          <w:szCs w:val="22"/>
        </w:rPr>
        <w:t>based recommendations for improving cultural alignment and organisational performance.</w:t>
      </w:r>
    </w:p>
    <w:p w14:paraId="3A48C4AC" w14:textId="77777777" w:rsidR="00D24A19" w:rsidRDefault="00D24A19" w:rsidP="00D24A19">
      <w:pPr>
        <w:pStyle w:val="Heading1"/>
      </w:pPr>
      <w:bookmarkStart w:id="1" w:name="_Toc232957803"/>
      <w:r>
        <w:t>2. Overview of John Lewis</w:t>
      </w:r>
      <w:bookmarkEnd w:id="1"/>
    </w:p>
    <w:p w14:paraId="6A3EB6C3" w14:textId="17B6F379"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 xml:space="preserve">The John Lewis Partnership operates John Lewis department stores and Waitrose supermarkets and is one of the largest </w:t>
      </w:r>
      <w:r w:rsidR="00613B83" w:rsidRPr="0046361A">
        <w:rPr>
          <w:rFonts w:ascii="Arial" w:hAnsi="Arial" w:cs="Arial"/>
          <w:sz w:val="22"/>
          <w:szCs w:val="22"/>
        </w:rPr>
        <w:t>employees</w:t>
      </w:r>
      <w:r w:rsidRPr="0046361A">
        <w:rPr>
          <w:rFonts w:ascii="Cambria Math" w:hAnsi="Cambria Math" w:cs="Cambria Math"/>
          <w:sz w:val="22"/>
          <w:szCs w:val="22"/>
        </w:rPr>
        <w:t>‑</w:t>
      </w:r>
      <w:r w:rsidRPr="0046361A">
        <w:rPr>
          <w:rFonts w:ascii="Arial" w:hAnsi="Arial" w:cs="Arial"/>
          <w:sz w:val="22"/>
          <w:szCs w:val="22"/>
        </w:rPr>
        <w:t xml:space="preserve">owned businesses in the world. Its organisational model is built on the principle that all employees, known as “Partners,” share responsibility for the organisation’s success. This ownership structure is embedded in the </w:t>
      </w:r>
      <w:r w:rsidRPr="0046361A">
        <w:rPr>
          <w:rFonts w:ascii="Arial" w:hAnsi="Arial" w:cs="Arial"/>
          <w:sz w:val="22"/>
          <w:szCs w:val="22"/>
        </w:rPr>
        <w:lastRenderedPageBreak/>
        <w:t>organisation’s governance, reward systems and cultural identity. The Partnership Constitution outlines the organisation’s purpose, values and expectations, emphasising fairness, respect, quality and shared responsibility. These values have historically shaped the organisation’s reputation for ethical conduct, high levels of employee engagement and strong customer service (Gregory et al., 2009).</w:t>
      </w:r>
    </w:p>
    <w:p w14:paraId="3FCF2EA9" w14:textId="1F0C55A6"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However, the organisation has faced significant challenges in recent years, including increased competition from online retailers, economic pressures, shifts in consumer behaviour and the need for digital transformation. These challenges make it particularly important to understand how culture influences organisational behaviour and performance, as culture can either support or hinder the organisation’s ability to adapt and remain competitive (Hogan and Coote, 2014).</w:t>
      </w:r>
    </w:p>
    <w:p w14:paraId="0A3DD621" w14:textId="77777777" w:rsidR="00D24A19" w:rsidRDefault="00D24A19" w:rsidP="00D24A19">
      <w:pPr>
        <w:pStyle w:val="Heading1"/>
      </w:pPr>
      <w:bookmarkStart w:id="2" w:name="_Toc232957804"/>
      <w:r>
        <w:t>3. Influence of Organisational Culture on Structure and Decision-Making</w:t>
      </w:r>
      <w:bookmarkEnd w:id="2"/>
    </w:p>
    <w:p w14:paraId="014C541C" w14:textId="77777777" w:rsidR="00D24A19" w:rsidRDefault="00D24A19" w:rsidP="00D24A19">
      <w:pPr>
        <w:pStyle w:val="Heading2"/>
      </w:pPr>
      <w:bookmarkStart w:id="3" w:name="_Toc232957805"/>
      <w:r>
        <w:t>3.1 Influence on Organisational Structure</w:t>
      </w:r>
      <w:bookmarkEnd w:id="3"/>
    </w:p>
    <w:p w14:paraId="7AA3B4B8" w14:textId="383E08B3"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Organisational culture plays a central role in shaping organisational structure, as cultural values influence how work is organised, how authority is distributed and how employees interact. Mullins and Christy (2016) argue that structure is not simply a technical arrangement of roles and responsibilities but is deeply intertwined with cultural expectations and behavioural norms. This is clearly evident in the structure of the John Lewis Partnership, which combines democratic principles with operational hierarchy.</w:t>
      </w:r>
    </w:p>
    <w:p w14:paraId="7101B96B" w14:textId="486FEF5B"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The organisation’s culture of employee ownership has led to a structure that incorporates formal mechanisms for employee voice, such as the Partnership Council, elected representatives and regular consultative forums. These structures reflect the organisation’s commitment to participation, transparency and shared responsibility. The democratic ethos embedded in the organisation’s culture encourages employees to contribute to decision</w:t>
      </w:r>
      <w:r w:rsidRPr="0046361A">
        <w:rPr>
          <w:rFonts w:ascii="Cambria Math" w:hAnsi="Cambria Math" w:cs="Cambria Math"/>
          <w:sz w:val="22"/>
          <w:szCs w:val="22"/>
        </w:rPr>
        <w:t>‑</w:t>
      </w:r>
      <w:r w:rsidRPr="0046361A">
        <w:rPr>
          <w:rFonts w:ascii="Arial" w:hAnsi="Arial" w:cs="Arial"/>
          <w:sz w:val="22"/>
          <w:szCs w:val="22"/>
        </w:rPr>
        <w:t>making processes and reinforces the belief that employees are capable, trustworthy and deserving of influence (O’Reilly, Chatman and Caldwell, 1991).</w:t>
      </w:r>
    </w:p>
    <w:p w14:paraId="46ED5E2C" w14:textId="093E5B37"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 xml:space="preserve">At the same time, John Lewis maintains a functional hierarchical structure within its retail operations, with clear departmental divisions such as human resources, merchandising, operations and customer service. This reflects the need for efficiency, coordination and accountability in a large retail organisation. Mullins and Christy (2016) note that organisations often adopt hybrid structures to balance flexibility with control, and John Lewis demonstrates this balance by combining democratic governance with operational hierarchy. </w:t>
      </w:r>
      <w:r w:rsidRPr="0046361A">
        <w:rPr>
          <w:rFonts w:ascii="Arial" w:hAnsi="Arial" w:cs="Arial"/>
          <w:sz w:val="22"/>
          <w:szCs w:val="22"/>
        </w:rPr>
        <w:lastRenderedPageBreak/>
        <w:t>The organisation’s culture supports decentralisation at the operational level, enabling managers and teams to respond to local customer needs, while strategic decisions remain centralised at senior leadership level to ensure coherence and long</w:t>
      </w:r>
      <w:r w:rsidRPr="0046361A">
        <w:rPr>
          <w:rFonts w:ascii="Cambria Math" w:hAnsi="Cambria Math" w:cs="Cambria Math"/>
          <w:sz w:val="22"/>
          <w:szCs w:val="22"/>
        </w:rPr>
        <w:t>‑</w:t>
      </w:r>
      <w:r w:rsidRPr="0046361A">
        <w:rPr>
          <w:rFonts w:ascii="Arial" w:hAnsi="Arial" w:cs="Arial"/>
          <w:sz w:val="22"/>
          <w:szCs w:val="22"/>
        </w:rPr>
        <w:t>term planning.</w:t>
      </w:r>
    </w:p>
    <w:p w14:paraId="64AD6C7C" w14:textId="5CBCE82D"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The organisation’s culture also influences the degree of formalisation within its structure. The emphasis on trust, respect and empowerment reduces the need for excessive rules and procedures, as employees are expected to act responsibly and in alignment with organisational values. This cultural expectation supports a more flexible and adaptive structure, which is essential in a dynamic retail environment. However, the organisation’s commitment to high</w:t>
      </w:r>
      <w:r w:rsidRPr="0046361A">
        <w:rPr>
          <w:rFonts w:ascii="Cambria Math" w:hAnsi="Cambria Math" w:cs="Cambria Math"/>
          <w:sz w:val="22"/>
          <w:szCs w:val="22"/>
        </w:rPr>
        <w:t>‑</w:t>
      </w:r>
      <w:r w:rsidRPr="0046361A">
        <w:rPr>
          <w:rFonts w:ascii="Arial" w:hAnsi="Arial" w:cs="Arial"/>
          <w:sz w:val="22"/>
          <w:szCs w:val="22"/>
        </w:rPr>
        <w:t>quality customer service and consistent brand standards necessitates some degree of formalisation, particularly in areas such as customer service protocols, product presentation and operational processes. The interplay between cultural values and structural requirements creates a distinctive organisational design that reflects both the organisation’s heritage and its strategic needs.</w:t>
      </w:r>
    </w:p>
    <w:p w14:paraId="6C27CF86" w14:textId="77777777" w:rsidR="00D24A19" w:rsidRDefault="00D24A19" w:rsidP="00D24A19">
      <w:pPr>
        <w:pStyle w:val="Heading2"/>
      </w:pPr>
      <w:bookmarkStart w:id="4" w:name="_Toc232957806"/>
      <w:r>
        <w:t>3.2 Influence on Decision-Making Processes</w:t>
      </w:r>
      <w:bookmarkEnd w:id="4"/>
    </w:p>
    <w:p w14:paraId="1D0094B7" w14:textId="0A82F350"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Organisational culture significantly shapes decision</w:t>
      </w:r>
      <w:r w:rsidRPr="0046361A">
        <w:rPr>
          <w:rFonts w:ascii="Cambria Math" w:hAnsi="Cambria Math" w:cs="Cambria Math"/>
          <w:sz w:val="22"/>
          <w:szCs w:val="22"/>
        </w:rPr>
        <w:t>‑</w:t>
      </w:r>
      <w:r w:rsidRPr="0046361A">
        <w:rPr>
          <w:rFonts w:ascii="Arial" w:hAnsi="Arial" w:cs="Arial"/>
          <w:sz w:val="22"/>
          <w:szCs w:val="22"/>
        </w:rPr>
        <w:t>making processes at John Lewis. Mullins and Christy (2016) argue that culture influences not only what decisions are made but also how they are made, who is involved and what criteria are prioritised. At John Lewis, decision</w:t>
      </w:r>
      <w:r w:rsidRPr="0046361A">
        <w:rPr>
          <w:rFonts w:ascii="Cambria Math" w:hAnsi="Cambria Math" w:cs="Cambria Math"/>
          <w:sz w:val="22"/>
          <w:szCs w:val="22"/>
        </w:rPr>
        <w:t>‑</w:t>
      </w:r>
      <w:r w:rsidRPr="0046361A">
        <w:rPr>
          <w:rFonts w:ascii="Arial" w:hAnsi="Arial" w:cs="Arial"/>
          <w:sz w:val="22"/>
          <w:szCs w:val="22"/>
        </w:rPr>
        <w:t>making is strongly influenced by the organisation’s democratic ethos and commitment to shared responsibility. The Partnership Council and other participatory mechanisms ensure that employees have a voice in major organisational decisions, reinforcing the belief that employees are valued contributors to organisational success.</w:t>
      </w:r>
    </w:p>
    <w:p w14:paraId="0FD9F45B" w14:textId="456DDFBD"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This participatory approach reflects elements of Handy’s (1993) Person Culture, where individuals are valued and empowered, as well as Task Culture, where teams collaborate to solve problems. The organisation’s cultural emphasis on consultation, collaboration and open communication shapes decision</w:t>
      </w:r>
      <w:r w:rsidRPr="0046361A">
        <w:rPr>
          <w:rFonts w:ascii="Cambria Math" w:hAnsi="Cambria Math" w:cs="Cambria Math"/>
          <w:sz w:val="22"/>
          <w:szCs w:val="22"/>
        </w:rPr>
        <w:t>‑</w:t>
      </w:r>
      <w:r w:rsidRPr="0046361A">
        <w:rPr>
          <w:rFonts w:ascii="Arial" w:hAnsi="Arial" w:cs="Arial"/>
          <w:sz w:val="22"/>
          <w:szCs w:val="22"/>
        </w:rPr>
        <w:t>making processes by encouraging managers to seek input from employees and consider diverse perspectives. This approach fosters a sense of ownership and commitment among employees, which can enhance motivation and engagement (Homburg and Pflesser, 2000).</w:t>
      </w:r>
    </w:p>
    <w:p w14:paraId="43BE0B50" w14:textId="5C65B8C2"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However, the democratic nature of the organisation can also slow decision</w:t>
      </w:r>
      <w:r w:rsidRPr="0046361A">
        <w:rPr>
          <w:rFonts w:ascii="Cambria Math" w:hAnsi="Cambria Math" w:cs="Cambria Math"/>
          <w:sz w:val="22"/>
          <w:szCs w:val="22"/>
        </w:rPr>
        <w:t>‑</w:t>
      </w:r>
      <w:r w:rsidRPr="0046361A">
        <w:rPr>
          <w:rFonts w:ascii="Arial" w:hAnsi="Arial" w:cs="Arial"/>
          <w:sz w:val="22"/>
          <w:szCs w:val="22"/>
        </w:rPr>
        <w:t xml:space="preserve">making. Mullins and Christy (2016) caution that strong cultures can sometimes hinder organisational agility, particularly when cultural norms prioritise consensus over speed. This is evident in John Lewis’s approach to strategic change, where extensive consultation processes can delay the implementation of new initiatives. The organisation’s cultural attachment to tradition and </w:t>
      </w:r>
      <w:r w:rsidRPr="0046361A">
        <w:rPr>
          <w:rFonts w:ascii="Arial" w:hAnsi="Arial" w:cs="Arial"/>
          <w:sz w:val="22"/>
          <w:szCs w:val="22"/>
        </w:rPr>
        <w:lastRenderedPageBreak/>
        <w:t>stability can also create resistance to change, particularly when proposed changes challenge long</w:t>
      </w:r>
      <w:r w:rsidRPr="0046361A">
        <w:rPr>
          <w:rFonts w:ascii="Cambria Math" w:hAnsi="Cambria Math" w:cs="Cambria Math"/>
          <w:sz w:val="22"/>
          <w:szCs w:val="22"/>
        </w:rPr>
        <w:t>‑</w:t>
      </w:r>
      <w:r w:rsidRPr="0046361A">
        <w:rPr>
          <w:rFonts w:ascii="Arial" w:hAnsi="Arial" w:cs="Arial"/>
          <w:sz w:val="22"/>
          <w:szCs w:val="22"/>
        </w:rPr>
        <w:t>standing practices or values (Kotter, 1996).</w:t>
      </w:r>
    </w:p>
    <w:p w14:paraId="559F787A" w14:textId="7BB15062"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Despite these challenges, the organisation’s culture also supports ethical and long</w:t>
      </w:r>
      <w:r w:rsidRPr="0046361A">
        <w:rPr>
          <w:rFonts w:ascii="Cambria Math" w:hAnsi="Cambria Math" w:cs="Cambria Math"/>
          <w:sz w:val="22"/>
          <w:szCs w:val="22"/>
        </w:rPr>
        <w:t>‑</w:t>
      </w:r>
      <w:r w:rsidRPr="0046361A">
        <w:rPr>
          <w:rFonts w:ascii="Arial" w:hAnsi="Arial" w:cs="Arial"/>
          <w:sz w:val="22"/>
          <w:szCs w:val="22"/>
        </w:rPr>
        <w:t>term decision</w:t>
      </w:r>
      <w:r w:rsidRPr="0046361A">
        <w:rPr>
          <w:rFonts w:ascii="Cambria Math" w:hAnsi="Cambria Math" w:cs="Cambria Math"/>
          <w:sz w:val="22"/>
          <w:szCs w:val="22"/>
        </w:rPr>
        <w:t>‑</w:t>
      </w:r>
      <w:r w:rsidRPr="0046361A">
        <w:rPr>
          <w:rFonts w:ascii="Arial" w:hAnsi="Arial" w:cs="Arial"/>
          <w:sz w:val="22"/>
          <w:szCs w:val="22"/>
        </w:rPr>
        <w:t>making. John Lewis has a strong reputation for integrity, fairness and customer focus, and these values influence strategic decisions. The organisation has historically prioritised long</w:t>
      </w:r>
      <w:r w:rsidRPr="0046361A">
        <w:rPr>
          <w:rFonts w:ascii="Cambria Math" w:hAnsi="Cambria Math" w:cs="Cambria Math"/>
          <w:sz w:val="22"/>
          <w:szCs w:val="22"/>
        </w:rPr>
        <w:t>‑</w:t>
      </w:r>
      <w:r w:rsidRPr="0046361A">
        <w:rPr>
          <w:rFonts w:ascii="Arial" w:hAnsi="Arial" w:cs="Arial"/>
          <w:sz w:val="22"/>
          <w:szCs w:val="22"/>
        </w:rPr>
        <w:t>term sustainability over short</w:t>
      </w:r>
      <w:r w:rsidRPr="0046361A">
        <w:rPr>
          <w:rFonts w:ascii="Cambria Math" w:hAnsi="Cambria Math" w:cs="Cambria Math"/>
          <w:sz w:val="22"/>
          <w:szCs w:val="22"/>
        </w:rPr>
        <w:t>‑</w:t>
      </w:r>
      <w:r w:rsidRPr="0046361A">
        <w:rPr>
          <w:rFonts w:ascii="Arial" w:hAnsi="Arial" w:cs="Arial"/>
          <w:sz w:val="22"/>
          <w:szCs w:val="22"/>
        </w:rPr>
        <w:t>term profit, reflecting a cultural commitment to responsible business practices. This long</w:t>
      </w:r>
      <w:r w:rsidRPr="0046361A">
        <w:rPr>
          <w:rFonts w:ascii="Cambria Math" w:hAnsi="Cambria Math" w:cs="Cambria Math"/>
          <w:sz w:val="22"/>
          <w:szCs w:val="22"/>
        </w:rPr>
        <w:t>‑</w:t>
      </w:r>
      <w:r w:rsidRPr="0046361A">
        <w:rPr>
          <w:rFonts w:ascii="Arial" w:hAnsi="Arial" w:cs="Arial"/>
          <w:sz w:val="22"/>
          <w:szCs w:val="22"/>
        </w:rPr>
        <w:t>term orientation aligns with Mullins and Christy’s (2016) argument that culture shapes organisational priorities and influences the criteria used in decision</w:t>
      </w:r>
      <w:r w:rsidRPr="0046361A">
        <w:rPr>
          <w:rFonts w:ascii="Cambria Math" w:hAnsi="Cambria Math" w:cs="Cambria Math"/>
          <w:sz w:val="22"/>
          <w:szCs w:val="22"/>
        </w:rPr>
        <w:t>‑</w:t>
      </w:r>
      <w:r w:rsidRPr="0046361A">
        <w:rPr>
          <w:rFonts w:ascii="Arial" w:hAnsi="Arial" w:cs="Arial"/>
          <w:sz w:val="22"/>
          <w:szCs w:val="22"/>
        </w:rPr>
        <w:t>making.</w:t>
      </w:r>
    </w:p>
    <w:p w14:paraId="61DDCEFD" w14:textId="77777777" w:rsidR="00D24A19" w:rsidRDefault="00D24A19" w:rsidP="00D24A19">
      <w:pPr>
        <w:pStyle w:val="Heading1"/>
      </w:pPr>
      <w:bookmarkStart w:id="5" w:name="_Toc232957807"/>
      <w:r>
        <w:t>4. Identifying John Lewis’ Culture Using Theoretical Frameworks</w:t>
      </w:r>
      <w:bookmarkEnd w:id="5"/>
    </w:p>
    <w:p w14:paraId="155AA49E" w14:textId="77777777" w:rsidR="00D24A19" w:rsidRDefault="00D24A19" w:rsidP="00D24A19">
      <w:pPr>
        <w:pStyle w:val="Heading2"/>
      </w:pPr>
      <w:bookmarkStart w:id="6" w:name="_Toc232957808"/>
      <w:r>
        <w:t>4.1 Schein’s Three Levels of Organisational Culture</w:t>
      </w:r>
      <w:bookmarkEnd w:id="6"/>
    </w:p>
    <w:p w14:paraId="699BFEC5" w14:textId="276E1E32"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Schein’s (1992) model provides a comprehensive framework for analysing organisational culture by distinguishing between artefacts, espoused values and basic underlying assumptions. This model is particularly useful for understanding the depth and complexity of John Lewis’s culture.</w:t>
      </w:r>
    </w:p>
    <w:p w14:paraId="5C4210F3" w14:textId="1FC0183A"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At the level of artefacts, John Lewis exhibits numerous visible expressions of its culture. These include the employee</w:t>
      </w:r>
      <w:r w:rsidRPr="0046361A">
        <w:rPr>
          <w:rFonts w:ascii="Cambria Math" w:hAnsi="Cambria Math" w:cs="Cambria Math"/>
          <w:sz w:val="22"/>
          <w:szCs w:val="22"/>
        </w:rPr>
        <w:t>‑</w:t>
      </w:r>
      <w:r w:rsidRPr="0046361A">
        <w:rPr>
          <w:rFonts w:ascii="Arial" w:hAnsi="Arial" w:cs="Arial"/>
          <w:sz w:val="22"/>
          <w:szCs w:val="22"/>
        </w:rPr>
        <w:t>ownership model, democratic governance structures, formal communication channels and the organisation’s emphasis on high</w:t>
      </w:r>
      <w:r w:rsidRPr="0046361A">
        <w:rPr>
          <w:rFonts w:ascii="Cambria Math" w:hAnsi="Cambria Math" w:cs="Cambria Math"/>
          <w:sz w:val="22"/>
          <w:szCs w:val="22"/>
        </w:rPr>
        <w:t>‑</w:t>
      </w:r>
      <w:r w:rsidRPr="0046361A">
        <w:rPr>
          <w:rFonts w:ascii="Arial" w:hAnsi="Arial" w:cs="Arial"/>
          <w:sz w:val="22"/>
          <w:szCs w:val="22"/>
        </w:rPr>
        <w:t>quality customer service. These artefacts reflect the organisation’s values of fairness, respect and shared responsibility and provide tangible evidence of the organisation’s cultural identity (Alvesson, 2013).</w:t>
      </w:r>
    </w:p>
    <w:p w14:paraId="7618E264" w14:textId="54FD9814"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At the level of espoused values, the organisation articulates a clear set of principles in the Partnership Constitution, including integrity, quality, respect and collective responsibility. These values guide organisational behaviour and decision</w:t>
      </w:r>
      <w:r w:rsidRPr="0046361A">
        <w:rPr>
          <w:rFonts w:ascii="Cambria Math" w:hAnsi="Cambria Math" w:cs="Cambria Math"/>
          <w:sz w:val="22"/>
          <w:szCs w:val="22"/>
        </w:rPr>
        <w:t>‑</w:t>
      </w:r>
      <w:r w:rsidRPr="0046361A">
        <w:rPr>
          <w:rFonts w:ascii="Arial" w:hAnsi="Arial" w:cs="Arial"/>
          <w:sz w:val="22"/>
          <w:szCs w:val="22"/>
        </w:rPr>
        <w:t>making and are consistently communicated to employees and customers. Mullins and Christy (2016) emphasise that espoused values play a critical role in shaping organisational identity and expectations, and John Lewis demonstrates strong alignment between its stated values and its operational practices.</w:t>
      </w:r>
    </w:p>
    <w:p w14:paraId="4E235EAD" w14:textId="3A5821E9"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 xml:space="preserve">At the deepest level, John Lewis’s culture is shaped by basic underlying assumptions, which are the unconscious beliefs that guide behaviour. These assumptions include the belief that employees are trustworthy and capable, that collective ownership leads to better </w:t>
      </w:r>
      <w:r w:rsidRPr="0046361A">
        <w:rPr>
          <w:rFonts w:ascii="Arial" w:hAnsi="Arial" w:cs="Arial"/>
          <w:sz w:val="22"/>
          <w:szCs w:val="22"/>
        </w:rPr>
        <w:lastRenderedPageBreak/>
        <w:t>organisational outcomes and that ethical behaviour is essential for long</w:t>
      </w:r>
      <w:r w:rsidRPr="0046361A">
        <w:rPr>
          <w:rFonts w:ascii="Cambria Math" w:hAnsi="Cambria Math" w:cs="Cambria Math"/>
          <w:sz w:val="22"/>
          <w:szCs w:val="22"/>
        </w:rPr>
        <w:t>‑</w:t>
      </w:r>
      <w:r w:rsidRPr="0046361A">
        <w:rPr>
          <w:rFonts w:ascii="Arial" w:hAnsi="Arial" w:cs="Arial"/>
          <w:sz w:val="22"/>
          <w:szCs w:val="22"/>
        </w:rPr>
        <w:t>term success. These assumptions are deeply embedded in the organisation’s identity and influence behaviour even in the absence of formal rules. Schein (1992) argues that these underlying assumptions are the most powerful elements of culture, and at John Lewis, they create a strong sense of shared purpose and identity.</w:t>
      </w:r>
    </w:p>
    <w:p w14:paraId="3DF3EC03" w14:textId="77777777" w:rsidR="00D24A19" w:rsidRDefault="00D24A19" w:rsidP="00D24A19">
      <w:pPr>
        <w:pStyle w:val="Heading2"/>
      </w:pPr>
      <w:bookmarkStart w:id="7" w:name="_Toc232957809"/>
      <w:r>
        <w:t>4.2 Handy’s Cultural Types</w:t>
      </w:r>
      <w:bookmarkEnd w:id="7"/>
    </w:p>
    <w:p w14:paraId="36ED9A0C" w14:textId="2EE5A0D7"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Handy’s (1993) typology identifies four types of organisational culture: Power, Role, Task and Person Culture. John Lewis exhibits a hybrid culture that incorporates elements of Task Culture, Person Culture and Role Culture. Task Culture is evident in the organisation’s emphasis on teamwork, collaboration and problem</w:t>
      </w:r>
      <w:r w:rsidRPr="0046361A">
        <w:rPr>
          <w:rFonts w:ascii="Cambria Math" w:hAnsi="Cambria Math" w:cs="Cambria Math"/>
          <w:sz w:val="22"/>
          <w:szCs w:val="22"/>
        </w:rPr>
        <w:t>‑</w:t>
      </w:r>
      <w:r w:rsidRPr="0046361A">
        <w:rPr>
          <w:rFonts w:ascii="Arial" w:hAnsi="Arial" w:cs="Arial"/>
          <w:sz w:val="22"/>
          <w:szCs w:val="22"/>
        </w:rPr>
        <w:t>solving. Employees are encouraged to work together to deliver high</w:t>
      </w:r>
      <w:r w:rsidRPr="0046361A">
        <w:rPr>
          <w:rFonts w:ascii="Cambria Math" w:hAnsi="Cambria Math" w:cs="Cambria Math"/>
          <w:sz w:val="22"/>
          <w:szCs w:val="22"/>
        </w:rPr>
        <w:t>‑</w:t>
      </w:r>
      <w:r w:rsidRPr="0046361A">
        <w:rPr>
          <w:rFonts w:ascii="Arial" w:hAnsi="Arial" w:cs="Arial"/>
          <w:sz w:val="22"/>
          <w:szCs w:val="22"/>
        </w:rPr>
        <w:t>quality customer service and to contribute to organisational improvement. Person Culture is reflected in the organisation’s commitment to employee empowerment and autonomy. The employee</w:t>
      </w:r>
      <w:r w:rsidRPr="0046361A">
        <w:rPr>
          <w:rFonts w:ascii="Cambria Math" w:hAnsi="Cambria Math" w:cs="Cambria Math"/>
          <w:sz w:val="22"/>
          <w:szCs w:val="22"/>
        </w:rPr>
        <w:t>‑</w:t>
      </w:r>
      <w:r w:rsidRPr="0046361A">
        <w:rPr>
          <w:rFonts w:ascii="Arial" w:hAnsi="Arial" w:cs="Arial"/>
          <w:sz w:val="22"/>
          <w:szCs w:val="22"/>
        </w:rPr>
        <w:t>ownership model gives individuals a sense of personal responsibility and influence, and the organisation’s democratic structures ensure that employees have a voice in decision</w:t>
      </w:r>
      <w:r w:rsidRPr="0046361A">
        <w:rPr>
          <w:rFonts w:ascii="Cambria Math" w:hAnsi="Cambria Math" w:cs="Cambria Math"/>
          <w:sz w:val="22"/>
          <w:szCs w:val="22"/>
        </w:rPr>
        <w:t>‑</w:t>
      </w:r>
      <w:r w:rsidRPr="0046361A">
        <w:rPr>
          <w:rFonts w:ascii="Arial" w:hAnsi="Arial" w:cs="Arial"/>
          <w:sz w:val="22"/>
          <w:szCs w:val="22"/>
        </w:rPr>
        <w:t>making. Role Culture is also present, particularly in the organisation’s functional structure and standardised retail processes. Clear roles, responsibilities and procedures ensure consistency and efficiency across stores.</w:t>
      </w:r>
    </w:p>
    <w:p w14:paraId="0B0BC811" w14:textId="1D0DA0FC"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The dominant culture at John Lewis can therefore be described as a Task</w:t>
      </w:r>
      <w:r w:rsidRPr="0046361A">
        <w:rPr>
          <w:rFonts w:ascii="Cambria Math" w:hAnsi="Cambria Math" w:cs="Cambria Math"/>
          <w:sz w:val="22"/>
          <w:szCs w:val="22"/>
        </w:rPr>
        <w:t>‑</w:t>
      </w:r>
      <w:r w:rsidRPr="0046361A">
        <w:rPr>
          <w:rFonts w:ascii="Arial" w:hAnsi="Arial" w:cs="Arial"/>
          <w:sz w:val="22"/>
          <w:szCs w:val="22"/>
        </w:rPr>
        <w:t>Person hybrid, with strong democratic values and a commitment to collaboration, empowerment and ethical behaviour. This hybrid culture reflects the organisation’s unique identity and supports both operational effectiveness and employee engagement (Deal and Kennedy, 2000).</w:t>
      </w:r>
    </w:p>
    <w:p w14:paraId="5E06F9C8" w14:textId="77777777" w:rsidR="00D24A19" w:rsidRDefault="00D24A19" w:rsidP="00D24A19">
      <w:pPr>
        <w:pStyle w:val="Heading2"/>
      </w:pPr>
      <w:bookmarkStart w:id="8" w:name="_Toc232957810"/>
      <w:r>
        <w:t>4.3 Hofstede’s Cultural Dimensions</w:t>
      </w:r>
      <w:bookmarkEnd w:id="8"/>
    </w:p>
    <w:p w14:paraId="196FD38A" w14:textId="1A062ECD"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Hofstede’s (1980) cultural dimensions provide additional insight into the cultural characteristics of John Lewis. The organisation exhibits low power distance, as employees are encouraged to participate in decision</w:t>
      </w:r>
      <w:r w:rsidRPr="0046361A">
        <w:rPr>
          <w:rFonts w:ascii="Cambria Math" w:hAnsi="Cambria Math" w:cs="Cambria Math"/>
          <w:sz w:val="22"/>
          <w:szCs w:val="22"/>
        </w:rPr>
        <w:t>‑</w:t>
      </w:r>
      <w:r w:rsidRPr="0046361A">
        <w:rPr>
          <w:rFonts w:ascii="Arial" w:hAnsi="Arial" w:cs="Arial"/>
          <w:sz w:val="22"/>
          <w:szCs w:val="22"/>
        </w:rPr>
        <w:t>making and leaders are expected to be approachable and transparent. This aligns with the organisation’s democratic ethos and employee</w:t>
      </w:r>
      <w:r w:rsidRPr="0046361A">
        <w:rPr>
          <w:rFonts w:ascii="Cambria Math" w:hAnsi="Cambria Math" w:cs="Cambria Math"/>
          <w:sz w:val="22"/>
          <w:szCs w:val="22"/>
        </w:rPr>
        <w:t>‑</w:t>
      </w:r>
      <w:r w:rsidRPr="0046361A">
        <w:rPr>
          <w:rFonts w:ascii="Arial" w:hAnsi="Arial" w:cs="Arial"/>
          <w:sz w:val="22"/>
          <w:szCs w:val="22"/>
        </w:rPr>
        <w:t>ownership model. The organisation also demonstrates a balance between individualism and collectivism. While employees have autonomy and personal responsibility, the collective ownership model fosters a strong sense of group identity and shared purpose. John Lewis exhibits relatively high uncertainty avoidance, as the organisation places strong emphasis on stability, long</w:t>
      </w:r>
      <w:r w:rsidRPr="0046361A">
        <w:rPr>
          <w:rFonts w:ascii="Cambria Math" w:hAnsi="Cambria Math" w:cs="Cambria Math"/>
          <w:sz w:val="22"/>
          <w:szCs w:val="22"/>
        </w:rPr>
        <w:t>‑</w:t>
      </w:r>
      <w:r w:rsidRPr="0046361A">
        <w:rPr>
          <w:rFonts w:ascii="Arial" w:hAnsi="Arial" w:cs="Arial"/>
          <w:sz w:val="22"/>
          <w:szCs w:val="22"/>
        </w:rPr>
        <w:t>term planning and ethical behaviour. Finally, the organisation demonstrates long</w:t>
      </w:r>
      <w:r w:rsidRPr="0046361A">
        <w:rPr>
          <w:rFonts w:ascii="Cambria Math" w:hAnsi="Cambria Math" w:cs="Cambria Math"/>
          <w:sz w:val="22"/>
          <w:szCs w:val="22"/>
        </w:rPr>
        <w:t>‑</w:t>
      </w:r>
      <w:r w:rsidRPr="0046361A">
        <w:rPr>
          <w:rFonts w:ascii="Arial" w:hAnsi="Arial" w:cs="Arial"/>
          <w:sz w:val="22"/>
          <w:szCs w:val="22"/>
        </w:rPr>
        <w:t>term orientation, as decisions are guided by long</w:t>
      </w:r>
      <w:r w:rsidRPr="0046361A">
        <w:rPr>
          <w:rFonts w:ascii="Cambria Math" w:hAnsi="Cambria Math" w:cs="Cambria Math"/>
          <w:sz w:val="22"/>
          <w:szCs w:val="22"/>
        </w:rPr>
        <w:t>‑</w:t>
      </w:r>
      <w:r w:rsidRPr="0046361A">
        <w:rPr>
          <w:rFonts w:ascii="Arial" w:hAnsi="Arial" w:cs="Arial"/>
          <w:sz w:val="22"/>
          <w:szCs w:val="22"/>
        </w:rPr>
        <w:t>term sustainability rather than short</w:t>
      </w:r>
      <w:r w:rsidRPr="0046361A">
        <w:rPr>
          <w:rFonts w:ascii="Cambria Math" w:hAnsi="Cambria Math" w:cs="Cambria Math"/>
          <w:sz w:val="22"/>
          <w:szCs w:val="22"/>
        </w:rPr>
        <w:t>‑</w:t>
      </w:r>
      <w:r w:rsidRPr="0046361A">
        <w:rPr>
          <w:rFonts w:ascii="Arial" w:hAnsi="Arial" w:cs="Arial"/>
          <w:sz w:val="22"/>
          <w:szCs w:val="22"/>
        </w:rPr>
        <w:t>term profit.</w:t>
      </w:r>
    </w:p>
    <w:p w14:paraId="72130AEE" w14:textId="77777777" w:rsidR="00D24A19" w:rsidRPr="0046361A" w:rsidRDefault="00D24A19" w:rsidP="0046361A">
      <w:pPr>
        <w:pStyle w:val="Heading1"/>
        <w:rPr>
          <w:rStyle w:val="SubtleEmphasis"/>
          <w:i w:val="0"/>
          <w:iCs w:val="0"/>
          <w:color w:val="0F4761" w:themeColor="accent1" w:themeShade="BF"/>
        </w:rPr>
      </w:pPr>
      <w:bookmarkStart w:id="9" w:name="_Toc232957811"/>
      <w:r w:rsidRPr="0046361A">
        <w:rPr>
          <w:rStyle w:val="SubtleEmphasis"/>
          <w:i w:val="0"/>
          <w:iCs w:val="0"/>
          <w:color w:val="0F4761" w:themeColor="accent1" w:themeShade="BF"/>
        </w:rPr>
        <w:lastRenderedPageBreak/>
        <w:t>5. Organisational Culture and Adaptation to the External Environment</w:t>
      </w:r>
      <w:bookmarkEnd w:id="9"/>
    </w:p>
    <w:p w14:paraId="470C4E0B" w14:textId="1ED3D733"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Organisations do not operate in isolation; they are continually shaped by external environmental forces such as economic conditions, technological developments, social expectations, political pressures and competitive dynamics. Mullins and Christy (2016) argue that organisational culture plays a crucial role in determining how effectively an organisation interprets and responds to these external influences. In the case of the John Lewis Partnership, culture has historically been a source of resilience, enabling the organisation to navigate environmental uncertainty while maintaining its ethical identity and commitment to employee welfare.</w:t>
      </w:r>
    </w:p>
    <w:p w14:paraId="27959863" w14:textId="1692F529"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One of the most significant external pressures facing John Lewis in recent years has been the rapid growth of online retail and the digital transformation of the retail sector. The organisation’s culture, which emphasises quality, customer service and long</w:t>
      </w:r>
      <w:r w:rsidRPr="0046361A">
        <w:rPr>
          <w:rFonts w:ascii="Cambria Math" w:hAnsi="Cambria Math" w:cs="Cambria Math"/>
          <w:sz w:val="22"/>
          <w:szCs w:val="22"/>
        </w:rPr>
        <w:t>‑</w:t>
      </w:r>
      <w:r w:rsidRPr="0046361A">
        <w:rPr>
          <w:rFonts w:ascii="Arial" w:hAnsi="Arial" w:cs="Arial"/>
          <w:sz w:val="22"/>
          <w:szCs w:val="22"/>
        </w:rPr>
        <w:t>term thinking, has influenced its approach to technological change. Rather than adopting a purely cost</w:t>
      </w:r>
      <w:r w:rsidRPr="0046361A">
        <w:rPr>
          <w:rFonts w:ascii="Cambria Math" w:hAnsi="Cambria Math" w:cs="Cambria Math"/>
          <w:sz w:val="22"/>
          <w:szCs w:val="22"/>
        </w:rPr>
        <w:t>‑</w:t>
      </w:r>
      <w:r w:rsidRPr="0046361A">
        <w:rPr>
          <w:rFonts w:ascii="Arial" w:hAnsi="Arial" w:cs="Arial"/>
          <w:sz w:val="22"/>
          <w:szCs w:val="22"/>
        </w:rPr>
        <w:t>driven or efficiency</w:t>
      </w:r>
      <w:r w:rsidRPr="0046361A">
        <w:rPr>
          <w:rFonts w:ascii="Cambria Math" w:hAnsi="Cambria Math" w:cs="Cambria Math"/>
          <w:sz w:val="22"/>
          <w:szCs w:val="22"/>
        </w:rPr>
        <w:t>‑</w:t>
      </w:r>
      <w:r w:rsidRPr="0046361A">
        <w:rPr>
          <w:rFonts w:ascii="Arial" w:hAnsi="Arial" w:cs="Arial"/>
          <w:sz w:val="22"/>
          <w:szCs w:val="22"/>
        </w:rPr>
        <w:t>driven strategy, John Lewis has sought to integrate digital innovation with its existing service ethos. This cultural orientation has encouraged investment in online platforms, click</w:t>
      </w:r>
      <w:r w:rsidRPr="0046361A">
        <w:rPr>
          <w:rFonts w:ascii="Cambria Math" w:hAnsi="Cambria Math" w:cs="Cambria Math"/>
          <w:sz w:val="22"/>
          <w:szCs w:val="22"/>
        </w:rPr>
        <w:t>‑</w:t>
      </w:r>
      <w:r w:rsidRPr="0046361A">
        <w:rPr>
          <w:rFonts w:ascii="Arial" w:hAnsi="Arial" w:cs="Arial"/>
          <w:sz w:val="22"/>
          <w:szCs w:val="22"/>
        </w:rPr>
        <w:t>and</w:t>
      </w:r>
      <w:r w:rsidRPr="0046361A">
        <w:rPr>
          <w:rFonts w:ascii="Cambria Math" w:hAnsi="Cambria Math" w:cs="Cambria Math"/>
          <w:sz w:val="22"/>
          <w:szCs w:val="22"/>
        </w:rPr>
        <w:t>‑</w:t>
      </w:r>
      <w:r w:rsidRPr="0046361A">
        <w:rPr>
          <w:rFonts w:ascii="Arial" w:hAnsi="Arial" w:cs="Arial"/>
          <w:sz w:val="22"/>
          <w:szCs w:val="22"/>
        </w:rPr>
        <w:t>collect services and digital customer engagement tools, while maintaining a focus on personalised service (Zheng, Yang and McLean, 2010). Although this approach has helped the organisation remain competitive, it has also revealed cultural tensions, as the organisation’s traditional emphasis on face</w:t>
      </w:r>
      <w:r w:rsidRPr="0046361A">
        <w:rPr>
          <w:rFonts w:ascii="Cambria Math" w:hAnsi="Cambria Math" w:cs="Cambria Math"/>
          <w:sz w:val="22"/>
          <w:szCs w:val="22"/>
        </w:rPr>
        <w:t>‑</w:t>
      </w:r>
      <w:r w:rsidRPr="0046361A">
        <w:rPr>
          <w:rFonts w:ascii="Arial" w:hAnsi="Arial" w:cs="Arial"/>
          <w:sz w:val="22"/>
          <w:szCs w:val="22"/>
        </w:rPr>
        <w:t>to</w:t>
      </w:r>
      <w:r w:rsidRPr="0046361A">
        <w:rPr>
          <w:rFonts w:ascii="Cambria Math" w:hAnsi="Cambria Math" w:cs="Cambria Math"/>
          <w:sz w:val="22"/>
          <w:szCs w:val="22"/>
        </w:rPr>
        <w:t>‑</w:t>
      </w:r>
      <w:r w:rsidRPr="0046361A">
        <w:rPr>
          <w:rFonts w:ascii="Arial" w:hAnsi="Arial" w:cs="Arial"/>
          <w:sz w:val="22"/>
          <w:szCs w:val="22"/>
        </w:rPr>
        <w:t>face service and physical retail environments has sometimes slowed the pace of digital adoption.</w:t>
      </w:r>
    </w:p>
    <w:p w14:paraId="7DDDBBA2" w14:textId="3F395C33"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Economic pressures have also tested the organisation’s cultural foundations. The cost</w:t>
      </w:r>
      <w:r w:rsidRPr="0046361A">
        <w:rPr>
          <w:rFonts w:ascii="Cambria Math" w:hAnsi="Cambria Math" w:cs="Cambria Math"/>
          <w:sz w:val="22"/>
          <w:szCs w:val="22"/>
        </w:rPr>
        <w:t>‑</w:t>
      </w:r>
      <w:r w:rsidRPr="0046361A">
        <w:rPr>
          <w:rFonts w:ascii="Arial" w:hAnsi="Arial" w:cs="Arial"/>
          <w:sz w:val="22"/>
          <w:szCs w:val="22"/>
        </w:rPr>
        <w:t>of</w:t>
      </w:r>
      <w:r w:rsidRPr="0046361A">
        <w:rPr>
          <w:rFonts w:ascii="Cambria Math" w:hAnsi="Cambria Math" w:cs="Cambria Math"/>
          <w:sz w:val="22"/>
          <w:szCs w:val="22"/>
        </w:rPr>
        <w:t>‑</w:t>
      </w:r>
      <w:r w:rsidRPr="0046361A">
        <w:rPr>
          <w:rFonts w:ascii="Arial" w:hAnsi="Arial" w:cs="Arial"/>
          <w:sz w:val="22"/>
          <w:szCs w:val="22"/>
        </w:rPr>
        <w:t>living crisis, inflation and increased competition from discount retailers have placed significant strain on profitability. John Lewis’s culture of employee ownership and commitment to fair treatment has influenced its response to these pressures. For example, during periods of financial difficulty, the organisation has prioritised job security and employee welfare, even when this has required reducing or suspending the annual Partnership Bonus. This decision reflects the organisation’s long</w:t>
      </w:r>
      <w:r w:rsidRPr="0046361A">
        <w:rPr>
          <w:rFonts w:ascii="Cambria Math" w:hAnsi="Cambria Math" w:cs="Cambria Math"/>
          <w:sz w:val="22"/>
          <w:szCs w:val="22"/>
        </w:rPr>
        <w:t>‑</w:t>
      </w:r>
      <w:r w:rsidRPr="0046361A">
        <w:rPr>
          <w:rFonts w:ascii="Arial" w:hAnsi="Arial" w:cs="Arial"/>
          <w:sz w:val="22"/>
          <w:szCs w:val="22"/>
        </w:rPr>
        <w:t>term orientation and ethical values, but it also highlights the cultural challenge of balancing employee expectations with financial realities (Spar and Healy, 2024).</w:t>
      </w:r>
    </w:p>
    <w:p w14:paraId="0BD7626D" w14:textId="6C1D685B"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 xml:space="preserve">Social and political expectations regarding corporate responsibility have further shaped the organisation’s strategic responses. John Lewis has long been associated with ethical business practices, sustainability and community engagement. These cultural values have supported the organisation’s efforts to respond to increasing public concern about </w:t>
      </w:r>
      <w:r w:rsidRPr="0046361A">
        <w:rPr>
          <w:rFonts w:ascii="Arial" w:hAnsi="Arial" w:cs="Arial"/>
          <w:sz w:val="22"/>
          <w:szCs w:val="22"/>
        </w:rPr>
        <w:lastRenderedPageBreak/>
        <w:t>environmental sustainability, supply chain transparency and responsible sourcing. The organisation’s culture has therefore acted as a guiding framework for developing sustainability initiatives, reducing environmental impact and maintaining trust with customers and stakeholders (Johnson, 2013).</w:t>
      </w:r>
    </w:p>
    <w:p w14:paraId="2FD293CF" w14:textId="1EB3A068"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Overall, John Lewis’s culture has played a central role in shaping its responses to external environmental influences. While the culture has supported ethical decision</w:t>
      </w:r>
      <w:r w:rsidRPr="0046361A">
        <w:rPr>
          <w:rFonts w:ascii="Cambria Math" w:hAnsi="Cambria Math" w:cs="Cambria Math"/>
          <w:sz w:val="22"/>
          <w:szCs w:val="22"/>
        </w:rPr>
        <w:t>‑</w:t>
      </w:r>
      <w:r w:rsidRPr="0046361A">
        <w:rPr>
          <w:rFonts w:ascii="Arial" w:hAnsi="Arial" w:cs="Arial"/>
          <w:sz w:val="22"/>
          <w:szCs w:val="22"/>
        </w:rPr>
        <w:t>making, customer focus and long</w:t>
      </w:r>
      <w:r w:rsidRPr="0046361A">
        <w:rPr>
          <w:rFonts w:ascii="Cambria Math" w:hAnsi="Cambria Math" w:cs="Cambria Math"/>
          <w:sz w:val="22"/>
          <w:szCs w:val="22"/>
        </w:rPr>
        <w:t>‑</w:t>
      </w:r>
      <w:r w:rsidRPr="0046361A">
        <w:rPr>
          <w:rFonts w:ascii="Arial" w:hAnsi="Arial" w:cs="Arial"/>
          <w:sz w:val="22"/>
          <w:szCs w:val="22"/>
        </w:rPr>
        <w:t>term thinking, it has also created challenges in adapting quickly to technological and economic change. This duality highlights the complex relationship between culture and organisational adaptability.</w:t>
      </w:r>
    </w:p>
    <w:p w14:paraId="3C7D4B35" w14:textId="77777777" w:rsidR="00D24A19" w:rsidRDefault="00D24A19" w:rsidP="00D24A19">
      <w:pPr>
        <w:pStyle w:val="Heading1"/>
      </w:pPr>
      <w:bookmarkStart w:id="10" w:name="_Toc232957812"/>
      <w:r>
        <w:t>6. Organisational Culture as a Barrier or an Enabler</w:t>
      </w:r>
      <w:bookmarkEnd w:id="10"/>
    </w:p>
    <w:p w14:paraId="7D56772D" w14:textId="12338974"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Organisational culture can function as both a powerful enabler of effective organisational functioning and a significant barrier to change. Mullins and Christy (2016) emphasise that culture can enhance motivation, cohesion and performance when aligned with organisational goals, but it can also inhibit innovation and responsiveness when overly rigid or deeply entrenched. The John Lewis Partnership provides a clear example of this dual role.</w:t>
      </w:r>
    </w:p>
    <w:p w14:paraId="69628F65" w14:textId="44372281"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As an enabler, the organisation’s culture has historically fostered high levels of employee engagement, loyalty and commitment. The employee</w:t>
      </w:r>
      <w:r w:rsidRPr="0046361A">
        <w:rPr>
          <w:rFonts w:ascii="Cambria Math" w:hAnsi="Cambria Math" w:cs="Cambria Math"/>
          <w:sz w:val="22"/>
          <w:szCs w:val="22"/>
        </w:rPr>
        <w:t>‑</w:t>
      </w:r>
      <w:r w:rsidRPr="0046361A">
        <w:rPr>
          <w:rFonts w:ascii="Arial" w:hAnsi="Arial" w:cs="Arial"/>
          <w:sz w:val="22"/>
          <w:szCs w:val="22"/>
        </w:rPr>
        <w:t>ownership model creates a strong sense of shared purpose and responsibility, which enhances motivation and encourages employees to act in the organisation’s best interests. This cultural foundation has contributed to the organisation’s reputation for exceptional customer service, as employees feel personally invested in delivering high</w:t>
      </w:r>
      <w:r w:rsidRPr="0046361A">
        <w:rPr>
          <w:rFonts w:ascii="Cambria Math" w:hAnsi="Cambria Math" w:cs="Cambria Math"/>
          <w:sz w:val="22"/>
          <w:szCs w:val="22"/>
        </w:rPr>
        <w:t>‑</w:t>
      </w:r>
      <w:r w:rsidRPr="0046361A">
        <w:rPr>
          <w:rFonts w:ascii="Arial" w:hAnsi="Arial" w:cs="Arial"/>
          <w:sz w:val="22"/>
          <w:szCs w:val="22"/>
        </w:rPr>
        <w:t>quality experiences. The culture also supports ethical behaviour, transparency and trust, which strengthen relationships with customers, suppliers and stakeholders (Gregory et al., 2009). These cultural strengths have been central to the organisation’s long</w:t>
      </w:r>
      <w:r w:rsidRPr="0046361A">
        <w:rPr>
          <w:rFonts w:ascii="Cambria Math" w:hAnsi="Cambria Math" w:cs="Cambria Math"/>
          <w:sz w:val="22"/>
          <w:szCs w:val="22"/>
        </w:rPr>
        <w:t>‑</w:t>
      </w:r>
      <w:r w:rsidRPr="0046361A">
        <w:rPr>
          <w:rFonts w:ascii="Arial" w:hAnsi="Arial" w:cs="Arial"/>
          <w:sz w:val="22"/>
          <w:szCs w:val="22"/>
        </w:rPr>
        <w:t>term success and have differentiated it from competitors.</w:t>
      </w:r>
    </w:p>
    <w:p w14:paraId="530A13A4" w14:textId="3A1B4BC9"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However, the same cultural characteristics can also act as barriers. The organisation’s democratic ethos, while valuable for promoting participation and fairness, can slow decision</w:t>
      </w:r>
      <w:r w:rsidRPr="0046361A">
        <w:rPr>
          <w:rFonts w:ascii="Cambria Math" w:hAnsi="Cambria Math" w:cs="Cambria Math"/>
          <w:sz w:val="22"/>
          <w:szCs w:val="22"/>
        </w:rPr>
        <w:t>‑</w:t>
      </w:r>
      <w:r w:rsidRPr="0046361A">
        <w:rPr>
          <w:rFonts w:ascii="Arial" w:hAnsi="Arial" w:cs="Arial"/>
          <w:sz w:val="22"/>
          <w:szCs w:val="22"/>
        </w:rPr>
        <w:t>making and reduce organisational agility. In a rapidly changing retail environment, the need for consultation and consensus can delay the implementation of strategic initiatives, particularly those requiring significant transformation. The organisation’s strong attachment to tradition and stability can also create resistance to change, as employees may be reluctant to abandon long</w:t>
      </w:r>
      <w:r w:rsidRPr="0046361A">
        <w:rPr>
          <w:rFonts w:ascii="Cambria Math" w:hAnsi="Cambria Math" w:cs="Cambria Math"/>
          <w:sz w:val="22"/>
          <w:szCs w:val="22"/>
        </w:rPr>
        <w:t>‑</w:t>
      </w:r>
      <w:r w:rsidRPr="0046361A">
        <w:rPr>
          <w:rFonts w:ascii="Arial" w:hAnsi="Arial" w:cs="Arial"/>
          <w:sz w:val="22"/>
          <w:szCs w:val="22"/>
        </w:rPr>
        <w:t>standing practices or adopt new ways of working. This cultural inertia has been evident in the organisation’s response to digital transformation, where cultural preferences for personal service and physical retail environments have sometimes hindered the adoption of innovative technologies (Hogan and Coote, 2014).</w:t>
      </w:r>
    </w:p>
    <w:p w14:paraId="565D5856" w14:textId="200D524E"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lastRenderedPageBreak/>
        <w:t>Furthermore, the organisation’s commitment to employee welfare and ethical behaviour, while admirable, can limit its ability to make difficult decisions during periods of financial pressure. For example, the reluctance to close stores, reduce staff numbers or significantly alter the Partnership Bonus structure reflects a cultural preference for stability and fairness, but these decisions can constrain financial flexibility. Mullins and Christy (2016) note that strong cultures can become liabilities when they prevent organisations from adapting to new realities, and John Lewis’s experience illustrates this risk.</w:t>
      </w:r>
    </w:p>
    <w:p w14:paraId="25C2836D" w14:textId="71338EA6"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In summary, John Lewis’s culture acts as both an enabler and a barrier. It enhances employee engagement, ethical behaviour and customer service, but it can also slow decision</w:t>
      </w:r>
      <w:r w:rsidRPr="0046361A">
        <w:rPr>
          <w:rFonts w:ascii="Cambria Math" w:hAnsi="Cambria Math" w:cs="Cambria Math"/>
          <w:sz w:val="22"/>
          <w:szCs w:val="22"/>
        </w:rPr>
        <w:t>‑</w:t>
      </w:r>
      <w:r w:rsidRPr="0046361A">
        <w:rPr>
          <w:rFonts w:ascii="Arial" w:hAnsi="Arial" w:cs="Arial"/>
          <w:sz w:val="22"/>
          <w:szCs w:val="22"/>
        </w:rPr>
        <w:t>making, hinder innovation and limit organisational agility. The challenge for the organisation is to preserve the positive aspects of its culture while addressing the elements that constrain adaptability.</w:t>
      </w:r>
    </w:p>
    <w:p w14:paraId="3238A8C4" w14:textId="77777777" w:rsidR="00D24A19" w:rsidRDefault="00D24A19" w:rsidP="00D24A19">
      <w:pPr>
        <w:pStyle w:val="Heading1"/>
      </w:pPr>
      <w:bookmarkStart w:id="11" w:name="_Toc232957813"/>
      <w:r>
        <w:t>7. Impact of Organisational Culture on Performance</w:t>
      </w:r>
      <w:bookmarkEnd w:id="11"/>
    </w:p>
    <w:p w14:paraId="578D3E1C" w14:textId="484115E6"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The impact of organisational culture on performance is well</w:t>
      </w:r>
      <w:r w:rsidRPr="0046361A">
        <w:rPr>
          <w:rFonts w:ascii="Cambria Math" w:hAnsi="Cambria Math" w:cs="Cambria Math"/>
          <w:sz w:val="22"/>
          <w:szCs w:val="22"/>
        </w:rPr>
        <w:t>‑</w:t>
      </w:r>
      <w:r w:rsidRPr="0046361A">
        <w:rPr>
          <w:rFonts w:ascii="Arial" w:hAnsi="Arial" w:cs="Arial"/>
          <w:sz w:val="22"/>
          <w:szCs w:val="22"/>
        </w:rPr>
        <w:t>documented in organisational behaviour literature. Mullins and Christy (2016) argue that culture influences performance through its effects on motivation, communication, coordination and decision</w:t>
      </w:r>
      <w:r w:rsidRPr="0046361A">
        <w:rPr>
          <w:rFonts w:ascii="Cambria Math" w:hAnsi="Cambria Math" w:cs="Cambria Math"/>
          <w:sz w:val="22"/>
          <w:szCs w:val="22"/>
        </w:rPr>
        <w:t>‑</w:t>
      </w:r>
      <w:r w:rsidRPr="0046361A">
        <w:rPr>
          <w:rFonts w:ascii="Arial" w:hAnsi="Arial" w:cs="Arial"/>
          <w:sz w:val="22"/>
          <w:szCs w:val="22"/>
        </w:rPr>
        <w:t>making. In the case of John Lewis, culture has had both positive and negative impacts on organisational performance.</w:t>
      </w:r>
    </w:p>
    <w:p w14:paraId="3DB83A03" w14:textId="1E7D4EB4"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On the positive side, the organisation’s culture has historically contributed to strong customer satisfaction, high employee engagement and a positive corporate reputation. The emphasis on quality, service and ethical behaviour has differentiated the organisation in a competitive retail market and has supported long</w:t>
      </w:r>
      <w:r w:rsidRPr="0046361A">
        <w:rPr>
          <w:rFonts w:ascii="Cambria Math" w:hAnsi="Cambria Math" w:cs="Cambria Math"/>
          <w:sz w:val="22"/>
          <w:szCs w:val="22"/>
        </w:rPr>
        <w:t>‑</w:t>
      </w:r>
      <w:r w:rsidRPr="0046361A">
        <w:rPr>
          <w:rFonts w:ascii="Arial" w:hAnsi="Arial" w:cs="Arial"/>
          <w:sz w:val="22"/>
          <w:szCs w:val="22"/>
        </w:rPr>
        <w:t>term customer loyalty. The employee</w:t>
      </w:r>
      <w:r w:rsidRPr="0046361A">
        <w:rPr>
          <w:rFonts w:ascii="Cambria Math" w:hAnsi="Cambria Math" w:cs="Cambria Math"/>
          <w:sz w:val="22"/>
          <w:szCs w:val="22"/>
        </w:rPr>
        <w:t>‑</w:t>
      </w:r>
      <w:r w:rsidRPr="0046361A">
        <w:rPr>
          <w:rFonts w:ascii="Arial" w:hAnsi="Arial" w:cs="Arial"/>
          <w:sz w:val="22"/>
          <w:szCs w:val="22"/>
        </w:rPr>
        <w:t>ownership model has enhanced motivation and reduced turnover, contributing to operational stability and service consistency (O’Reilly, Chatman and Caldwell, 1991). These cultural strengths have been central to the organisation’s brand identity and have supported its long</w:t>
      </w:r>
      <w:r w:rsidRPr="0046361A">
        <w:rPr>
          <w:rFonts w:ascii="Cambria Math" w:hAnsi="Cambria Math" w:cs="Cambria Math"/>
          <w:sz w:val="22"/>
          <w:szCs w:val="22"/>
        </w:rPr>
        <w:t>‑</w:t>
      </w:r>
      <w:r w:rsidRPr="0046361A">
        <w:rPr>
          <w:rFonts w:ascii="Arial" w:hAnsi="Arial" w:cs="Arial"/>
          <w:sz w:val="22"/>
          <w:szCs w:val="22"/>
        </w:rPr>
        <w:t>term performance.</w:t>
      </w:r>
    </w:p>
    <w:p w14:paraId="28B02C05" w14:textId="45566569"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However, the organisation’s culture has also contributed to performance challenges. The emphasis on democratic decision</w:t>
      </w:r>
      <w:r w:rsidRPr="0046361A">
        <w:rPr>
          <w:rFonts w:ascii="Cambria Math" w:hAnsi="Cambria Math" w:cs="Cambria Math"/>
          <w:sz w:val="22"/>
          <w:szCs w:val="22"/>
        </w:rPr>
        <w:t>‑</w:t>
      </w:r>
      <w:r w:rsidRPr="0046361A">
        <w:rPr>
          <w:rFonts w:ascii="Arial" w:hAnsi="Arial" w:cs="Arial"/>
          <w:sz w:val="22"/>
          <w:szCs w:val="22"/>
        </w:rPr>
        <w:t>making and consensus has sometimes slowed strategic responses to market changes, reducing competitiveness in a rapidly evolving retail environment. The cultural attachment to tradition and stability has hindered the adoption of digital technologies and innovative business models, limiting the organisation’s ability to compete with online retailers. Financial performance has also been affected by cultural commitments to employee welfare and ethical behaviour, which can increase costs and reduce flexibility during economic downturns (Homburg and Pflesser, 2000).</w:t>
      </w:r>
    </w:p>
    <w:p w14:paraId="486A98EC" w14:textId="15ED22A2"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lastRenderedPageBreak/>
        <w:t>The relationship between culture and performance at John Lewis is therefore complex. While the culture has supported strong customer relationships, employee engagement and ethical conduct, it has also constrained innovation, agility and financial resilience. The organisation’s recent financial difficulties highlight the need to reassess cultural practices that may be limiting performance, while preserving the values that underpin its identity and reputation.</w:t>
      </w:r>
    </w:p>
    <w:p w14:paraId="3C796D1A" w14:textId="77777777" w:rsidR="00D24A19" w:rsidRDefault="00D24A19" w:rsidP="00D24A19">
      <w:pPr>
        <w:pStyle w:val="Heading1"/>
      </w:pPr>
      <w:bookmarkStart w:id="12" w:name="_Toc232957814"/>
      <w:r>
        <w:t>8. Recommendations for Improvement</w:t>
      </w:r>
      <w:bookmarkEnd w:id="12"/>
    </w:p>
    <w:p w14:paraId="5F2607E6" w14:textId="2769D743"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To strengthen organisational performance while preserving the positive aspects of its culture, John Lewis should consider several evidence</w:t>
      </w:r>
      <w:r w:rsidRPr="0046361A">
        <w:rPr>
          <w:rFonts w:ascii="Cambria Math" w:hAnsi="Cambria Math" w:cs="Cambria Math"/>
          <w:sz w:val="22"/>
          <w:szCs w:val="22"/>
        </w:rPr>
        <w:t>‑</w:t>
      </w:r>
      <w:r w:rsidRPr="0046361A">
        <w:rPr>
          <w:rFonts w:ascii="Arial" w:hAnsi="Arial" w:cs="Arial"/>
          <w:sz w:val="22"/>
          <w:szCs w:val="22"/>
        </w:rPr>
        <w:t>based recommendations. First, the organisation should enhance cultural adaptability by fostering a more flexible and responsive approach to decision</w:t>
      </w:r>
      <w:r w:rsidRPr="0046361A">
        <w:rPr>
          <w:rFonts w:ascii="Cambria Math" w:hAnsi="Cambria Math" w:cs="Cambria Math"/>
          <w:sz w:val="22"/>
          <w:szCs w:val="22"/>
        </w:rPr>
        <w:t>‑</w:t>
      </w:r>
      <w:r w:rsidRPr="0046361A">
        <w:rPr>
          <w:rFonts w:ascii="Arial" w:hAnsi="Arial" w:cs="Arial"/>
          <w:sz w:val="22"/>
          <w:szCs w:val="22"/>
        </w:rPr>
        <w:t>making. This could involve streamlining governance processes, reducing the number of consultative layers and empowering managers to make timely decisions within clear strategic frameworks. Such changes would preserve the organisation’s democratic ethos while improving agility (Kotter, 1996).</w:t>
      </w:r>
    </w:p>
    <w:p w14:paraId="0480C789" w14:textId="60368A70"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Second, the organisation should modernise its approach to employee ownership by integrating contemporary leadership practices that support innovation and change. This may include leadership development programmes focused on adaptive leadership, change management and digital literacy. By equipping leaders with the skills needed to navigate complexity, the organisation can strengthen its capacity for transformation without undermining its cultural foundations (Heifetz, 1994).</w:t>
      </w:r>
    </w:p>
    <w:p w14:paraId="7C089880" w14:textId="4FA3F68E"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Third, John Lewis should strengthen its digital culture by promoting innovation, experimentation and cross</w:t>
      </w:r>
      <w:r w:rsidRPr="0046361A">
        <w:rPr>
          <w:rFonts w:ascii="Cambria Math" w:hAnsi="Cambria Math" w:cs="Cambria Math"/>
          <w:sz w:val="22"/>
          <w:szCs w:val="22"/>
        </w:rPr>
        <w:t>‑</w:t>
      </w:r>
      <w:r w:rsidRPr="0046361A">
        <w:rPr>
          <w:rFonts w:ascii="Arial" w:hAnsi="Arial" w:cs="Arial"/>
          <w:sz w:val="22"/>
          <w:szCs w:val="22"/>
        </w:rPr>
        <w:t>functional collaboration. Establishing innovation hubs, digital training programmes and cross</w:t>
      </w:r>
      <w:r w:rsidRPr="0046361A">
        <w:rPr>
          <w:rFonts w:ascii="Cambria Math" w:hAnsi="Cambria Math" w:cs="Cambria Math"/>
          <w:sz w:val="22"/>
          <w:szCs w:val="22"/>
        </w:rPr>
        <w:t>‑</w:t>
      </w:r>
      <w:r w:rsidRPr="0046361A">
        <w:rPr>
          <w:rFonts w:ascii="Arial" w:hAnsi="Arial" w:cs="Arial"/>
          <w:sz w:val="22"/>
          <w:szCs w:val="22"/>
        </w:rPr>
        <w:t>departmental project teams could help embed digital thinking across the organisation. This cultural shift would support the adoption of new technologies and enhance competitiveness in the digital retail environment (Zheng, Yang and McLean, 2010).</w:t>
      </w:r>
    </w:p>
    <w:p w14:paraId="3A33455A" w14:textId="6F44EB0A"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Fourth, the organisation should rebalance its cultural emphasis on tradition with a stronger focus on strategic renewal. This may involve challenging long</w:t>
      </w:r>
      <w:r w:rsidRPr="0046361A">
        <w:rPr>
          <w:rFonts w:ascii="Cambria Math" w:hAnsi="Cambria Math" w:cs="Cambria Math"/>
          <w:sz w:val="22"/>
          <w:szCs w:val="22"/>
        </w:rPr>
        <w:t>‑</w:t>
      </w:r>
      <w:r w:rsidRPr="0046361A">
        <w:rPr>
          <w:rFonts w:ascii="Arial" w:hAnsi="Arial" w:cs="Arial"/>
          <w:sz w:val="22"/>
          <w:szCs w:val="22"/>
        </w:rPr>
        <w:t xml:space="preserve">standing assumptions, encourage constructive dissent and promote a culture of continuous improvement. Schein’s (1992) cultural analysis framework could be used to identify deeply embedded assumptions that may be hindering change. By making these assumptions explicit, the organisation can begin to challenge cultural norms that no longer align with strategic priorities. </w:t>
      </w:r>
    </w:p>
    <w:p w14:paraId="6266D2ED" w14:textId="56D52FB8"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lastRenderedPageBreak/>
        <w:t>Finally, the organisation should strengthen its performance culture by introducing clearer performance metrics, aligning rewards with strategic objectives and recognising innovation and efficiency. While the Partnership Bonus has historically been a powerful motivator, it is not directly linked to individual or team performance. Introducing complementary reward mechanisms that recognise high performance, creativity and problem</w:t>
      </w:r>
      <w:r w:rsidRPr="0046361A">
        <w:rPr>
          <w:rFonts w:ascii="Cambria Math" w:hAnsi="Cambria Math" w:cs="Cambria Math"/>
          <w:sz w:val="22"/>
          <w:szCs w:val="22"/>
        </w:rPr>
        <w:t>‑</w:t>
      </w:r>
      <w:r w:rsidRPr="0046361A">
        <w:rPr>
          <w:rFonts w:ascii="Arial" w:hAnsi="Arial" w:cs="Arial"/>
          <w:sz w:val="22"/>
          <w:szCs w:val="22"/>
        </w:rPr>
        <w:t>solving would help reinforce behaviours that support organisational success. This approach aligns with research suggesting that cultures combining strong values with performance</w:t>
      </w:r>
      <w:r w:rsidRPr="0046361A">
        <w:rPr>
          <w:rFonts w:ascii="Cambria Math" w:hAnsi="Cambria Math" w:cs="Cambria Math"/>
          <w:sz w:val="22"/>
          <w:szCs w:val="22"/>
        </w:rPr>
        <w:t>‑</w:t>
      </w:r>
      <w:r w:rsidRPr="0046361A">
        <w:rPr>
          <w:rFonts w:ascii="Arial" w:hAnsi="Arial" w:cs="Arial"/>
          <w:sz w:val="22"/>
          <w:szCs w:val="22"/>
        </w:rPr>
        <w:t>oriented practices achieve superior outcomes (Hogan and Coote, 2014).</w:t>
      </w:r>
    </w:p>
    <w:p w14:paraId="1DB6A8B0" w14:textId="77777777" w:rsidR="00D24A19" w:rsidRDefault="00D24A19" w:rsidP="00D24A19">
      <w:pPr>
        <w:pStyle w:val="Heading1"/>
      </w:pPr>
      <w:bookmarkStart w:id="13" w:name="_Toc232957815"/>
      <w:r>
        <w:t>9. Conclusion</w:t>
      </w:r>
      <w:bookmarkEnd w:id="13"/>
    </w:p>
    <w:p w14:paraId="4F0ABB38" w14:textId="3B24000E"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The organisational culture of the John Lewis Partnership is one of its most distinctive and influential features. Using Mullins and Christy’s (2016) argument as a foundation, this report has demonstrated that culture plays a central role in shaping the organisation’s structure, decision</w:t>
      </w:r>
      <w:r w:rsidRPr="0046361A">
        <w:rPr>
          <w:rFonts w:ascii="Cambria Math" w:hAnsi="Cambria Math" w:cs="Cambria Math"/>
          <w:sz w:val="22"/>
          <w:szCs w:val="22"/>
        </w:rPr>
        <w:t>‑</w:t>
      </w:r>
      <w:r w:rsidRPr="0046361A">
        <w:rPr>
          <w:rFonts w:ascii="Arial" w:hAnsi="Arial" w:cs="Arial"/>
          <w:sz w:val="22"/>
          <w:szCs w:val="22"/>
        </w:rPr>
        <w:t xml:space="preserve">making processes, adaptability and performance. </w:t>
      </w:r>
    </w:p>
    <w:p w14:paraId="184D6354" w14:textId="6D3E5A24" w:rsidR="00D24A19" w:rsidRPr="0046361A" w:rsidRDefault="00D24A19" w:rsidP="0046361A">
      <w:pPr>
        <w:spacing w:line="360" w:lineRule="auto"/>
        <w:rPr>
          <w:rFonts w:ascii="Arial" w:hAnsi="Arial" w:cs="Arial"/>
          <w:sz w:val="22"/>
          <w:szCs w:val="22"/>
        </w:rPr>
      </w:pPr>
      <w:r w:rsidRPr="0046361A">
        <w:rPr>
          <w:rFonts w:ascii="Arial" w:hAnsi="Arial" w:cs="Arial"/>
          <w:sz w:val="22"/>
          <w:szCs w:val="22"/>
        </w:rPr>
        <w:t>This culture has historically supported strong customer service, employee engagement and ethical conduct, contributing to the organisation’s long</w:t>
      </w:r>
      <w:r w:rsidRPr="0046361A">
        <w:rPr>
          <w:rFonts w:ascii="Cambria Math" w:hAnsi="Cambria Math" w:cs="Cambria Math"/>
          <w:sz w:val="22"/>
          <w:szCs w:val="22"/>
        </w:rPr>
        <w:t>‑</w:t>
      </w:r>
      <w:r w:rsidRPr="0046361A">
        <w:rPr>
          <w:rFonts w:ascii="Arial" w:hAnsi="Arial" w:cs="Arial"/>
          <w:sz w:val="22"/>
          <w:szCs w:val="22"/>
        </w:rPr>
        <w:t>standing reputation and competitive advantage. However, the same cultural characteristics have also created challenges, particularly in relation to organisational agility, digital transformation and financial resilience. The organisation’s democratic ethos, while valuable, can slow decision</w:t>
      </w:r>
      <w:r w:rsidRPr="0046361A">
        <w:rPr>
          <w:rFonts w:ascii="Cambria Math" w:hAnsi="Cambria Math" w:cs="Cambria Math"/>
          <w:sz w:val="22"/>
          <w:szCs w:val="22"/>
        </w:rPr>
        <w:t>‑</w:t>
      </w:r>
      <w:r w:rsidRPr="0046361A">
        <w:rPr>
          <w:rFonts w:ascii="Arial" w:hAnsi="Arial" w:cs="Arial"/>
          <w:sz w:val="22"/>
          <w:szCs w:val="22"/>
        </w:rPr>
        <w:t>making and hinder rapid adaptation. Similarly, the cultural attachment to tradition and stability can limit innovation and responsiveness in a dynamic retail environment.</w:t>
      </w:r>
    </w:p>
    <w:p w14:paraId="42A033E7" w14:textId="233D0D48" w:rsidR="00F72CAB" w:rsidRPr="0046361A" w:rsidRDefault="00D24A19" w:rsidP="0046361A">
      <w:pPr>
        <w:spacing w:line="360" w:lineRule="auto"/>
        <w:rPr>
          <w:rFonts w:ascii="Arial" w:hAnsi="Arial" w:cs="Arial"/>
          <w:sz w:val="22"/>
          <w:szCs w:val="22"/>
        </w:rPr>
      </w:pPr>
      <w:r w:rsidRPr="0046361A">
        <w:rPr>
          <w:rFonts w:ascii="Arial" w:hAnsi="Arial" w:cs="Arial"/>
          <w:sz w:val="22"/>
          <w:szCs w:val="22"/>
        </w:rPr>
        <w:t>The report concludes that John Lewis’s culture acts as both an enabler and a barrier to effective organisational functioning. To remain competitive, the organisation must preserve the positive aspects of its culture such as its commitment to fairness, quality and shared responsibility while addressing cultural elements that constrain adaptability and performance. The recommendations provided offer a pathway for strengthening cultural alignment, enhancing organisational agility and ensuring long</w:t>
      </w:r>
      <w:r w:rsidRPr="0046361A">
        <w:rPr>
          <w:rFonts w:ascii="Cambria Math" w:hAnsi="Cambria Math" w:cs="Cambria Math"/>
          <w:sz w:val="22"/>
          <w:szCs w:val="22"/>
        </w:rPr>
        <w:t>‑</w:t>
      </w:r>
      <w:r w:rsidRPr="0046361A">
        <w:rPr>
          <w:rFonts w:ascii="Arial" w:hAnsi="Arial" w:cs="Arial"/>
          <w:sz w:val="22"/>
          <w:szCs w:val="22"/>
        </w:rPr>
        <w:t>term sustainability.</w:t>
      </w:r>
    </w:p>
    <w:p w14:paraId="16F3F77E" w14:textId="5B37CF3B" w:rsidR="00F72CAB" w:rsidRDefault="00F72CAB" w:rsidP="00D24A19">
      <w:pPr>
        <w:pStyle w:val="Heading1"/>
      </w:pPr>
      <w:bookmarkStart w:id="14" w:name="_Toc232957816"/>
      <w:r>
        <w:t>References</w:t>
      </w:r>
      <w:bookmarkEnd w:id="14"/>
      <w:r>
        <w:t xml:space="preserve"> </w:t>
      </w:r>
    </w:p>
    <w:p w14:paraId="4A4C7D06" w14:textId="44221CF7"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Alvesson, M. (2013) Understanding Organisational Culture. 2nd edn. London: SAGE.</w:t>
      </w:r>
    </w:p>
    <w:p w14:paraId="0C02E98F" w14:textId="574689B3"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 xml:space="preserve">Cacciattolo, K. (2014) ‘Understanding organisational cultures’, European Scientific Journal, Special </w:t>
      </w:r>
      <w:r w:rsidR="00613B83" w:rsidRPr="0046361A">
        <w:rPr>
          <w:rFonts w:ascii="Arial" w:hAnsi="Arial" w:cs="Arial"/>
          <w:sz w:val="22"/>
          <w:szCs w:val="22"/>
        </w:rPr>
        <w:t>Edition (</w:t>
      </w:r>
      <w:r w:rsidRPr="0046361A">
        <w:rPr>
          <w:rFonts w:ascii="Arial" w:hAnsi="Arial" w:cs="Arial"/>
          <w:sz w:val="22"/>
          <w:szCs w:val="22"/>
        </w:rPr>
        <w:t>2), pp. 1–12. Available at: https://eujournal.org (Accessed: 7 June 2026).</w:t>
      </w:r>
    </w:p>
    <w:p w14:paraId="742704B7" w14:textId="22EB3464"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Deal, T.E. and Kennedy, A.A. (2000) The New Corporate Cultures: Revitalizing the Workplace after Downsizing, Mergers and Reengineering. London: TEXERE.</w:t>
      </w:r>
    </w:p>
    <w:p w14:paraId="71135DC1" w14:textId="34459DD8"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lastRenderedPageBreak/>
        <w:t>Gregory, B.T., Harris, S.G., Armenakis, A.A. and Shook, C.L. (2009) ‘Organizational culture and effectiveness: A study of values, attitudes, and organizational outcomes’, Journal of Business Research, 62(7), pp. 673–679. Available at: https://www.sciencedirect.com (Accessed: 7 June 2026).</w:t>
      </w:r>
    </w:p>
    <w:p w14:paraId="299791D5" w14:textId="32D2A365"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Handy, C. (1993) Understanding Organisations. 4th edn. London: Penguin.</w:t>
      </w:r>
    </w:p>
    <w:p w14:paraId="597164DF" w14:textId="55D336D4"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Heifetz, R. (1994) Leadership Without Easy Answers. Cambridge, MA: Harvard University Press.</w:t>
      </w:r>
    </w:p>
    <w:p w14:paraId="6967ECE7" w14:textId="6CD497DB"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Hofstede, G. (1980) Culture’s Consequences: International Differences in Work</w:t>
      </w:r>
      <w:r w:rsidRPr="0046361A">
        <w:rPr>
          <w:rFonts w:ascii="Cambria Math" w:hAnsi="Cambria Math" w:cs="Cambria Math"/>
          <w:sz w:val="22"/>
          <w:szCs w:val="22"/>
        </w:rPr>
        <w:t>‑</w:t>
      </w:r>
      <w:r w:rsidRPr="0046361A">
        <w:rPr>
          <w:rFonts w:ascii="Arial" w:hAnsi="Arial" w:cs="Arial"/>
          <w:sz w:val="22"/>
          <w:szCs w:val="22"/>
        </w:rPr>
        <w:t>Related Values. Beverly Hills: Sage.</w:t>
      </w:r>
    </w:p>
    <w:p w14:paraId="1B7B3663" w14:textId="21F91CDA"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Hogan, S.J. and Coote, L.V. (2014) ‘Organizational culture, innovation, and performance: A test of Schein’s model’, Journal of Business Research, 67(8), pp. 1609–1621. Available at: https://www.sciencedirect.com (Accessed: 7 June 2026).</w:t>
      </w:r>
    </w:p>
    <w:p w14:paraId="5FFBA11E" w14:textId="466814F7"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Homburg, C. and Pflesser, C. (2000) ‘A multiple</w:t>
      </w:r>
      <w:r w:rsidRPr="0046361A">
        <w:rPr>
          <w:rFonts w:ascii="Cambria Math" w:hAnsi="Cambria Math" w:cs="Cambria Math"/>
          <w:sz w:val="22"/>
          <w:szCs w:val="22"/>
        </w:rPr>
        <w:t>‑</w:t>
      </w:r>
      <w:r w:rsidRPr="0046361A">
        <w:rPr>
          <w:rFonts w:ascii="Arial" w:hAnsi="Arial" w:cs="Arial"/>
          <w:sz w:val="22"/>
          <w:szCs w:val="22"/>
        </w:rPr>
        <w:t>layer model of market</w:t>
      </w:r>
      <w:r w:rsidRPr="0046361A">
        <w:rPr>
          <w:rFonts w:ascii="Cambria Math" w:hAnsi="Cambria Math" w:cs="Cambria Math"/>
          <w:sz w:val="22"/>
          <w:szCs w:val="22"/>
        </w:rPr>
        <w:t>‑</w:t>
      </w:r>
      <w:r w:rsidRPr="0046361A">
        <w:rPr>
          <w:rFonts w:ascii="Arial" w:hAnsi="Arial" w:cs="Arial"/>
          <w:sz w:val="22"/>
          <w:szCs w:val="22"/>
        </w:rPr>
        <w:t>oriented organizational culture: Measurement issues and performance outcomes’, Journal of Marketing Research, 37(4), pp. 449–462. Available at: https://journals.sagepub.com (Accessed: 7 June 2026).</w:t>
      </w:r>
    </w:p>
    <w:p w14:paraId="45FCF96F" w14:textId="69038090"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Johnson, R. (2013) ‘Changing corporate culture’, Governance &amp; Compliance, June, pp. 3–6</w:t>
      </w:r>
      <w:r w:rsidR="00D24A19" w:rsidRPr="0046361A">
        <w:rPr>
          <w:rFonts w:ascii="Arial" w:hAnsi="Arial" w:cs="Arial"/>
          <w:sz w:val="22"/>
          <w:szCs w:val="22"/>
        </w:rPr>
        <w:t>.</w:t>
      </w:r>
    </w:p>
    <w:p w14:paraId="5440E2F2" w14:textId="578E415C"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Kotter, J.P. (1996) Leading Change. Boston, MA: Harvard Business School Press.</w:t>
      </w:r>
    </w:p>
    <w:p w14:paraId="732EAC5E" w14:textId="3FCA8648"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Mullins, L.J. and Christy, G. (2016) Management and Organisational Behaviour. 11th edn. Harlow: Pearson Education Limited.</w:t>
      </w:r>
    </w:p>
    <w:p w14:paraId="2FF92DE9" w14:textId="14313BA9"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O’Reilly, C.A., Chatman, J. and Caldwell, D.F. (1991) ‘People and organizational culture: A profile comparison approach to assessing person–organization fit’, Academy of Management Journal, 34(3), pp. 487–516. Available at: https://journals.aom.org (Accessed: 7 June 2026).</w:t>
      </w:r>
    </w:p>
    <w:p w14:paraId="4671CF97" w14:textId="21B0BC37"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Schein, E.H. (1992) Organizational Culture and Leadership. 2nd edn. San Francisco: Jossey</w:t>
      </w:r>
      <w:r w:rsidRPr="0046361A">
        <w:rPr>
          <w:rFonts w:ascii="Cambria Math" w:hAnsi="Cambria Math" w:cs="Cambria Math"/>
          <w:sz w:val="22"/>
          <w:szCs w:val="22"/>
        </w:rPr>
        <w:t>‑</w:t>
      </w:r>
      <w:r w:rsidRPr="0046361A">
        <w:rPr>
          <w:rFonts w:ascii="Arial" w:hAnsi="Arial" w:cs="Arial"/>
          <w:sz w:val="22"/>
          <w:szCs w:val="22"/>
        </w:rPr>
        <w:t>Bass.</w:t>
      </w:r>
    </w:p>
    <w:p w14:paraId="00A5FF3B" w14:textId="7E5BC565"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Spar, D. and Healy, M. (2024) ‘Amazon in Seattle: The role of business in causing and solving a housing crisis’, Harvard Business Review Podcast. Available at: https://hbr.org/podcast (Accessed: 7 June 2026).</w:t>
      </w:r>
    </w:p>
    <w:p w14:paraId="1E9F3762" w14:textId="7B3D1C4C" w:rsidR="00F72CAB" w:rsidRPr="0046361A" w:rsidRDefault="00F72CAB" w:rsidP="0046361A">
      <w:pPr>
        <w:spacing w:line="360" w:lineRule="auto"/>
        <w:rPr>
          <w:rFonts w:ascii="Arial" w:hAnsi="Arial" w:cs="Arial"/>
          <w:sz w:val="22"/>
          <w:szCs w:val="22"/>
        </w:rPr>
      </w:pPr>
      <w:r w:rsidRPr="0046361A">
        <w:rPr>
          <w:rFonts w:ascii="Arial" w:hAnsi="Arial" w:cs="Arial"/>
          <w:sz w:val="22"/>
          <w:szCs w:val="22"/>
        </w:rPr>
        <w:t xml:space="preserve">Zheng, W., Yang, B. and McLean, G.N. (2010) ‘Linking organizational culture, structure, strategy, and organizational effectiveness: Mediating role of knowledge management’, </w:t>
      </w:r>
      <w:r w:rsidRPr="0046361A">
        <w:rPr>
          <w:rFonts w:ascii="Arial" w:hAnsi="Arial" w:cs="Arial"/>
          <w:sz w:val="22"/>
          <w:szCs w:val="22"/>
        </w:rPr>
        <w:lastRenderedPageBreak/>
        <w:t>Journal of Business Research, 63(7), pp. 763–771. Available at: https://www.sciencedirect.com (Accessed: 7 June 2026).</w:t>
      </w:r>
    </w:p>
    <w:sectPr w:rsidR="00F72CAB" w:rsidRPr="0046361A" w:rsidSect="00D24A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CAB"/>
    <w:rsid w:val="000A790E"/>
    <w:rsid w:val="000E543E"/>
    <w:rsid w:val="001936D8"/>
    <w:rsid w:val="00371391"/>
    <w:rsid w:val="003C7CBF"/>
    <w:rsid w:val="003E5E34"/>
    <w:rsid w:val="0046361A"/>
    <w:rsid w:val="00613B83"/>
    <w:rsid w:val="00653CAB"/>
    <w:rsid w:val="00722561"/>
    <w:rsid w:val="00D24A19"/>
    <w:rsid w:val="00E643EF"/>
    <w:rsid w:val="00EF1851"/>
    <w:rsid w:val="00F72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EF2EF"/>
  <w15:chartTrackingRefBased/>
  <w15:docId w15:val="{92D1831E-CE69-4BC0-BF56-FEE53E2F1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2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CAB"/>
    <w:rPr>
      <w:rFonts w:eastAsiaTheme="majorEastAsia" w:cstheme="majorBidi"/>
      <w:color w:val="272727" w:themeColor="text1" w:themeTint="D8"/>
    </w:rPr>
  </w:style>
  <w:style w:type="paragraph" w:styleId="Title">
    <w:name w:val="Title"/>
    <w:basedOn w:val="Normal"/>
    <w:next w:val="Normal"/>
    <w:link w:val="TitleChar"/>
    <w:uiPriority w:val="10"/>
    <w:qFormat/>
    <w:rsid w:val="00F72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CAB"/>
    <w:pPr>
      <w:spacing w:before="160"/>
      <w:jc w:val="center"/>
    </w:pPr>
    <w:rPr>
      <w:i/>
      <w:iCs/>
      <w:color w:val="404040" w:themeColor="text1" w:themeTint="BF"/>
    </w:rPr>
  </w:style>
  <w:style w:type="character" w:customStyle="1" w:styleId="QuoteChar">
    <w:name w:val="Quote Char"/>
    <w:basedOn w:val="DefaultParagraphFont"/>
    <w:link w:val="Quote"/>
    <w:uiPriority w:val="29"/>
    <w:rsid w:val="00F72CAB"/>
    <w:rPr>
      <w:i/>
      <w:iCs/>
      <w:color w:val="404040" w:themeColor="text1" w:themeTint="BF"/>
    </w:rPr>
  </w:style>
  <w:style w:type="paragraph" w:styleId="ListParagraph">
    <w:name w:val="List Paragraph"/>
    <w:basedOn w:val="Normal"/>
    <w:uiPriority w:val="34"/>
    <w:qFormat/>
    <w:rsid w:val="00F72CAB"/>
    <w:pPr>
      <w:ind w:left="720"/>
      <w:contextualSpacing/>
    </w:pPr>
  </w:style>
  <w:style w:type="character" w:styleId="IntenseEmphasis">
    <w:name w:val="Intense Emphasis"/>
    <w:basedOn w:val="DefaultParagraphFont"/>
    <w:uiPriority w:val="21"/>
    <w:qFormat/>
    <w:rsid w:val="00F72CAB"/>
    <w:rPr>
      <w:i/>
      <w:iCs/>
      <w:color w:val="0F4761" w:themeColor="accent1" w:themeShade="BF"/>
    </w:rPr>
  </w:style>
  <w:style w:type="paragraph" w:styleId="IntenseQuote">
    <w:name w:val="Intense Quote"/>
    <w:basedOn w:val="Normal"/>
    <w:next w:val="Normal"/>
    <w:link w:val="IntenseQuoteChar"/>
    <w:uiPriority w:val="30"/>
    <w:qFormat/>
    <w:rsid w:val="00F72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CAB"/>
    <w:rPr>
      <w:i/>
      <w:iCs/>
      <w:color w:val="0F4761" w:themeColor="accent1" w:themeShade="BF"/>
    </w:rPr>
  </w:style>
  <w:style w:type="character" w:styleId="IntenseReference">
    <w:name w:val="Intense Reference"/>
    <w:basedOn w:val="DefaultParagraphFont"/>
    <w:uiPriority w:val="32"/>
    <w:qFormat/>
    <w:rsid w:val="00F72CAB"/>
    <w:rPr>
      <w:b/>
      <w:bCs/>
      <w:smallCaps/>
      <w:color w:val="0F4761" w:themeColor="accent1" w:themeShade="BF"/>
      <w:spacing w:val="5"/>
    </w:rPr>
  </w:style>
  <w:style w:type="character" w:styleId="SubtleEmphasis">
    <w:name w:val="Subtle Emphasis"/>
    <w:basedOn w:val="DefaultParagraphFont"/>
    <w:uiPriority w:val="19"/>
    <w:qFormat/>
    <w:rsid w:val="00D24A19"/>
    <w:rPr>
      <w:i/>
      <w:iCs/>
      <w:color w:val="404040" w:themeColor="text1" w:themeTint="BF"/>
    </w:rPr>
  </w:style>
  <w:style w:type="paragraph" w:styleId="NoSpacing">
    <w:name w:val="No Spacing"/>
    <w:uiPriority w:val="1"/>
    <w:qFormat/>
    <w:rsid w:val="00D24A19"/>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46361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6361A"/>
    <w:pPr>
      <w:spacing w:after="100"/>
    </w:pPr>
  </w:style>
  <w:style w:type="paragraph" w:styleId="TOC2">
    <w:name w:val="toc 2"/>
    <w:basedOn w:val="Normal"/>
    <w:next w:val="Normal"/>
    <w:autoRedefine/>
    <w:uiPriority w:val="39"/>
    <w:unhideWhenUsed/>
    <w:rsid w:val="0046361A"/>
    <w:pPr>
      <w:spacing w:after="100"/>
      <w:ind w:left="240"/>
    </w:pPr>
  </w:style>
  <w:style w:type="character" w:styleId="Hyperlink">
    <w:name w:val="Hyperlink"/>
    <w:basedOn w:val="DefaultParagraphFont"/>
    <w:uiPriority w:val="99"/>
    <w:unhideWhenUsed/>
    <w:rsid w:val="004636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38C60D40FB34BF186721AD57CE58579"/>
        <w:category>
          <w:name w:val="General"/>
          <w:gallery w:val="placeholder"/>
        </w:category>
        <w:types>
          <w:type w:val="bbPlcHdr"/>
        </w:types>
        <w:behaviors>
          <w:behavior w:val="content"/>
        </w:behaviors>
        <w:guid w:val="{76BA6E8F-5DDD-45B5-893A-080366D87692}"/>
      </w:docPartPr>
      <w:docPartBody>
        <w:p w:rsidR="00C16542" w:rsidRDefault="00E733A1" w:rsidP="00E733A1">
          <w:pPr>
            <w:pStyle w:val="738C60D40FB34BF186721AD57CE58579"/>
          </w:pPr>
          <w:r>
            <w:rPr>
              <w:rFonts w:asciiTheme="majorHAnsi" w:hAnsiTheme="majorHAnsi"/>
              <w:color w:val="FFFFFF" w:themeColor="background1"/>
              <w:sz w:val="96"/>
              <w:szCs w:val="96"/>
            </w:rPr>
            <w:t>[Document title]</w:t>
          </w:r>
        </w:p>
      </w:docPartBody>
    </w:docPart>
    <w:docPart>
      <w:docPartPr>
        <w:name w:val="40F5D5099DE24DA3AB0C61FFF4A1A8AC"/>
        <w:category>
          <w:name w:val="General"/>
          <w:gallery w:val="placeholder"/>
        </w:category>
        <w:types>
          <w:type w:val="bbPlcHdr"/>
        </w:types>
        <w:behaviors>
          <w:behavior w:val="content"/>
        </w:behaviors>
        <w:guid w:val="{E885CF47-AFFF-4DC3-8B82-CDB2D5B6523A}"/>
      </w:docPartPr>
      <w:docPartBody>
        <w:p w:rsidR="00C16542" w:rsidRDefault="00E733A1" w:rsidP="00E733A1">
          <w:pPr>
            <w:pStyle w:val="40F5D5099DE24DA3AB0C61FFF4A1A8AC"/>
          </w:pPr>
          <w:r>
            <w:rPr>
              <w:color w:val="FFFFFF" w:themeColor="background1"/>
              <w:sz w:val="32"/>
              <w:szCs w:val="32"/>
            </w:rPr>
            <w:t>[Document subtitle]</w:t>
          </w:r>
        </w:p>
      </w:docPartBody>
    </w:docPart>
    <w:docPart>
      <w:docPartPr>
        <w:name w:val="A32EA9F688F444C68EDFF927EA4DABEE"/>
        <w:category>
          <w:name w:val="General"/>
          <w:gallery w:val="placeholder"/>
        </w:category>
        <w:types>
          <w:type w:val="bbPlcHdr"/>
        </w:types>
        <w:behaviors>
          <w:behavior w:val="content"/>
        </w:behaviors>
        <w:guid w:val="{F1B9ACD6-EC5D-4D38-A843-93CD29E6666B}"/>
      </w:docPartPr>
      <w:docPartBody>
        <w:p w:rsidR="00C16542" w:rsidRDefault="00E733A1" w:rsidP="00E733A1">
          <w:pPr>
            <w:pStyle w:val="A32EA9F688F444C68EDFF927EA4DABEE"/>
          </w:pPr>
          <w:r>
            <w:rPr>
              <w:color w:val="FFFFFF" w:themeColor="background1"/>
            </w:rPr>
            <w:t>[Author name]</w:t>
          </w:r>
        </w:p>
      </w:docPartBody>
    </w:docPart>
    <w:docPart>
      <w:docPartPr>
        <w:name w:val="D8E89C2E907A4ADDB7DA69DD5E916FCF"/>
        <w:category>
          <w:name w:val="General"/>
          <w:gallery w:val="placeholder"/>
        </w:category>
        <w:types>
          <w:type w:val="bbPlcHdr"/>
        </w:types>
        <w:behaviors>
          <w:behavior w:val="content"/>
        </w:behaviors>
        <w:guid w:val="{3861E752-FA20-4AC7-91DE-16270FCC3E03}"/>
      </w:docPartPr>
      <w:docPartBody>
        <w:p w:rsidR="00C16542" w:rsidRDefault="00E733A1" w:rsidP="00E733A1">
          <w:pPr>
            <w:pStyle w:val="D8E89C2E907A4ADDB7DA69DD5E916FCF"/>
          </w:pPr>
          <w:r>
            <w:rPr>
              <w:color w:val="FFFFFF" w:themeColor="background1"/>
            </w:rPr>
            <w:t>[Date]</w:t>
          </w:r>
        </w:p>
      </w:docPartBody>
    </w:docPart>
    <w:docPart>
      <w:docPartPr>
        <w:name w:val="AE98EFBD89EF458386FA94EA08BFAE0C"/>
        <w:category>
          <w:name w:val="General"/>
          <w:gallery w:val="placeholder"/>
        </w:category>
        <w:types>
          <w:type w:val="bbPlcHdr"/>
        </w:types>
        <w:behaviors>
          <w:behavior w:val="content"/>
        </w:behaviors>
        <w:guid w:val="{644A500B-6A76-41C8-B286-2E219991B17E}"/>
      </w:docPartPr>
      <w:docPartBody>
        <w:p w:rsidR="00C16542" w:rsidRDefault="00E733A1" w:rsidP="00E733A1">
          <w:pPr>
            <w:pStyle w:val="AE98EFBD89EF458386FA94EA08BFAE0C"/>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3A1"/>
    <w:rsid w:val="000A790E"/>
    <w:rsid w:val="000E543E"/>
    <w:rsid w:val="004B6FAE"/>
    <w:rsid w:val="00653CAB"/>
    <w:rsid w:val="00BF2276"/>
    <w:rsid w:val="00C16542"/>
    <w:rsid w:val="00DC0BBF"/>
    <w:rsid w:val="00E73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8C60D40FB34BF186721AD57CE58579">
    <w:name w:val="738C60D40FB34BF186721AD57CE58579"/>
    <w:rsid w:val="00E733A1"/>
  </w:style>
  <w:style w:type="paragraph" w:customStyle="1" w:styleId="40F5D5099DE24DA3AB0C61FFF4A1A8AC">
    <w:name w:val="40F5D5099DE24DA3AB0C61FFF4A1A8AC"/>
    <w:rsid w:val="00E733A1"/>
  </w:style>
  <w:style w:type="paragraph" w:customStyle="1" w:styleId="A32EA9F688F444C68EDFF927EA4DABEE">
    <w:name w:val="A32EA9F688F444C68EDFF927EA4DABEE"/>
    <w:rsid w:val="00E733A1"/>
  </w:style>
  <w:style w:type="paragraph" w:customStyle="1" w:styleId="D8E89C2E907A4ADDB7DA69DD5E916FCF">
    <w:name w:val="D8E89C2E907A4ADDB7DA69DD5E916FCF"/>
    <w:rsid w:val="00E733A1"/>
  </w:style>
  <w:style w:type="paragraph" w:customStyle="1" w:styleId="AE98EFBD89EF458386FA94EA08BFAE0C">
    <w:name w:val="AE98EFBD89EF458386FA94EA08BFAE0C"/>
    <w:rsid w:val="00E733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91D0C1-13FE-4F15-944F-A9A36A712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4488</Words>
  <Characters>25584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and Its Influence on Structure, Decision-Making, and Performance at John Lewis</dc:title>
  <dc:subject>BA (Hons) Leadership and Management Skills for the Workplace</dc:subject>
  <dc:creator>Shazad Iqbal 2406671</dc:creator>
  <cp:keywords/>
  <dc:description/>
  <cp:lastModifiedBy>Humayrah .S</cp:lastModifiedBy>
  <cp:revision>5</cp:revision>
  <dcterms:created xsi:type="dcterms:W3CDTF">2026-06-07T16:15:00Z</dcterms:created>
  <dcterms:modified xsi:type="dcterms:W3CDTF">2026-06-21T17:10:00Z</dcterms:modified>
  <cp:category>LCLM5005- Organizational Culture – Report Component 1</cp:category>
</cp:coreProperties>
</file>