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0237766" wp14:paraId="2C078E63" wp14:textId="066AE10C">
      <w:pPr>
        <w:jc w:val="both"/>
        <w:rPr>
          <w:rFonts w:ascii="Aptos Display" w:hAnsi="Aptos Display" w:eastAsia="Aptos Display" w:cs="Aptos Display" w:asciiTheme="majorAscii" w:hAnsiTheme="majorAscii" w:eastAsiaTheme="majorAscii" w:cstheme="majorAscii"/>
          <w:color w:val="000000" w:themeColor="text1" w:themeTint="FF" w:themeShade="FF"/>
          <w:sz w:val="24"/>
          <w:szCs w:val="24"/>
        </w:rPr>
      </w:pPr>
      <w:r w:rsidRPr="70237766" w:rsidR="16E7ACA2">
        <w:rPr>
          <w:rFonts w:ascii="Aptos Display" w:hAnsi="Aptos Display" w:eastAsia="Aptos Display" w:cs="Aptos Display" w:asciiTheme="majorAscii" w:hAnsiTheme="majorAscii" w:eastAsiaTheme="majorAscii" w:cstheme="majorAscii"/>
          <w:color w:val="000000" w:themeColor="text1" w:themeTint="FF" w:themeShade="FF"/>
          <w:sz w:val="24"/>
          <w:szCs w:val="24"/>
        </w:rPr>
        <w:t>AC1.1</w:t>
      </w:r>
    </w:p>
    <w:p w:rsidR="16E7ACA2" w:rsidP="70237766" w:rsidRDefault="16E7ACA2" w14:paraId="0858EFD0" w14:textId="55566481">
      <w:pPr>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Employment regulation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underpins and enables positive employee experience</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and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remains</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a key part of effective people management. Key legislation, including the Employment Rights Act 1996 and the Equality Act 2010, set the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minimum</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standards employers must</w:t>
      </w:r>
      <w:r w:rsidRPr="70237766" w:rsidR="70A81CCB">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meet</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to</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protect employees from unfair treatment, ensure minimum standards of pay and promote a consistent and fair working environment within our Trust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(Davidson Morris, no date).</w:t>
      </w:r>
    </w:p>
    <w:p w:rsidR="16E7ACA2" w:rsidP="70237766" w:rsidRDefault="16E7ACA2" w14:paraId="27A256BF" w14:textId="759B1A59">
      <w:pPr>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For example, employees are provided with a statutory minimum level of pay through the National Minimum Wage Act 1998, while working hours are regulated by the Working Time Regulations 1998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(Daniels, 2024, pp. 83 and 96).</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These laws help prevent exploitation by setting legal limits on pay and working hours, protecting employees from unfair treatment. Given the scale and diversity of our workforce, we must ensure consistent standards, fair treatment and staff wellbeing.</w:t>
      </w:r>
    </w:p>
    <w:p w:rsidR="16E7ACA2" w:rsidP="70237766" w:rsidRDefault="16E7ACA2" w14:paraId="4D3694F5" w14:textId="66782592">
      <w:pPr>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Employment regulation also promotes consistency and fairness by providing clear frameworks for decision-making, helping ensure policies are applied and reducing the risk of unequal treatment. These all link to a positive employee experience, which aligns with our NHS Constitution value, ‘Everyone counts</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which promotes inclusion and ensures employees are included and treated </w:t>
      </w:r>
      <w:r w:rsidRPr="70237766" w:rsidR="4F390AB7">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fairly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NHS Professionals, no date)</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t>
      </w:r>
    </w:p>
    <w:p w:rsidR="16E7ACA2" w:rsidP="70237766" w:rsidRDefault="16E7ACA2" w14:paraId="7FE14CC4" w14:textId="104C274D">
      <w:pPr>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We are all keen to enhance employee experience, therefore</w:t>
      </w:r>
      <w:r w:rsidRPr="70237766" w:rsidR="46AA2A88">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I understand your concern about the time spent on regulatory activity. Activities such as completing paperwork,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monitoring</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working hours and ensuring policies meet legal requirements can be time-consuming and may reduce available time for customer-focused activities such as wellbeing initiatives</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In fast-paced environments where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maintaining</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accurate</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records is essential, these processes may also limit our ability to respond quickly to workforce demands. However, in highly regulated sectors such as healthcare, these controls are necessary to safeguard both employees and patients. While you may view compliance activities as an administrative burden, the absence of these controls may expose our Trust to legal claims and reputational damage, which would require more time and resources to address. </w:t>
      </w:r>
    </w:p>
    <w:p w:rsidR="16E7ACA2" w:rsidP="70237766" w:rsidRDefault="16E7ACA2" w14:paraId="32A2D319" w14:textId="1B96B0B3">
      <w:pPr>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Without clearly following regulations, there</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would be a greater risk of inconsistent or unfair practices. Legislation, such as the Equality Act 2010, provides clear boundaries that help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maintain</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t>
      </w:r>
      <w:r w:rsidRPr="70237766" w:rsidR="3FB8504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ethical </w:t>
      </w:r>
      <w:r w:rsidRPr="70237766" w:rsidR="3FB8504F">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standards</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prevent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discrimination</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and reduce grievances and disputes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(ACAS, 2025a).</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The time spent on compliance prevents more time-consuming employee relations issues further down the line. </w:t>
      </w:r>
    </w:p>
    <w:p w:rsidR="16E7ACA2" w:rsidP="70237766" w:rsidRDefault="16E7ACA2" w14:paraId="626549E9" w14:textId="636593FF">
      <w:pPr>
        <w:pStyle w:val="Normal"/>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Overall, while employment regulation can create administrative challenges and reduce organisational flexibility, its benefits outweigh these limitations. Employment regulation not only protects employees but also supports organisational stability, ethical practice and employee trust. Compliance is fundamental to ensuring a fair and legally compliant working environment and strengthening organisational reputation. Therefore, regulatory activity should not be seen purely as a burden.   </w:t>
      </w:r>
    </w:p>
    <w:p w:rsidR="16E7ACA2" w:rsidP="70237766" w:rsidRDefault="16E7ACA2" w14:paraId="15BBC163" w14:textId="46CA868D">
      <w:pPr>
        <w:pStyle w:val="Normal"/>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AC1.2</w:t>
      </w:r>
    </w:p>
    <w:p w:rsidR="16E7ACA2" w:rsidP="70237766" w:rsidRDefault="16E7ACA2" w14:paraId="1C3A1267" w14:textId="507DDAF6">
      <w:pPr>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While the UK was a member of the EU, UK employment law was heavily influenced by EU </w:t>
      </w:r>
      <w:r w:rsidRPr="70237766" w:rsidR="712E9341">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legislation an</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d by judgements of the European Court of Justice (ECJ). During this period, UK courts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were</w:t>
      </w:r>
      <w:r w:rsidRPr="70237766" w:rsidR="49EB4F25">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t>
      </w:r>
      <w:r w:rsidRPr="70237766" w:rsidR="49EB4F25">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required</w:t>
      </w:r>
      <w:r w:rsidRPr="70237766" w:rsidR="49EB4F25">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to interpret domestic legislation consistently with EU law because EU law had supremacy over domestic UK law at this time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(CIPD, 2026a).</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The ECJ’s rulings were binding on UK courts, ensuring consistency across all EU applications of employment rights. </w:t>
      </w:r>
    </w:p>
    <w:p w:rsidR="16E7ACA2" w:rsidP="70237766" w:rsidRDefault="16E7ACA2" w14:paraId="7A7773CB" w14:textId="743E149C">
      <w:pPr>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Following Brexit in 2020, the legal status of ECJ judgements changed and is now primarily governed by the European Union (Withdrawal) Act 2018. As a result, ECJ decisions made before Brexit became part of UK law as ‘retained EU case law’. Therefore, pre-Brexit ECJ decisions do remain good law unless they are overturned by legislation or a higher UK court, such as the Supreme Court and Court of Appeal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(CIPD, 2025a).</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t>
      </w:r>
    </w:p>
    <w:p w:rsidR="16E7ACA2" w:rsidP="70237766" w:rsidRDefault="16E7ACA2" w14:paraId="4F0EAED3" w14:textId="7F8FF511">
      <w:pPr>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Pre-Brexit, UK courts referred to the ECJ, whose rulings were binding on domestic courts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Syrpis</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2022).</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However, since Brexit, new cases can no longer be referred to the ECJ, and the UK Supreme Court is now the final court of appeal. Although the ECJ no longer has direct authority over UK courts, its earlier judgments continue to influence employment law decisions. Lower courts and employment tribunals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generally continue</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to apply retained EU case law when interpreting retained EU legislation, providing consistency for employees and employers. However, higher courts are no longer bound by ECJ decisions. They may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depart</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from retained EU case law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where</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considered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appropriate</w:t>
      </w:r>
      <w:r w:rsidRPr="70237766" w:rsidR="26F9BB9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considering</w:t>
      </w:r>
      <w:r w:rsidRPr="70237766" w:rsidR="275D4F9C">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factors such as legal certainty,</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fairnes</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s</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and practical impact. </w:t>
      </w:r>
    </w:p>
    <w:p w:rsidR="16E7ACA2" w:rsidP="70237766" w:rsidRDefault="16E7ACA2" w14:paraId="6B411544" w14:textId="6735C41B">
      <w:pPr>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An example of the continuing influence of ECJ decisions can be seen in relation to holiday pay and working time. The Working Time Directive sets a maximum average working week of 48 hours and establishes minimum rights to paid annual leave. While the UK was a member of the EU, it was required to implement this Directive through the Working Time Regulations 1998 and could not remove these protections without breaching EU law. </w:t>
      </w:r>
    </w:p>
    <w:p w:rsidR="16E7ACA2" w:rsidP="70237766" w:rsidRDefault="16E7ACA2" w14:paraId="42622038" w14:textId="3A1EE293">
      <w:pPr>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In Williams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v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British Airways </w:t>
      </w:r>
      <w:r w:rsidRPr="70237766" w:rsidR="761A2FF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2011</w:t>
      </w:r>
      <w:r w:rsidRPr="70237766" w:rsidR="33A58AE5">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the ECJ held that holiday pay should reflect a worker’s ‘normal remuneration’. UK courts adopted this interpretation when applying the Working Time Regulations 1998, and these continue to apply after Brexit as part of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retained</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EU case law. Following Brexit, Parliament now has greater freedom to amend or repeal these rules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(Daniels, 2022, p. 22).</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This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demonstrates</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that although Brexit reduced the authority of the ECJ, its pre-Brexit rulings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remain</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highly relevant.</w:t>
      </w:r>
    </w:p>
    <w:p w:rsidR="16E7ACA2" w:rsidP="70237766" w:rsidRDefault="16E7ACA2" w14:paraId="474738F1" w14:textId="22DE79CE">
      <w:pPr>
        <w:pStyle w:val="Normal"/>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AC2.1</w:t>
      </w:r>
    </w:p>
    <w:p w:rsidR="16E7ACA2" w:rsidP="70237766" w:rsidRDefault="16E7ACA2" w14:paraId="7DCFC566" w14:textId="12BDE5DD">
      <w:pPr>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You must follow the law on discrimination throughout the recruitment process, including decisions about offering or not offering employment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(ACAS, 2024a).</w:t>
      </w:r>
    </w:p>
    <w:p w:rsidR="16E7ACA2" w:rsidP="70237766" w:rsidRDefault="16E7ACA2" w14:paraId="7239BC95" w14:textId="354EE326">
      <w:pPr>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Under the Equality Act 2010, </w:t>
      </w:r>
      <w:r w:rsidRPr="70237766" w:rsidR="55948970">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it's</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unlawful to discriminate against individuals based on protected characteristics, including sex, during recruitment,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selection</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and employment. Sex discrimination occurs when someone is discriminated against for reasons related to their sex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CIPD, 2026b)</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Vacancies must be open to suitably qualified applicants regardless of gender, and selection</w:t>
      </w:r>
      <w:r w:rsidRPr="70237766" w:rsidR="3D4E1EF7">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decisions should be based on objective criteria such as skills,</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experienc</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e</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and qualifications. This helps ensure a fair, consistent and legally compliant process whilst avoiding direct discrimination, which is treating someone less favourably because of their sex, and indirect discrimination, which occurs where a requirement disadvantages a particular gender without justification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(ACAS, 2024b).</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t>
      </w:r>
    </w:p>
    <w:p w:rsidR="16E7ACA2" w:rsidP="70237766" w:rsidRDefault="16E7ACA2" w14:paraId="5E281884" w14:textId="7140F621">
      <w:pPr>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You must not specify that a role must be carried out by a particular gender based on assumptions,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stereotypes</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or preferences, as this would be unlawful. For example, it would be discriminatory to suggest that women are more suited to a caring role or that men are more suited to management. Specifying gender to improve team balance or in response to a patient's preference would also not be justified unless there is a clear and legitimate reason linked to care needs,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dignity</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or safety. In Etam plc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v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Rowan</w:t>
      </w:r>
      <w:r w:rsidRPr="70237766" w:rsidR="1E00C803">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(1989)</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a male applicant was refused a job because part of the role involved measuring female customers for clothing. The tribunal held that this task was only a small part of the job and could have been undertaken by a female colleague therefore, being a female was not an occupational requirement for the position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(Daniels, 2022, p. 158).</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t>
      </w:r>
    </w:p>
    <w:p w:rsidR="16E7ACA2" w:rsidP="70237766" w:rsidRDefault="16E7ACA2" w14:paraId="1DB3874C" w14:textId="53469765">
      <w:pPr>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However, the Equality Act 2010 does allow for limited exceptions known as an ‘occupational requirement’. This applies where a particular protected characteristic, such as gender, is essential for the role and there is ‘objective justification’ if the employer can prove there’s a legitimate aim and it is ‘proportionate, appropriate and necessary’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(ACAS, 2024c)</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w:t>
      </w:r>
    </w:p>
    <w:p w:rsidR="16E7ACA2" w:rsidP="70237766" w:rsidRDefault="16E7ACA2" w14:paraId="7FCF855E" w14:textId="50EAC499">
      <w:pPr>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A gender-specific requirement may be justified in circumstances where privacy and dignity are essential. For example, when providing intimate care, it may be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appropriate to</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recruit a female healthcare worker to support female patients, particularly when this aligns with cultural or religious needs. Also, roles within single-sex services, such as sexual assault centres or women</w:t>
      </w:r>
      <w:r w:rsidRPr="70237766" w:rsidR="472C07A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’s</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refuges, may legitimately require female staff to ensure patients feel safe and supported and may feel unsafe with male staff. In limited situations, gender may also be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required</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for authenticity, such as in health promotion campaigns or specific acting roles. </w:t>
      </w:r>
    </w:p>
    <w:p w:rsidR="16E7ACA2" w:rsidP="70237766" w:rsidRDefault="16E7ACA2" w14:paraId="1A9F6532" w14:textId="08CCBBCF">
      <w:pPr>
        <w:spacing w:before="0" w:beforeAutospacing="off" w:after="16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Where an occupational requirement is applied, it</w:t>
      </w:r>
      <w:r w:rsidRPr="70237766" w:rsidR="25310F39">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s essential that it</w:t>
      </w:r>
      <w:r w:rsidRPr="70237766" w:rsidR="6B24B31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s clearly documented, evidence-based and regularly reviewed to ensure it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remains</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valid. You must also transparently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state</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it on all advertisements to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demonstrate</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fairness and compliance</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t>
      </w:r>
    </w:p>
    <w:p w:rsidR="16E7ACA2" w:rsidP="70237766" w:rsidRDefault="16E7ACA2" w14:paraId="22811A72" w14:textId="5C9742EF">
      <w:pPr>
        <w:pStyle w:val="Normal"/>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In summary, specifying that a role must be carried out by </w:t>
      </w:r>
      <w:r w:rsidRPr="70237766" w:rsidR="748A44E5">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a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certain gender is only lawful in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very </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limited</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circumstances</w:t>
      </w:r>
      <w:r w:rsidRPr="70237766" w:rsidR="16E7AC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where it can be objectively justified as necessary for the role.</w:t>
      </w:r>
    </w:p>
    <w:p w:rsidR="70237766" w:rsidP="70237766" w:rsidRDefault="70237766" w14:paraId="740FDF5B" w14:textId="06EDC3B2">
      <w:pPr>
        <w:pStyle w:val="Normal"/>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w:rsidR="532B68CA" w:rsidP="70237766" w:rsidRDefault="532B68CA" w14:paraId="003A1204" w14:textId="72006165">
      <w:pPr>
        <w:pStyle w:val="Normal"/>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AC2.2</w:t>
      </w:r>
    </w:p>
    <w:p w:rsidR="532B68CA" w:rsidP="70237766" w:rsidRDefault="532B68CA" w14:paraId="48ECFAF3" w14:textId="0D6FDB3B">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I appreciate you wanting to support staff development and make good use of resources, but we need to consider the legal implications before approving this upgrade. Upgrading two male healthcare assistants (HCAs) in a female-dominated team from grade A to grade B could raise equal pay concerns, so this cannot be approved without further review and clear justification. </w:t>
      </w:r>
    </w:p>
    <w:p w:rsidR="70237766" w:rsidP="70237766" w:rsidRDefault="70237766" w14:paraId="49352D6C" w14:textId="6EB47F0B">
      <w:pPr>
        <w:spacing w:before="0" w:beforeAutospacing="off" w:after="0" w:afterAutospacing="off"/>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w:rsidR="532B68CA" w:rsidP="70237766" w:rsidRDefault="532B68CA" w14:paraId="1E2765F0" w14:textId="6951C7F4">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Under the Equality Act 2010, men and women are entitled to equal pay for equal work, including roles that are the same, similar or of equal value. Pay is not limited to salary but also includes bonuses, pensions and other contractual benefits. Employers can only justify differences in pay if there is a valid reason unrelated to gender, such as experience, responsibility or skill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(ACAS, 2024d),</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and this must be objectively justified and applied consistently across the workforce. </w:t>
      </w:r>
    </w:p>
    <w:p w:rsidR="70237766" w:rsidP="70237766" w:rsidRDefault="70237766" w14:paraId="32E88C74" w14:textId="351D0A4E">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w:rsidR="532B68CA" w:rsidP="70237766" w:rsidRDefault="532B68CA" w14:paraId="349411FA" w14:textId="70FDB61F">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The proposed upgrade applies to two male HCAs within a workforce where most HCAs are female. If female HCAs performing equal work remain on grade A while these roles move to grade B without clear justification, this could create a risk of equal pay claims from female employees undertaking like work. In Capper Pass v Lawton</w:t>
      </w:r>
      <w:r w:rsidRPr="70237766" w:rsidR="45C5729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(1977)</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the Tribunal held that employees were engaged in ‘like work’ and that minor differences in their duties did not justify differences in pay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(Daniels, 2022, p. 173)</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Therefore, the proposed regrading may be difficult to justify</w:t>
      </w:r>
      <w:r w:rsidRPr="70237766" w:rsidR="26083491">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unless there is evidence that the roles meet the requirements of the higher grade. </w:t>
      </w:r>
    </w:p>
    <w:p w:rsidR="70237766" w:rsidP="70237766" w:rsidRDefault="70237766" w14:paraId="143471FC" w14:textId="7599247C">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w:rsidR="532B68CA" w:rsidP="70237766" w:rsidRDefault="532B68CA" w14:paraId="70B05F51" w14:textId="30C61D44">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To lawfully justify a pay difference, an employer may rely on the material factor defence. This means the difference must be due to a genuine, non-discriminatory reason unrelated to gender, such as differences in duties, responsibilities, qualifications or skills. If the employer can show that the difference in pay is due to a material factor, they will have a defence to an equal pay claim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(Sewell, 2024).</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This justification must be based on a legitimate aim and supported by clear evidence. </w:t>
      </w:r>
    </w:p>
    <w:p w:rsidR="70237766" w:rsidP="70237766" w:rsidRDefault="70237766" w14:paraId="23E23257" w14:textId="432DEAFA">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w:rsidR="532B68CA" w:rsidP="70237766" w:rsidRDefault="532B68CA" w14:paraId="66F3E373" w14:textId="76DA32CD">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Budget availability is not sufficient justification for differential grading. Before any decision is made, a formal job evaluation should be undertaken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(Equality and Human Rights Commission, 2020)</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to confirm whether the roles meet grade B requirements and identify genuine differences from existing grade A HCA roles. It is also important to consider whether other HCAs performing comparable work should be reviewed to ensure fairness and consistency.</w:t>
      </w:r>
    </w:p>
    <w:p w:rsidR="70237766" w:rsidP="70237766" w:rsidRDefault="70237766" w14:paraId="4E59DC88" w14:textId="541D9A23">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w:rsidR="532B68CA" w:rsidP="70237766" w:rsidRDefault="532B68CA" w14:paraId="74A237A2" w14:textId="6ECDF175">
      <w:pPr>
        <w:pStyle w:val="Normal"/>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Without this evidence, approving the upgrade could create a risk of equal pay claims from female HCAs undertaking equal work, potentially resulting in employment tribunal claims. Therefore, a full job evaluation is required before any decision is made.</w:t>
      </w:r>
    </w:p>
    <w:p w:rsidR="532B68CA" w:rsidP="70237766" w:rsidRDefault="532B68CA" w14:paraId="7AD4F91A" w14:textId="041CB855">
      <w:pPr>
        <w:pStyle w:val="Normal"/>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AC3.1</w:t>
      </w:r>
    </w:p>
    <w:p w:rsidR="532B68CA" w:rsidP="70237766" w:rsidRDefault="532B68CA" w14:paraId="5CEAC123" w14:textId="57EFB365">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Under the Employment Rights Act 1996, a constructive dismissal claim occurs where an employee resigns due to a fundamental breach of contract by the employer. To bring a claim, an employee needs two years’ continuous service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(ACAS, 2026a</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The employee must show a fundamental contractual breach and that they resigned in direct response, so they could not be seen as having accepted the change by working after the breach. </w:t>
      </w:r>
    </w:p>
    <w:p w:rsidR="70237766" w:rsidP="70237766" w:rsidRDefault="70237766" w14:paraId="1AE75A0D" w14:textId="606B79C8">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p>
    <w:p w:rsidR="532B68CA" w:rsidP="70237766" w:rsidRDefault="532B68CA" w14:paraId="679FB726" w14:textId="4D6C6AE3">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In your case, a change to working hours may support a claim if it represents a significant variation to an express contractual term, or if it breaches the implied term of mutual trust and confidence. Imposing different shift patterns, unsociable hours or changes that negatively impact an employee's personal circumstances, for example, childcare or health, could strengthen their claim. </w:t>
      </w:r>
    </w:p>
    <w:p w:rsidR="70237766" w:rsidP="70237766" w:rsidRDefault="70237766" w14:paraId="7BEC2303" w14:textId="0DEB3E29">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w:rsidR="532B68CA" w:rsidP="70237766" w:rsidRDefault="532B68CA" w14:paraId="4E39A884" w14:textId="1B6C1283">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A key consideration is whether the Trust has a contractual variation or flexibility clause allowing changes to working hours. Even where such a clause exists, changes must be exercised reasonably and following consultation. Changes to contractual terms require the agreement of both the employer and employee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ACAS, 2025b)</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Failure to act reasonably may still amount to a breach of implied terms, even where a contractual clause is in place. </w:t>
      </w:r>
    </w:p>
    <w:p w:rsidR="70237766" w:rsidP="70237766" w:rsidRDefault="70237766" w14:paraId="0043A2E3" w14:textId="4699EFA2">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w:rsidR="532B68CA" w:rsidP="70237766" w:rsidRDefault="532B68CA" w14:paraId="53BF9F29" w14:textId="59FFB4BD">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The process followed in changing an employee's working hours is important. The employer must consult with the employee in a change situation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(Daniels, 2024, p.182)</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Failure to consult adequately, consider alternatives or allow sufficient notice may amount to a breach of contract, and in some cases an unlawful deduction from wages if pay is reduced and a constructive unfair dismissal claim if the employee resigns in response. This would weaken the Trust’s position. </w:t>
      </w:r>
    </w:p>
    <w:p w:rsidR="70237766" w:rsidP="70237766" w:rsidRDefault="70237766" w14:paraId="7BD385F6" w14:textId="25A0DE6C">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w:rsidR="532B68CA" w:rsidP="70237766" w:rsidRDefault="532B68CA" w14:paraId="4F53DCF0" w14:textId="231CB77D">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In consultation, employers should explain the business reason for the proposed change, give them an opportunity to respond and consider their concerns before making a final decision. They are also expected to explore reasonable alternatives such as flexible working, phased changes or recruitment. Failing to evidence these steps can weaken an employer's defence in a tribunal. The Trust would be in a stronger position if it can demonstrate a genuine business reason for the proposed change and evidence that meaningful consultation took place.</w:t>
      </w:r>
    </w:p>
    <w:p w:rsidR="70237766" w:rsidP="70237766" w:rsidRDefault="70237766" w14:paraId="7D4B3BA0" w14:textId="63054706">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w:rsidR="532B68CA" w:rsidP="70237766" w:rsidRDefault="532B68CA" w14:paraId="189E326F" w14:textId="033B455F">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Tribunal claims for constructive dismissal must be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submitted</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within three months less one day from the termination date</w:t>
      </w:r>
      <w:r w:rsidRPr="70237766" w:rsidR="32C7391B">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which is usually the last day of the employee’s notice period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(ACAS, 2025c).</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This is paused during the ACAS early conciliation process, which must be completed before proceedings. If the radiographer misses the window, the tribunal will only hear the case in exceptional circumstances where it was not reasonably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practicable</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to present the claim in time. </w:t>
      </w:r>
    </w:p>
    <w:p w:rsidR="70237766" w:rsidP="70237766" w:rsidRDefault="70237766" w14:paraId="7A73CBEA" w14:textId="5B337A5A">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w:rsidR="532B68CA" w:rsidP="70237766" w:rsidRDefault="532B68CA" w14:paraId="57327D5F" w14:textId="201D7F14">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I recommend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immediately</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auditing the consultation process followed during this change to working hours, review</w:t>
      </w:r>
      <w:r w:rsidRPr="70237766" w:rsidR="71D2363D">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ing</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the contractual terms and check</w:t>
      </w:r>
      <w:r w:rsidRPr="70237766" w:rsidR="0210D0DD">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ing</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our records for any correspondence raised by the employee prior to resignation to assess our level of risk.</w:t>
      </w:r>
    </w:p>
    <w:p w:rsidR="70237766" w:rsidP="70237766" w:rsidRDefault="70237766" w14:paraId="005B19D9" w14:textId="103D1F98">
      <w:pPr>
        <w:pStyle w:val="Normal"/>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w:rsidR="532B68CA" w:rsidP="70237766" w:rsidRDefault="532B68CA" w14:paraId="118BA004" w14:textId="5063B490">
      <w:pPr>
        <w:pStyle w:val="Normal"/>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AC3.2</w:t>
      </w:r>
    </w:p>
    <w:p w:rsidR="532B68CA" w:rsidP="70237766" w:rsidRDefault="532B68CA" w14:paraId="1AD7AF40" w14:textId="5F028EB1">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While I appreciate the desire to speed this process up, it is important that any redundancy process is carried out legally and fairly to reduce the risk of legal challenge and reputational damage to our Trust.</w:t>
      </w:r>
    </w:p>
    <w:p w:rsidR="70237766" w:rsidP="70237766" w:rsidRDefault="70237766" w14:paraId="41FB4D87" w14:textId="6F9AF49D">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p>
    <w:p w:rsidR="532B68CA" w:rsidP="70237766" w:rsidRDefault="532B68CA" w14:paraId="465F3124" w14:textId="71BCE7A7">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Under the Employment Rights Act 1996, employers are required to follow a fair and reasonable procedure. Section 139 states that a fair reason for redundancy occurs when the business closes, a place or site closes or relocates, or an employer requires fewer employees to do work of a particular kind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(Attrup, 2023).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Redundancy is the removal of roles rather than individuals.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Si</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mply dismissing the poorest performers creates significant legal risk. Poor performance alone is not a lawful basis for redundancy unless it is linked to a fair redundancy selection process. </w:t>
      </w:r>
    </w:p>
    <w:p w:rsidR="70237766" w:rsidP="70237766" w:rsidRDefault="70237766" w14:paraId="44123687" w14:textId="388C7DAC">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w:rsidR="532B68CA" w:rsidP="70237766" w:rsidRDefault="532B68CA" w14:paraId="2DA72CB3" w14:textId="49F23E3F">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Employers who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don’t</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follow correct procedures may be liable for unfair dismissal. Employers should consider alternatives to redundancy, such as recruitment freezes,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redeployment</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or voluntary redundancy. Where 20 or more employees may be made redundant within a 90-day period, collective consultation obligations apply under the Trade Union and Labour Relations (Consolidation) Act 1992</w:t>
      </w:r>
      <w:r w:rsidRPr="70237766" w:rsidR="608BB2C5">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(ACAS, 2026b)</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As 50 posts are affected, the Trust must collectively consult with recognised trade union representatives or elected employee representatives, as well as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each individual</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By law, you must also inform the Insolvency Service Redundancy Payments division by completing an HR1 form about your planned redundancies. If there are between 20 and 90 redundancies, you must do this 30 days before the first dismissal.</w:t>
      </w:r>
    </w:p>
    <w:p w:rsidR="70237766" w:rsidP="70237766" w:rsidRDefault="70237766" w14:paraId="1F1255E2" w14:textId="00A7ED9F">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p>
    <w:p w:rsidR="532B68CA" w:rsidP="70237766" w:rsidRDefault="532B68CA" w14:paraId="398CD9FC" w14:textId="4EFE8A45">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Consultation must be meaningful</w:t>
      </w:r>
      <w:r w:rsidRPr="70237766" w:rsidR="402981A6">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and you must outline why the redundancies are proposed, which roles and how many employees are affected, selection methods and how their redundancy pay will be calculated. Failure to collectively consult or follow a correct procedure may result in unfair dismissal compensation or a protective award of up to 180 days’ gross pay per affected employee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CIPD, 2026c).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Individual consultation meetings must also be held with employees placed at risk of redundancy. </w:t>
      </w:r>
    </w:p>
    <w:p w:rsidR="70237766" w:rsidP="70237766" w:rsidRDefault="70237766" w14:paraId="08541F1A" w14:textId="6F694B49">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w:rsidR="532B68CA" w:rsidP="70237766" w:rsidRDefault="532B68CA" w14:paraId="40D67C7C" w14:textId="7FF36B57">
      <w:pPr>
        <w:spacing w:before="120" w:beforeAutospacing="off" w:after="120" w:afterAutospacing="off"/>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Basing selection for redundancy pur</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ely on performance can be problematic, especially if appraisal records are inconsistent. Typical selection criteria include skills, disciplinary records, attendance and performance, all supported by documented evidence. An employer is in a stronger legal position where selection criteria are clear and fair, scoring is applied consistently, supporting evidence is retained, and discriminatory practices, including age or maternity discrimination are avoided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(Clarke, 2022)</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The process must comply with the Equality Act 2010 and avoid discrimination linked to protected characteristics. </w:t>
      </w:r>
    </w:p>
    <w:p w:rsidR="70237766" w:rsidP="70237766" w:rsidRDefault="70237766" w14:paraId="696D8710" w14:textId="127CCA62">
      <w:pPr>
        <w:spacing w:before="120" w:beforeAutospacing="off" w:after="120" w:afterAutospacing="off"/>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w:rsidR="532B68CA" w:rsidP="70237766" w:rsidRDefault="532B68CA" w14:paraId="0B687E74" w14:textId="612D3497">
      <w:pPr>
        <w:pStyle w:val="Normal"/>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Following a fair process will undoubtedly take longer initially, but</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it significantly reduces legal risk, maintains employee relations and supports our Trust’s reputation.</w:t>
      </w:r>
    </w:p>
    <w:p w:rsidR="70237766" w:rsidP="70237766" w:rsidRDefault="70237766" w14:paraId="4B523F0D" w14:textId="779FE589">
      <w:pPr>
        <w:pStyle w:val="Normal"/>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w:rsidR="532B68CA" w:rsidP="70237766" w:rsidRDefault="532B68CA" w14:paraId="02B3CC7B" w14:textId="0C32B281">
      <w:pPr>
        <w:pStyle w:val="Normal"/>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AC3.3</w:t>
      </w:r>
    </w:p>
    <w:p w:rsidR="532B68CA" w:rsidP="70237766" w:rsidRDefault="532B68CA" w14:paraId="25E71CBD" w14:textId="6199F03F">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Should the two pharmacy operations merge, the main legal framework protecting affected employees is the Transfer of Undertakings Regulations 2006 (TUPE). TUPE is designed to protect employees when a business changes employer, ensuring they are not disadvantaged as a result of this change. If a neighbouring Trust’s pharmacy operations move into a centralised pharmacy run by your Trust, employees assigned to the transferring pharmacy may automatically transfer to the receiving Trust. </w:t>
      </w:r>
    </w:p>
    <w:p w:rsidR="70237766" w:rsidP="70237766" w:rsidRDefault="70237766" w14:paraId="2F4B23E3" w14:textId="288FDAC3">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w:rsidR="532B68CA" w:rsidP="70237766" w:rsidRDefault="532B68CA" w14:paraId="5008E84A" w14:textId="69A8C27E">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This means employees do not need to reapply for their jobs, continuity of service is preserved, and their contractual rights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generally transfer</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to the new employer unchanged. Employees retain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accrued</w:t>
      </w:r>
      <w:r w:rsidRPr="70237766" w:rsidR="75209A4D">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employment</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rights and continue their existing terms and conditions, including salary, working hours and annual leave entitlement. TUPE also transfers employment liabilities to the transferee, including all liabilities relating to discrimination, personal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injury</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and equal pay claims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(CIPD, 2025b).</w:t>
      </w:r>
    </w:p>
    <w:p w:rsidR="70237766" w:rsidP="70237766" w:rsidRDefault="70237766" w14:paraId="5A8F70DF" w14:textId="140135B7">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w:rsidR="532B68CA" w:rsidP="70237766" w:rsidRDefault="532B68CA" w14:paraId="33665FA9" w14:textId="0AED283A">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Before a transfer, by law, both the old and new employers must inform a recognised trade union or employee representatives. If changes are likely to affect employees, you must consult and consider their views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(ACAS, 2025d).</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If neither you nor the neighbouring trust informs or consults, you may both be liable and could be taken to an employment tribunal by the affected employees, trade union or employee representatives. This may also lead to a protective award of up to 13 weeks’ pay per affected employee. </w:t>
      </w:r>
    </w:p>
    <w:p w:rsidR="70237766" w:rsidP="70237766" w:rsidRDefault="70237766" w14:paraId="0785315D" w14:textId="0EBDE717">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p>
    <w:p w:rsidR="532B68CA" w:rsidP="70237766" w:rsidRDefault="532B68CA" w14:paraId="17EA8F39" w14:textId="74B1284A">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Employees have the right to object to transferring. If they do, their employment will usually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terminate</w:t>
      </w:r>
      <w:r w:rsidRPr="70237766" w:rsidR="2A5D0CDD">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on the transfer date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(Legal Clarity, 2026).</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They are not treated as dismissed</w:t>
      </w:r>
      <w:r w:rsidRPr="70237766" w:rsidR="44686095">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and they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generally do</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not receive redundancy pay. However, where the transfer involved a detrimental change to working conditions such as increased travel, major changes to hours and downgrading of duties, employees may claim constructive dismissal. </w:t>
      </w:r>
    </w:p>
    <w:p w:rsidR="70237766" w:rsidP="70237766" w:rsidRDefault="70237766" w14:paraId="6191BA31" w14:textId="0E98AF35">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w:rsidR="532B68CA" w:rsidP="70237766" w:rsidRDefault="532B68CA" w14:paraId="3B357740" w14:textId="6E1BEC01">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Employees are protected from dismissal where the sole or principal reason for dismissal is the transfer itself unless the employer can show an ‘economic, technical or organisational’ (ETO) reason for its actions. For example, Whitehouse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v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Chas A Blatchford &amp; Sons Ltd </w:t>
      </w:r>
      <w:r w:rsidRPr="70237766" w:rsidR="24345AA2">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(199</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9</w:t>
      </w:r>
      <w:r w:rsidRPr="70237766" w:rsidR="67E676F7">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successfu</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lly argued the ETO defence,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demonstrating</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that dismissal was necessary to fulfil the economic requirements of the business contract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(Daniels, 2022, p. 270).</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Valid reasons include genuine redundancy, closure of duplicate facilities or restructuring staffing models. Even if the reason exists, you must still follow a fair consultation process, apply fair redundancy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procedures</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and consider redeployment opportunities. </w:t>
      </w:r>
    </w:p>
    <w:p w:rsidR="70237766" w:rsidP="70237766" w:rsidRDefault="70237766" w14:paraId="54EE1814" w14:textId="1DB33BF7">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w:rsidR="532B68CA" w:rsidP="70237766" w:rsidRDefault="532B68CA" w14:paraId="3E9FBF07" w14:textId="1B2506BA">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Should you need to TUPE, I recommend identifying who transfers, conducting union consultation, managing change fairly and ensuring you minimise legal risk during integration. To operate a successful merger, workforce due diligence and transparent communication to employees remain critical.</w:t>
      </w:r>
    </w:p>
    <w:p w:rsidR="70237766" w:rsidP="70237766" w:rsidRDefault="70237766" w14:paraId="318DD1A5" w14:textId="0F9C5911">
      <w:pPr>
        <w:pStyle w:val="Normal"/>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w:rsidR="532B68CA" w:rsidP="70237766" w:rsidRDefault="532B68CA" w14:paraId="3BCAE9D1" w14:textId="02D2AD4E">
      <w:pPr>
        <w:pStyle w:val="Normal"/>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AC4.1</w:t>
      </w:r>
    </w:p>
    <w:p w:rsidR="532B68CA" w:rsidP="70237766" w:rsidRDefault="532B68CA" w14:paraId="4531A725" w14:textId="676D9EFA">
      <w:pPr>
        <w:spacing w:before="240" w:beforeAutospacing="off" w:after="240" w:afterAutospacing="off"/>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Under UK employment law, all workers, including casual and bank staff, are entitled to statutory paid annual leave under the Working Time Regulations 1998. The statutory minimum is 5.6 weeks per year, pro-rated, regardless of working pattern and including bank holidays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(Morris, 2026).</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This ensures workers are not financially disadvantaged when taking annual leave.</w:t>
      </w:r>
    </w:p>
    <w:p w:rsidR="532B68CA" w:rsidP="70237766" w:rsidRDefault="532B68CA" w14:paraId="2A13E1C3" w14:textId="7378DF9B">
      <w:pPr>
        <w:spacing w:before="0" w:beforeAutospacing="off" w:after="0" w:afterAutospacing="off"/>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Employees are entitled to ‘normal remuneration’ during statutory annual leave, meaning holiday pay must include regular overtime, shift allowances and other consistently paid earnings. In Flowers V East of England Ambulance Trust (2019), the Court of Appeal confirmed that regularly worked voluntary overtime must be included in holiday pay calculations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(Makoff-Clark, 2019).</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This prevents financial disincentives to take annual leave, with pay calculated using a 52-week average. </w:t>
      </w:r>
    </w:p>
    <w:p w:rsidR="70237766" w:rsidP="70237766" w:rsidRDefault="70237766" w14:paraId="31DB82C3" w14:textId="3E43A1E2">
      <w:pPr>
        <w:spacing w:before="0" w:beforeAutospacing="off" w:after="0" w:afterAutospacing="off"/>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w:rsidR="532B68CA" w:rsidP="70237766" w:rsidRDefault="532B68CA" w14:paraId="4E284D94" w14:textId="43B77A5C">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Under Regulation 16A of the Working Time Regulations 1998, for leave years from 1</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vertAlign w:val="superscript"/>
          <w:lang w:val="en-GB"/>
        </w:rPr>
        <w:t>st</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April 2024, employers may use rolled-up holiday pay for irregular workers or part-year workers. This is paid as at least 12.07% of earnings and must be paid at the same time as remuneration for that work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(ACAS,2026c)</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The rolled-up holiday pay must be clearly itemised as a separate payment on the employee's payslip and must not replace the employee’s right to take paid annual leave. </w:t>
      </w:r>
    </w:p>
    <w:p w:rsidR="70237766" w:rsidP="70237766" w:rsidRDefault="70237766" w14:paraId="4AF02C6D" w14:textId="3D87B605">
      <w:pPr>
        <w:spacing w:before="0" w:beforeAutospacing="off" w:after="0" w:afterAutospacing="off"/>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w:rsidR="532B68CA" w:rsidP="70237766" w:rsidRDefault="532B68CA" w14:paraId="5150C556" w14:textId="0B9846B4">
      <w:pPr>
        <w:spacing w:before="0" w:beforeAutospacing="off" w:after="0" w:afterAutospacing="off"/>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Holiday entitlement for bank staff on a casual basis must be prorated to actual hours worked rather than contractual hours. Where rolled-up holiday pay is not used, holiday pay should be calculated based on the average pay received over the previous 52 weeks in which the employee worked. As bank nurses primarily work to cover absences, only paid working weeks should be included in this calculation. You</w:t>
      </w:r>
      <w:r w:rsidRPr="70237766" w:rsidR="0892EBCC">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may look back up to 104 weeks to obtain 52 paid weeks. Similarly, where any of the selected weeks include sickness, statutory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leave</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or unpaid absence, you should use an earlier week in its place</w:t>
      </w:r>
      <w:r w:rsidRPr="70237766" w:rsidR="3BC2C085">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(ACAS,2026d)</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If they have not been in employment with us for 52 weeks, the calculation is made using the number of full weeks worked, ensuring pay patterns, shifts premiums and overtime are reflected fairly. </w:t>
      </w:r>
    </w:p>
    <w:p w:rsidR="70237766" w:rsidP="70237766" w:rsidRDefault="70237766" w14:paraId="54A0CFF0" w14:textId="28A6DA81">
      <w:pPr>
        <w:spacing w:before="0" w:beforeAutospacing="off" w:after="0" w:afterAutospacing="off"/>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w:rsidR="532B68CA" w:rsidP="70237766" w:rsidRDefault="532B68CA" w14:paraId="6780396F" w14:textId="7454926F">
      <w:pPr>
        <w:spacing w:before="0" w:beforeAutospacing="off" w:after="0" w:afterAutospacing="off"/>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It is the employer's responsibility to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maintain</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accurate</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records of hours worked and holiday pay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accrued to</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comply with</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Working Time Regulations 1998 and to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demonstrate</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fairness. Failure to calculate or pay holiday pay correctly may result in employment tribunal claims. Best practice includes communicating how holiday pay is calculated and applying a clear and consistent method for casual working staff.</w:t>
      </w:r>
    </w:p>
    <w:p w:rsidR="70237766" w:rsidP="70237766" w:rsidRDefault="70237766" w14:paraId="55898633" w14:textId="0C9C5D34">
      <w:pPr>
        <w:pStyle w:val="Normal"/>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w:rsidR="532B68CA" w:rsidP="70237766" w:rsidRDefault="532B68CA" w14:paraId="4ADFC6E5" w14:textId="5DF3C4E8">
      <w:pPr>
        <w:pStyle w:val="Normal"/>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AC4.2</w:t>
      </w:r>
    </w:p>
    <w:p w:rsidR="532B68CA" w:rsidP="70237766" w:rsidRDefault="532B68CA" w14:paraId="118F6B84" w14:textId="57925BE8">
      <w:pPr>
        <w:spacing w:before="0" w:beforeAutospacing="off" w:after="0" w:afterAutospacing="off"/>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Maternity leave is a statutory entitlement for birth mothers, allowing up to 52 weeks</w:t>
      </w:r>
      <w:r w:rsidRPr="70237766" w:rsidR="44B2D188">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leave, made up of 26 weeks’ Ordinary Maternity Leave (OML) and 26 weeks’ Additional Maternity Leave (AML)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(Daniels, 2022, p. 137</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t>
      </w:r>
      <w:r w:rsidRPr="70237766" w:rsidR="54DEF335">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T</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he mother must take at least 2 weeks of compulsory maternity leave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immediately</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after the birth. Maternity leave is taken as a continuous block, and the mother is the primary person entitled to it. Statutory Maternity Pay (SMP) is payable for up to 39 weeks, subject to eligibility, including 26 weeks’ continuous employment and sufficient earnings. It is paid at 90% of average earnings for the first six weeks, then at the statutory rate for 33 weeks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(CIPD, 2026d)</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w:t>
      </w:r>
    </w:p>
    <w:p w:rsidR="70237766" w:rsidP="70237766" w:rsidRDefault="70237766" w14:paraId="47ECDAC8" w14:textId="18D578DE">
      <w:pPr>
        <w:spacing w:before="0" w:beforeAutospacing="off" w:after="0" w:afterAutospacing="off"/>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w:rsidR="532B68CA" w:rsidP="70237766" w:rsidRDefault="532B68CA" w14:paraId="2F29CC02" w14:textId="01D489F3">
      <w:pPr>
        <w:spacing w:before="0" w:beforeAutospacing="off" w:after="0" w:afterAutospacing="off"/>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The employee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remains</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entitled to most contractual terms and conditions, except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remuneration</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under ERA 1996 and the Maternity and Parental Leave Regulations. Continuous service accrues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during</w:t>
      </w:r>
      <w:r w:rsidRPr="70237766" w:rsidR="02BDC95D">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maternity</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leave. Annual leave also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accrues</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and can usually be taken before or after maternity leave, subject to employer agreement. </w:t>
      </w:r>
    </w:p>
    <w:p w:rsidR="70237766" w:rsidP="70237766" w:rsidRDefault="70237766" w14:paraId="38844024" w14:textId="165E13FC">
      <w:pPr>
        <w:spacing w:before="0" w:beforeAutospacing="off" w:after="0" w:afterAutospacing="off"/>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w:rsidR="532B68CA" w:rsidP="70237766" w:rsidRDefault="532B68CA" w14:paraId="365857E4" w14:textId="14A2CC76">
      <w:pPr>
        <w:spacing w:before="0" w:beforeAutospacing="off" w:after="0" w:afterAutospacing="off"/>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After OML, or where total leave is less than 26 weeks, the employee has the right to return to the same job on no less favourable terms. If AML is taken, or leave exceeds 26 weeks, and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it’s</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not reasonably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practicable</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for the employee to return to the same role, the employer must offer a suitable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alternative</w:t>
      </w:r>
      <w:r w:rsidRPr="70237766" w:rsidR="2BA50C01">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job</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on no less favourable terms.</w:t>
      </w:r>
    </w:p>
    <w:p w:rsidR="70237766" w:rsidP="70237766" w:rsidRDefault="70237766" w14:paraId="2A4E5ADC" w14:textId="20D433CB">
      <w:pPr>
        <w:spacing w:before="0" w:beforeAutospacing="off" w:after="0" w:afterAutospacing="off"/>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w:rsidR="532B68CA" w:rsidP="70237766" w:rsidRDefault="532B68CA" w14:paraId="05912B72" w14:textId="575BC386">
      <w:pPr>
        <w:spacing w:before="0" w:beforeAutospacing="off" w:after="0" w:afterAutospacing="off"/>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In contrast, Shared Parental Leave (SPL) is designed to give parents flexibility in how they share childcare responsibility within the child’s first year. Unlike maternity leave, which is only available to the birth mother, SPL allows parents to share up to 50 weeks of leave </w:t>
      </w:r>
      <w:r w:rsidRPr="70237766" w:rsidR="40DB699E">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and up to 37 weeks of statutory shared parental pay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after the birth mother’s compulsory 2 weeks’ maternity leave straight after the birth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(ACAS, 2026e)</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SPL can be taken concurrently, alternately or in blocks, allowing parents greater flexibility with childcare and work responsibilities. </w:t>
      </w:r>
    </w:p>
    <w:p w:rsidR="70237766" w:rsidP="70237766" w:rsidRDefault="70237766" w14:paraId="5711CFA7" w14:textId="0D17C59A">
      <w:pPr>
        <w:spacing w:before="0" w:beforeAutospacing="off" w:after="0" w:afterAutospacing="off"/>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w:rsidR="532B68CA" w:rsidP="70237766" w:rsidRDefault="532B68CA" w14:paraId="41B03E27" w14:textId="4B29D186">
      <w:pPr>
        <w:spacing w:before="0" w:beforeAutospacing="off" w:after="0" w:afterAutospacing="off"/>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However, SPL is more complex to access than maternity leave, as both parents must meet employment status, continuity of employment and earning threshold eligibility</w:t>
      </w:r>
      <w:r w:rsidRPr="70237766" w:rsidR="372F0D54">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requirements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(CIPD,2026e)</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The mother must also curtail her maternity leave early for SPL to be taken.</w:t>
      </w:r>
    </w:p>
    <w:p w:rsidR="70237766" w:rsidP="70237766" w:rsidRDefault="70237766" w14:paraId="2156CC25" w14:textId="735356EC">
      <w:pPr>
        <w:spacing w:before="0" w:beforeAutospacing="off" w:after="0" w:afterAutospacing="off"/>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US"/>
        </w:rPr>
      </w:pPr>
    </w:p>
    <w:p w:rsidR="532B68CA" w:rsidP="70237766" w:rsidRDefault="532B68CA" w14:paraId="381A5271" w14:textId="401C74F2">
      <w:pPr>
        <w:pStyle w:val="Normal"/>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Overall, maternity leave offers the birth mother a longer period of continuous leave, whereas SPL provides greater flexibility for parents who wish to share childcare responsibilities. Therefore, maternity leave may be more suitable where the mother wishes to remain the primary carer during the first year, while SPL may be more beneficial where both parents wish to balance childcare and work commitments equally. Ultimately, the decision rests with the parents, allowing them to choose the option that best suits their circumstances and home life.</w:t>
      </w:r>
    </w:p>
    <w:p w:rsidR="532B68CA" w:rsidP="70237766" w:rsidRDefault="532B68CA" w14:paraId="48DBCEA9" w14:textId="1503AA53">
      <w:pPr>
        <w:pStyle w:val="Normal"/>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AC4.3</w:t>
      </w:r>
    </w:p>
    <w:p w:rsidR="532B68CA" w:rsidP="70237766" w:rsidRDefault="532B68CA" w14:paraId="3E86CA62" w14:textId="4F411382">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I understand your concerns about maintaining service quality and setting a precedent; however, we must ensure we respond in line with current employment law. Since April 2024, the Employment Relations (Flexible Working) Act 2023 and the Flexible Working (Amendment) Regulations 2023 have given employees a day-one statutory right to request flexible working, including changes to working hours, working times and place of work, such as home or hybrid working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(Daniels, 2024, p. 71)</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Employees may make up to two statutory requests in any 12-month period.</w:t>
      </w:r>
    </w:p>
    <w:p w:rsidR="70237766" w:rsidP="70237766" w:rsidRDefault="70237766" w14:paraId="7C7EE0A2" w14:textId="4CA79C7A">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w:rsidR="532B68CA" w:rsidP="70237766" w:rsidRDefault="532B68CA" w14:paraId="6CB46AF6" w14:textId="305F028D">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Employers must handle requests in a reasonable manner. They must not automatically refuse a request. We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are required to</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consult with the employee, consider the request carefully and decide within 2 months, including time for an appeal. Under the Equality Act 2010, employers must avoid discrimination related to protected characteristics, including age, sex,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disability</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and </w:t>
      </w:r>
      <w:r w:rsidRPr="70237766" w:rsidR="2AA63F1D">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race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(ACAS, 2024e)</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Failure to follow a fair and reasonable process can expose a potential tribunal claim. </w:t>
      </w:r>
    </w:p>
    <w:p w:rsidR="70237766" w:rsidP="70237766" w:rsidRDefault="70237766" w14:paraId="0B8AD3AF" w14:textId="4EBF6755">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w:rsidR="532B68CA" w:rsidP="70237766" w:rsidRDefault="532B68CA" w14:paraId="31AA4C05" w14:textId="3C5B4DAD">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You are not obliged to approve the request; however, you must only refuse it if it falls under the eight statutory business reasons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(Hardcastle, 2024).</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These include a detrimental impact on quality or performance, inability to reorganise work among existing staff and detrimental impact on patient care or service demand. In this case, concerns about service quality are legitimate as administrative roles often support time-critical processes. However, it is not reasonable to decline this request for fear that others may make similar requests. Refusal must be based on the specific role and evidence. Each request must be assessed individually and on its own merits. </w:t>
      </w:r>
    </w:p>
    <w:p w:rsidR="70237766" w:rsidP="70237766" w:rsidRDefault="70237766" w14:paraId="2A63787D" w14:textId="1B375528">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w:rsidR="532B68CA" w:rsidP="70237766" w:rsidRDefault="532B68CA" w14:paraId="3AA52E7B" w14:textId="15084B89">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I recommend following the ACAS Code of Practice, which suggests inviting the employee to a consultation meeting at a time convenient to both parties, discuss</w:t>
      </w:r>
      <w:r w:rsidRPr="70237766" w:rsidR="5D87B6A5">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ing</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the request reasonably and considering the request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(CIPD, 2025c).</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This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demonstrates</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that the request is being considered fairly. From this, you must assess whether you could accommodate hybrid working without </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impacting</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service</w:t>
      </w: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 xml:space="preserve"> delivery. You should also consider alternatives if this request cannot be met, such as a trial period. </w:t>
      </w:r>
    </w:p>
    <w:p w:rsidR="70237766" w:rsidP="70237766" w:rsidRDefault="70237766" w14:paraId="4F04C8EA" w14:textId="2F7DE38F">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w:rsidR="532B68CA" w:rsidP="70237766" w:rsidRDefault="532B68CA" w14:paraId="1833A687" w14:textId="70FC2B66">
      <w:pPr>
        <w:spacing w:before="0" w:beforeAutospacing="off" w:after="0" w:afterAutospacing="off" w:line="279" w:lineRule="auto"/>
        <w:ind w:left="0" w:right="0"/>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r w:rsidRPr="70237766" w:rsidR="532B68CA">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t>Whilst you are not obliged to accept this flexible working request, you must follow a fair and legally compliant process. You must justify refusal on the grounds of business rather than concerns about setting a precedent.</w:t>
      </w:r>
    </w:p>
    <w:p w:rsidR="70237766" w:rsidP="70237766" w:rsidRDefault="70237766" w14:paraId="0EACF32F" w14:textId="5158F945">
      <w:pPr>
        <w:pStyle w:val="Normal"/>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w:rsidR="70237766" w:rsidP="70237766" w:rsidRDefault="70237766" w14:paraId="045E98D4" w14:textId="2E7334C9">
      <w:pPr>
        <w:pStyle w:val="Normal"/>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w:rsidR="70237766" w:rsidP="70237766" w:rsidRDefault="70237766" w14:paraId="3A72FC0B" w14:textId="421A14DE">
      <w:pPr>
        <w:pStyle w:val="Normal"/>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p w:rsidR="5945C884" w:rsidP="70237766" w:rsidRDefault="5945C884" w14:paraId="0E0EEEA9" w14:textId="0A0C9B03">
      <w:pPr>
        <w:pStyle w:val="Normal"/>
        <w:jc w:val="left"/>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24"/>
          <w:szCs w:val="24"/>
          <w:lang w:val="en-GB"/>
        </w:rPr>
      </w:pPr>
      <w:r w:rsidRPr="70237766" w:rsidR="5945C884">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24"/>
          <w:szCs w:val="24"/>
          <w:lang w:val="en-GB"/>
        </w:rPr>
        <w:t xml:space="preserve">Bibliography </w:t>
      </w:r>
    </w:p>
    <w:p w:rsidR="5945C884" w:rsidP="70237766" w:rsidRDefault="5945C884" w14:paraId="2DCA0201" w14:textId="6755BC05">
      <w:pPr>
        <w:spacing w:before="0" w:beforeAutospacing="off" w:after="160" w:afterAutospacing="off" w:line="276" w:lineRule="auto"/>
        <w:jc w:val="left"/>
      </w:pPr>
      <w:r w:rsidRPr="70237766" w:rsidR="5945C884">
        <w:rPr>
          <w:rFonts w:ascii="Aptos" w:hAnsi="Aptos" w:eastAsia="Aptos" w:cs="Aptos"/>
          <w:noProof w:val="0"/>
          <w:sz w:val="24"/>
          <w:szCs w:val="24"/>
          <w:lang w:val="en-GB"/>
        </w:rPr>
        <w:t>ACAS (2024a)</w:t>
      </w:r>
      <w:r w:rsidRPr="70237766" w:rsidR="5945C884">
        <w:rPr>
          <w:rFonts w:ascii="Aptos" w:hAnsi="Aptos" w:eastAsia="Aptos" w:cs="Aptos"/>
          <w:i w:val="1"/>
          <w:iCs w:val="1"/>
          <w:noProof w:val="0"/>
          <w:sz w:val="24"/>
          <w:szCs w:val="24"/>
          <w:lang w:val="en-GB"/>
        </w:rPr>
        <w:t xml:space="preserve"> Following discrimination law</w:t>
      </w:r>
      <w:r w:rsidRPr="70237766" w:rsidR="5945C884">
        <w:rPr>
          <w:rFonts w:ascii="Aptos" w:hAnsi="Aptos" w:eastAsia="Aptos" w:cs="Aptos"/>
          <w:noProof w:val="0"/>
          <w:sz w:val="24"/>
          <w:szCs w:val="24"/>
          <w:lang w:val="en-GB"/>
        </w:rPr>
        <w:t xml:space="preserve">. Available at: </w:t>
      </w:r>
      <w:r w:rsidRPr="70237766" w:rsidR="5945C884">
        <w:rPr>
          <w:noProof w:val="0"/>
          <w:lang w:val="en-GB"/>
        </w:rPr>
        <w:t>https://www.acas.org.uk/recruitment/follow-discrimination-law</w:t>
      </w:r>
      <w:r w:rsidRPr="70237766" w:rsidR="5945C884">
        <w:rPr>
          <w:rFonts w:ascii="Aptos" w:hAnsi="Aptos" w:eastAsia="Aptos" w:cs="Aptos"/>
          <w:noProof w:val="0"/>
          <w:sz w:val="24"/>
          <w:szCs w:val="24"/>
          <w:lang w:val="en-GB"/>
        </w:rPr>
        <w:t xml:space="preserve"> (Accessed: 6 April 2026). </w:t>
      </w:r>
      <w:r w:rsidRPr="70237766" w:rsidR="5945C884">
        <w:rPr>
          <w:rFonts w:ascii="Aptos" w:hAnsi="Aptos" w:eastAsia="Aptos" w:cs="Aptos"/>
          <w:noProof w:val="0"/>
          <w:sz w:val="24"/>
          <w:szCs w:val="24"/>
          <w:lang w:val="en-US"/>
        </w:rPr>
        <w:t xml:space="preserve"> </w:t>
      </w:r>
    </w:p>
    <w:p w:rsidR="5945C884" w:rsidP="70237766" w:rsidRDefault="5945C884" w14:paraId="2D7802AD" w14:textId="1DF5CFFB">
      <w:pPr>
        <w:spacing w:before="0" w:beforeAutospacing="off" w:after="160" w:afterAutospacing="off" w:line="276" w:lineRule="auto"/>
        <w:jc w:val="left"/>
      </w:pPr>
      <w:r w:rsidRPr="70237766" w:rsidR="5945C884">
        <w:rPr>
          <w:rFonts w:ascii="Aptos" w:hAnsi="Aptos" w:eastAsia="Aptos" w:cs="Aptos"/>
          <w:noProof w:val="0"/>
          <w:sz w:val="24"/>
          <w:szCs w:val="24"/>
          <w:lang w:val="en-GB"/>
        </w:rPr>
        <w:t xml:space="preserve">ACAS (2024b) </w:t>
      </w:r>
      <w:r w:rsidRPr="70237766" w:rsidR="5945C884">
        <w:rPr>
          <w:rFonts w:ascii="Aptos" w:hAnsi="Aptos" w:eastAsia="Aptos" w:cs="Aptos"/>
          <w:i w:val="1"/>
          <w:iCs w:val="1"/>
          <w:noProof w:val="0"/>
          <w:sz w:val="24"/>
          <w:szCs w:val="24"/>
          <w:lang w:val="en-GB"/>
        </w:rPr>
        <w:t>Types of sex discrimination.</w:t>
      </w:r>
      <w:r w:rsidRPr="70237766" w:rsidR="5945C884">
        <w:rPr>
          <w:rFonts w:ascii="Aptos" w:hAnsi="Aptos" w:eastAsia="Aptos" w:cs="Aptos"/>
          <w:noProof w:val="0"/>
          <w:sz w:val="24"/>
          <w:szCs w:val="24"/>
          <w:lang w:val="en-GB"/>
        </w:rPr>
        <w:t xml:space="preserve"> Available at: </w:t>
      </w:r>
      <w:r w:rsidRPr="70237766" w:rsidR="5945C884">
        <w:rPr>
          <w:noProof w:val="0"/>
          <w:lang w:val="en-GB"/>
        </w:rPr>
        <w:t>https://www.acas.org.uk/sex-discrimination/types-of-sex-discrimination</w:t>
      </w:r>
      <w:r w:rsidRPr="70237766" w:rsidR="5945C884">
        <w:rPr>
          <w:rFonts w:ascii="Aptos" w:hAnsi="Aptos" w:eastAsia="Aptos" w:cs="Aptos"/>
          <w:noProof w:val="0"/>
          <w:sz w:val="24"/>
          <w:szCs w:val="24"/>
          <w:lang w:val="en-GB"/>
        </w:rPr>
        <w:t xml:space="preserve"> (Accessed: 31 May 2026).</w:t>
      </w:r>
      <w:r w:rsidRPr="70237766" w:rsidR="5945C884">
        <w:rPr>
          <w:rFonts w:ascii="Aptos" w:hAnsi="Aptos" w:eastAsia="Aptos" w:cs="Aptos"/>
          <w:noProof w:val="0"/>
          <w:sz w:val="24"/>
          <w:szCs w:val="24"/>
          <w:lang w:val="en-US"/>
        </w:rPr>
        <w:t xml:space="preserve"> </w:t>
      </w:r>
    </w:p>
    <w:p w:rsidR="5945C884" w:rsidP="70237766" w:rsidRDefault="5945C884" w14:paraId="236A945F" w14:textId="65EDBE4D">
      <w:pPr>
        <w:spacing w:before="0" w:beforeAutospacing="off" w:after="160" w:afterAutospacing="off" w:line="276" w:lineRule="auto"/>
        <w:jc w:val="left"/>
      </w:pPr>
      <w:r w:rsidRPr="70237766" w:rsidR="5945C884">
        <w:rPr>
          <w:rFonts w:ascii="Aptos" w:hAnsi="Aptos" w:eastAsia="Aptos" w:cs="Aptos"/>
          <w:noProof w:val="0"/>
          <w:sz w:val="24"/>
          <w:szCs w:val="24"/>
          <w:lang w:val="en-GB"/>
        </w:rPr>
        <w:t xml:space="preserve">ACAS (2024c) </w:t>
      </w:r>
      <w:r w:rsidRPr="70237766" w:rsidR="5945C884">
        <w:rPr>
          <w:rFonts w:ascii="Aptos" w:hAnsi="Aptos" w:eastAsia="Aptos" w:cs="Aptos"/>
          <w:i w:val="1"/>
          <w:iCs w:val="1"/>
          <w:noProof w:val="0"/>
          <w:sz w:val="24"/>
          <w:szCs w:val="24"/>
          <w:lang w:val="en-GB"/>
        </w:rPr>
        <w:t xml:space="preserve">Using protected characteristics. </w:t>
      </w:r>
      <w:r w:rsidRPr="70237766" w:rsidR="5945C884">
        <w:rPr>
          <w:rFonts w:ascii="Aptos" w:hAnsi="Aptos" w:eastAsia="Aptos" w:cs="Aptos"/>
          <w:noProof w:val="0"/>
          <w:sz w:val="24"/>
          <w:szCs w:val="24"/>
          <w:lang w:val="en-GB"/>
        </w:rPr>
        <w:t xml:space="preserve">Available at: </w:t>
      </w:r>
      <w:r w:rsidRPr="70237766" w:rsidR="5945C884">
        <w:rPr>
          <w:noProof w:val="0"/>
          <w:lang w:val="en-GB"/>
        </w:rPr>
        <w:t>https://www.acas.org.uk/recruitment/using-protected-characteristics</w:t>
      </w:r>
      <w:r w:rsidRPr="70237766" w:rsidR="5945C884">
        <w:rPr>
          <w:rFonts w:ascii="Aptos" w:hAnsi="Aptos" w:eastAsia="Aptos" w:cs="Aptos"/>
          <w:noProof w:val="0"/>
          <w:sz w:val="24"/>
          <w:szCs w:val="24"/>
          <w:lang w:val="en-GB"/>
        </w:rPr>
        <w:t xml:space="preserve"> (Accessed: 31 May 2026).</w:t>
      </w:r>
      <w:r w:rsidRPr="70237766" w:rsidR="5945C884">
        <w:rPr>
          <w:rFonts w:ascii="Aptos" w:hAnsi="Aptos" w:eastAsia="Aptos" w:cs="Aptos"/>
          <w:noProof w:val="0"/>
          <w:sz w:val="24"/>
          <w:szCs w:val="24"/>
          <w:lang w:val="en-US"/>
        </w:rPr>
        <w:t xml:space="preserve"> </w:t>
      </w:r>
    </w:p>
    <w:p w:rsidR="5945C884" w:rsidP="70237766" w:rsidRDefault="5945C884" w14:paraId="0F06E077" w14:textId="29875816">
      <w:pPr>
        <w:spacing w:before="0" w:beforeAutospacing="off" w:after="160" w:afterAutospacing="off" w:line="276" w:lineRule="auto"/>
        <w:jc w:val="left"/>
      </w:pPr>
      <w:r w:rsidRPr="70237766" w:rsidR="5945C884">
        <w:rPr>
          <w:rFonts w:ascii="Aptos" w:hAnsi="Aptos" w:eastAsia="Aptos" w:cs="Aptos"/>
          <w:noProof w:val="0"/>
          <w:sz w:val="24"/>
          <w:szCs w:val="24"/>
          <w:lang w:val="en-US"/>
        </w:rPr>
        <w:t xml:space="preserve">ACAS (2024d) </w:t>
      </w:r>
      <w:r w:rsidRPr="70237766" w:rsidR="5945C884">
        <w:rPr>
          <w:rFonts w:ascii="Aptos" w:hAnsi="Aptos" w:eastAsia="Aptos" w:cs="Aptos"/>
          <w:i w:val="1"/>
          <w:iCs w:val="1"/>
          <w:noProof w:val="0"/>
          <w:sz w:val="24"/>
          <w:szCs w:val="24"/>
          <w:lang w:val="en-US"/>
        </w:rPr>
        <w:t>Equal pay and the law.</w:t>
      </w:r>
      <w:r w:rsidRPr="70237766" w:rsidR="5945C884">
        <w:rPr>
          <w:rFonts w:ascii="Aptos" w:hAnsi="Aptos" w:eastAsia="Aptos" w:cs="Aptos"/>
          <w:noProof w:val="0"/>
          <w:sz w:val="24"/>
          <w:szCs w:val="24"/>
          <w:lang w:val="en-US"/>
        </w:rPr>
        <w:t xml:space="preserve"> Available at: </w:t>
      </w:r>
      <w:r w:rsidRPr="70237766" w:rsidR="5945C884">
        <w:rPr>
          <w:noProof w:val="0"/>
          <w:lang w:val="en-US"/>
        </w:rPr>
        <w:t>https://www.acas.org.uk/equal-pay/equal-pay-law</w:t>
      </w:r>
      <w:r w:rsidRPr="70237766" w:rsidR="5945C884">
        <w:rPr>
          <w:rFonts w:ascii="Aptos" w:hAnsi="Aptos" w:eastAsia="Aptos" w:cs="Aptos"/>
          <w:noProof w:val="0"/>
          <w:sz w:val="24"/>
          <w:szCs w:val="24"/>
          <w:lang w:val="en-US"/>
        </w:rPr>
        <w:t xml:space="preserve"> (Accessed: 18 April 2026). </w:t>
      </w:r>
    </w:p>
    <w:p w:rsidR="5945C884" w:rsidP="70237766" w:rsidRDefault="5945C884" w14:paraId="6136AEF4" w14:textId="291D38A1">
      <w:pPr>
        <w:spacing w:before="0" w:beforeAutospacing="off" w:after="160" w:afterAutospacing="off" w:line="276" w:lineRule="auto"/>
        <w:jc w:val="left"/>
      </w:pPr>
      <w:r w:rsidRPr="70237766" w:rsidR="5945C884">
        <w:rPr>
          <w:rFonts w:ascii="Aptos" w:hAnsi="Aptos" w:eastAsia="Aptos" w:cs="Aptos"/>
          <w:noProof w:val="0"/>
          <w:sz w:val="24"/>
          <w:szCs w:val="24"/>
          <w:lang w:val="en-GB"/>
        </w:rPr>
        <w:t xml:space="preserve">ACAS (2024e) </w:t>
      </w:r>
      <w:r w:rsidRPr="70237766" w:rsidR="5945C884">
        <w:rPr>
          <w:rFonts w:ascii="Aptos" w:hAnsi="Aptos" w:eastAsia="Aptos" w:cs="Aptos"/>
          <w:i w:val="1"/>
          <w:iCs w:val="1"/>
          <w:noProof w:val="0"/>
          <w:sz w:val="24"/>
          <w:szCs w:val="24"/>
          <w:lang w:val="en-GB"/>
        </w:rPr>
        <w:t>ACAS Code of Practice on flexible working requests</w:t>
      </w:r>
      <w:r w:rsidRPr="70237766" w:rsidR="5945C884">
        <w:rPr>
          <w:rFonts w:ascii="Aptos" w:hAnsi="Aptos" w:eastAsia="Aptos" w:cs="Aptos"/>
          <w:noProof w:val="0"/>
          <w:sz w:val="24"/>
          <w:szCs w:val="24"/>
          <w:lang w:val="en-GB"/>
        </w:rPr>
        <w:t xml:space="preserve">. Available at: </w:t>
      </w:r>
      <w:r w:rsidRPr="70237766" w:rsidR="5945C884">
        <w:rPr>
          <w:noProof w:val="0"/>
          <w:lang w:val="en-GB"/>
        </w:rPr>
        <w:t>https://www.acas.org.uk/acas-code-of-practice-on-flexible-working-requests/html</w:t>
      </w:r>
      <w:r w:rsidRPr="70237766" w:rsidR="5945C884">
        <w:rPr>
          <w:rFonts w:ascii="Aptos" w:hAnsi="Aptos" w:eastAsia="Aptos" w:cs="Aptos"/>
          <w:noProof w:val="0"/>
          <w:sz w:val="24"/>
          <w:szCs w:val="24"/>
          <w:lang w:val="en-GB"/>
        </w:rPr>
        <w:t xml:space="preserve"> (Accessed: 17 May 2026).</w:t>
      </w:r>
      <w:r w:rsidRPr="70237766" w:rsidR="5945C884">
        <w:rPr>
          <w:rFonts w:ascii="Aptos" w:hAnsi="Aptos" w:eastAsia="Aptos" w:cs="Aptos"/>
          <w:noProof w:val="0"/>
          <w:sz w:val="24"/>
          <w:szCs w:val="24"/>
          <w:lang w:val="en-US"/>
        </w:rPr>
        <w:t xml:space="preserve"> </w:t>
      </w:r>
    </w:p>
    <w:p w:rsidR="5945C884" w:rsidP="70237766" w:rsidRDefault="5945C884" w14:paraId="5ECD3D92" w14:textId="1FFA4621">
      <w:pPr>
        <w:spacing w:before="0" w:beforeAutospacing="off" w:after="160" w:afterAutospacing="off" w:line="276" w:lineRule="auto"/>
        <w:jc w:val="left"/>
      </w:pPr>
      <w:r w:rsidRPr="70237766" w:rsidR="5945C884">
        <w:rPr>
          <w:rFonts w:ascii="Aptos" w:hAnsi="Aptos" w:eastAsia="Aptos" w:cs="Aptos"/>
          <w:noProof w:val="0"/>
          <w:sz w:val="24"/>
          <w:szCs w:val="24"/>
          <w:lang w:val="en-GB"/>
        </w:rPr>
        <w:t xml:space="preserve">ACAS (2025a) </w:t>
      </w:r>
      <w:r w:rsidRPr="70237766" w:rsidR="5945C884">
        <w:rPr>
          <w:rFonts w:ascii="Aptos" w:hAnsi="Aptos" w:eastAsia="Aptos" w:cs="Aptos"/>
          <w:i w:val="1"/>
          <w:iCs w:val="1"/>
          <w:noProof w:val="0"/>
          <w:sz w:val="24"/>
          <w:szCs w:val="24"/>
          <w:lang w:val="en-GB"/>
        </w:rPr>
        <w:t>Discrimination and the Equality Act 2010.</w:t>
      </w:r>
      <w:r w:rsidRPr="70237766" w:rsidR="5945C884">
        <w:rPr>
          <w:rFonts w:ascii="Aptos" w:hAnsi="Aptos" w:eastAsia="Aptos" w:cs="Aptos"/>
          <w:noProof w:val="0"/>
          <w:sz w:val="24"/>
          <w:szCs w:val="24"/>
          <w:lang w:val="en-GB"/>
        </w:rPr>
        <w:t xml:space="preserve"> Available at: </w:t>
      </w:r>
      <w:r w:rsidRPr="70237766" w:rsidR="5945C884">
        <w:rPr>
          <w:noProof w:val="0"/>
          <w:lang w:val="en-GB"/>
        </w:rPr>
        <w:t>https://www.acas.org.uk/discrimination-and-the-law</w:t>
      </w:r>
      <w:r w:rsidRPr="70237766" w:rsidR="5945C884">
        <w:rPr>
          <w:rFonts w:ascii="Aptos" w:hAnsi="Aptos" w:eastAsia="Aptos" w:cs="Aptos"/>
          <w:noProof w:val="0"/>
          <w:sz w:val="24"/>
          <w:szCs w:val="24"/>
          <w:lang w:val="en-GB"/>
        </w:rPr>
        <w:t xml:space="preserve"> (Accessed: 29 April 2026).</w:t>
      </w:r>
      <w:r w:rsidRPr="70237766" w:rsidR="5945C884">
        <w:rPr>
          <w:rFonts w:ascii="Aptos" w:hAnsi="Aptos" w:eastAsia="Aptos" w:cs="Aptos"/>
          <w:noProof w:val="0"/>
          <w:sz w:val="24"/>
          <w:szCs w:val="24"/>
          <w:lang w:val="en-US"/>
        </w:rPr>
        <w:t xml:space="preserve"> </w:t>
      </w:r>
    </w:p>
    <w:p w:rsidR="5945C884" w:rsidP="70237766" w:rsidRDefault="5945C884" w14:paraId="093E76F1" w14:textId="369091A5">
      <w:pPr>
        <w:spacing w:before="0" w:beforeAutospacing="off" w:after="160" w:afterAutospacing="off" w:line="276" w:lineRule="auto"/>
        <w:jc w:val="left"/>
      </w:pPr>
      <w:r w:rsidRPr="70237766" w:rsidR="5945C884">
        <w:rPr>
          <w:rFonts w:ascii="Aptos" w:hAnsi="Aptos" w:eastAsia="Aptos" w:cs="Aptos"/>
          <w:noProof w:val="0"/>
          <w:sz w:val="24"/>
          <w:szCs w:val="24"/>
          <w:lang w:val="en-GB"/>
        </w:rPr>
        <w:t xml:space="preserve">ACAS (2025b) </w:t>
      </w:r>
      <w:r w:rsidRPr="70237766" w:rsidR="5945C884">
        <w:rPr>
          <w:rFonts w:ascii="Aptos" w:hAnsi="Aptos" w:eastAsia="Aptos" w:cs="Aptos"/>
          <w:i w:val="1"/>
          <w:iCs w:val="1"/>
          <w:noProof w:val="0"/>
          <w:sz w:val="24"/>
          <w:szCs w:val="24"/>
          <w:lang w:val="en-GB"/>
        </w:rPr>
        <w:t xml:space="preserve">Changes to your contract. Available at: </w:t>
      </w:r>
      <w:r w:rsidRPr="70237766" w:rsidR="5945C884">
        <w:rPr>
          <w:noProof w:val="0"/>
          <w:lang w:val="en-GB"/>
        </w:rPr>
        <w:t>https://www.acas.org.uk/changing-an-employment-contract/advice-for-employees</w:t>
      </w:r>
      <w:r w:rsidRPr="70237766" w:rsidR="5945C884">
        <w:rPr>
          <w:rFonts w:ascii="Aptos" w:hAnsi="Aptos" w:eastAsia="Aptos" w:cs="Aptos"/>
          <w:noProof w:val="0"/>
          <w:sz w:val="24"/>
          <w:szCs w:val="24"/>
          <w:lang w:val="en-GB"/>
        </w:rPr>
        <w:t xml:space="preserve"> (Accessed: 30 May 2026).</w:t>
      </w:r>
      <w:r w:rsidRPr="70237766" w:rsidR="5945C884">
        <w:rPr>
          <w:rFonts w:ascii="Aptos" w:hAnsi="Aptos" w:eastAsia="Aptos" w:cs="Aptos"/>
          <w:noProof w:val="0"/>
          <w:sz w:val="24"/>
          <w:szCs w:val="24"/>
          <w:lang w:val="en-US"/>
        </w:rPr>
        <w:t xml:space="preserve"> </w:t>
      </w:r>
    </w:p>
    <w:p w:rsidR="5945C884" w:rsidP="70237766" w:rsidRDefault="5945C884" w14:paraId="52C11CC8" w14:textId="4FA6BD05">
      <w:pPr>
        <w:spacing w:before="0" w:beforeAutospacing="off" w:after="160" w:afterAutospacing="off" w:line="276" w:lineRule="auto"/>
        <w:jc w:val="left"/>
      </w:pPr>
      <w:r w:rsidRPr="70237766" w:rsidR="5945C884">
        <w:rPr>
          <w:rFonts w:ascii="Aptos" w:hAnsi="Aptos" w:eastAsia="Aptos" w:cs="Aptos"/>
          <w:noProof w:val="0"/>
          <w:sz w:val="24"/>
          <w:szCs w:val="24"/>
          <w:lang w:val="en-GB"/>
        </w:rPr>
        <w:t xml:space="preserve">ACAS (2025c) </w:t>
      </w:r>
      <w:r w:rsidRPr="70237766" w:rsidR="5945C884">
        <w:rPr>
          <w:rFonts w:ascii="Aptos" w:hAnsi="Aptos" w:eastAsia="Aptos" w:cs="Aptos"/>
          <w:i w:val="1"/>
          <w:iCs w:val="1"/>
          <w:noProof w:val="0"/>
          <w:sz w:val="24"/>
          <w:szCs w:val="24"/>
          <w:lang w:val="en-GB"/>
        </w:rPr>
        <w:t>Employment tribunal time limits</w:t>
      </w:r>
      <w:r w:rsidRPr="70237766" w:rsidR="5945C884">
        <w:rPr>
          <w:rFonts w:ascii="Aptos" w:hAnsi="Aptos" w:eastAsia="Aptos" w:cs="Aptos"/>
          <w:noProof w:val="0"/>
          <w:sz w:val="24"/>
          <w:szCs w:val="24"/>
          <w:lang w:val="en-GB"/>
        </w:rPr>
        <w:t xml:space="preserve">. Available at: </w:t>
      </w:r>
      <w:r w:rsidRPr="70237766" w:rsidR="5945C884">
        <w:rPr>
          <w:noProof w:val="0"/>
          <w:lang w:val="en-GB"/>
        </w:rPr>
        <w:t>https://www.acas.org.uk/employment-tribunal-time-limits</w:t>
      </w:r>
      <w:r w:rsidRPr="70237766" w:rsidR="5945C884">
        <w:rPr>
          <w:rFonts w:ascii="Aptos" w:hAnsi="Aptos" w:eastAsia="Aptos" w:cs="Aptos"/>
          <w:noProof w:val="0"/>
          <w:sz w:val="24"/>
          <w:szCs w:val="24"/>
          <w:lang w:val="en-GB"/>
        </w:rPr>
        <w:t xml:space="preserve"> (Accessed: 18 April 2026).</w:t>
      </w:r>
      <w:r w:rsidRPr="70237766" w:rsidR="5945C884">
        <w:rPr>
          <w:rFonts w:ascii="Aptos" w:hAnsi="Aptos" w:eastAsia="Aptos" w:cs="Aptos"/>
          <w:noProof w:val="0"/>
          <w:sz w:val="24"/>
          <w:szCs w:val="24"/>
          <w:lang w:val="en-US"/>
        </w:rPr>
        <w:t xml:space="preserve"> </w:t>
      </w:r>
    </w:p>
    <w:p w:rsidR="5945C884" w:rsidP="70237766" w:rsidRDefault="5945C884" w14:paraId="6EE4B20D" w14:textId="4D3007DE">
      <w:pPr>
        <w:spacing w:before="0" w:beforeAutospacing="off" w:after="160" w:afterAutospacing="off" w:line="276" w:lineRule="auto"/>
        <w:jc w:val="left"/>
      </w:pPr>
      <w:r w:rsidRPr="70237766" w:rsidR="5945C884">
        <w:rPr>
          <w:rFonts w:ascii="Aptos" w:hAnsi="Aptos" w:eastAsia="Aptos" w:cs="Aptos"/>
          <w:noProof w:val="0"/>
          <w:sz w:val="24"/>
          <w:szCs w:val="24"/>
          <w:lang w:val="en-GB"/>
        </w:rPr>
        <w:t xml:space="preserve">ACAS (2025d) </w:t>
      </w:r>
      <w:r w:rsidRPr="70237766" w:rsidR="5945C884">
        <w:rPr>
          <w:rFonts w:ascii="Aptos" w:hAnsi="Aptos" w:eastAsia="Aptos" w:cs="Aptos"/>
          <w:i w:val="1"/>
          <w:iCs w:val="1"/>
          <w:noProof w:val="0"/>
          <w:sz w:val="24"/>
          <w:szCs w:val="24"/>
          <w:lang w:val="en-GB"/>
        </w:rPr>
        <w:t>TUPE: Informing and consulting staff</w:t>
      </w:r>
      <w:r w:rsidRPr="70237766" w:rsidR="5945C884">
        <w:rPr>
          <w:rFonts w:ascii="Aptos" w:hAnsi="Aptos" w:eastAsia="Aptos" w:cs="Aptos"/>
          <w:noProof w:val="0"/>
          <w:sz w:val="24"/>
          <w:szCs w:val="24"/>
          <w:lang w:val="en-GB"/>
        </w:rPr>
        <w:t xml:space="preserve">. Available at: </w:t>
      </w:r>
      <w:r w:rsidRPr="70237766" w:rsidR="5945C884">
        <w:rPr>
          <w:noProof w:val="0"/>
          <w:lang w:val="en-GB"/>
        </w:rPr>
        <w:t>https://www.acas.org.uk/inform-and-consult-staff-in-a-tupe-transfer</w:t>
      </w:r>
      <w:r w:rsidRPr="70237766" w:rsidR="5945C884">
        <w:rPr>
          <w:rFonts w:ascii="Aptos" w:hAnsi="Aptos" w:eastAsia="Aptos" w:cs="Aptos"/>
          <w:noProof w:val="0"/>
          <w:sz w:val="24"/>
          <w:szCs w:val="24"/>
          <w:lang w:val="en-GB"/>
        </w:rPr>
        <w:t xml:space="preserve"> (Accessed: 30 May 2026). </w:t>
      </w:r>
      <w:r w:rsidRPr="70237766" w:rsidR="5945C884">
        <w:rPr>
          <w:rFonts w:ascii="Aptos" w:hAnsi="Aptos" w:eastAsia="Aptos" w:cs="Aptos"/>
          <w:noProof w:val="0"/>
          <w:sz w:val="24"/>
          <w:szCs w:val="24"/>
          <w:lang w:val="en-US"/>
        </w:rPr>
        <w:t xml:space="preserve"> </w:t>
      </w:r>
    </w:p>
    <w:p w:rsidR="5945C884" w:rsidP="70237766" w:rsidRDefault="5945C884" w14:paraId="35BE94D3" w14:textId="4E5D604A">
      <w:pPr>
        <w:spacing w:before="0" w:beforeAutospacing="off" w:after="160" w:afterAutospacing="off" w:line="276" w:lineRule="auto"/>
        <w:jc w:val="left"/>
      </w:pPr>
      <w:r w:rsidRPr="70237766" w:rsidR="5945C884">
        <w:rPr>
          <w:rFonts w:ascii="Aptos" w:hAnsi="Aptos" w:eastAsia="Aptos" w:cs="Aptos"/>
          <w:noProof w:val="0"/>
          <w:sz w:val="24"/>
          <w:szCs w:val="24"/>
          <w:lang w:val="en-GB"/>
        </w:rPr>
        <w:t xml:space="preserve">ACAS (2026a) </w:t>
      </w:r>
      <w:r w:rsidRPr="70237766" w:rsidR="5945C884">
        <w:rPr>
          <w:rFonts w:ascii="Aptos" w:hAnsi="Aptos" w:eastAsia="Aptos" w:cs="Aptos"/>
          <w:i w:val="1"/>
          <w:iCs w:val="1"/>
          <w:noProof w:val="0"/>
          <w:sz w:val="24"/>
          <w:szCs w:val="24"/>
          <w:lang w:val="en-GB"/>
        </w:rPr>
        <w:t>Constructive dismissal.</w:t>
      </w:r>
      <w:r w:rsidRPr="70237766" w:rsidR="5945C884">
        <w:rPr>
          <w:rFonts w:ascii="Aptos" w:hAnsi="Aptos" w:eastAsia="Aptos" w:cs="Aptos"/>
          <w:noProof w:val="0"/>
          <w:sz w:val="24"/>
          <w:szCs w:val="24"/>
          <w:lang w:val="en-GB"/>
        </w:rPr>
        <w:t xml:space="preserve"> Available at: </w:t>
      </w:r>
      <w:r w:rsidRPr="70237766" w:rsidR="5945C884">
        <w:rPr>
          <w:noProof w:val="0"/>
          <w:lang w:val="en-GB"/>
        </w:rPr>
        <w:t>https://www.acas.org.uk/dismissals/constructive-dismissal</w:t>
      </w:r>
      <w:r w:rsidRPr="70237766" w:rsidR="5945C884">
        <w:rPr>
          <w:rFonts w:ascii="Aptos" w:hAnsi="Aptos" w:eastAsia="Aptos" w:cs="Aptos"/>
          <w:noProof w:val="0"/>
          <w:sz w:val="24"/>
          <w:szCs w:val="24"/>
          <w:lang w:val="en-GB"/>
        </w:rPr>
        <w:t xml:space="preserve"> (Accessed: 18 April 2026).  </w:t>
      </w:r>
      <w:r w:rsidRPr="70237766" w:rsidR="5945C884">
        <w:rPr>
          <w:rFonts w:ascii="Aptos" w:hAnsi="Aptos" w:eastAsia="Aptos" w:cs="Aptos"/>
          <w:noProof w:val="0"/>
          <w:sz w:val="24"/>
          <w:szCs w:val="24"/>
          <w:lang w:val="en-US"/>
        </w:rPr>
        <w:t xml:space="preserve"> </w:t>
      </w:r>
    </w:p>
    <w:p w:rsidR="5945C884" w:rsidP="70237766" w:rsidRDefault="5945C884" w14:paraId="1730B003" w14:textId="6FFBD803">
      <w:pPr>
        <w:spacing w:before="0" w:beforeAutospacing="off" w:after="160" w:afterAutospacing="off" w:line="276" w:lineRule="auto"/>
        <w:jc w:val="left"/>
      </w:pPr>
      <w:r w:rsidRPr="70237766" w:rsidR="5945C884">
        <w:rPr>
          <w:rFonts w:ascii="Aptos" w:hAnsi="Aptos" w:eastAsia="Aptos" w:cs="Aptos"/>
          <w:noProof w:val="0"/>
          <w:sz w:val="24"/>
          <w:szCs w:val="24"/>
          <w:lang w:val="en-GB"/>
        </w:rPr>
        <w:t xml:space="preserve">ACAS (2026b) </w:t>
      </w:r>
      <w:r w:rsidRPr="70237766" w:rsidR="5945C884">
        <w:rPr>
          <w:rFonts w:ascii="Aptos" w:hAnsi="Aptos" w:eastAsia="Aptos" w:cs="Aptos"/>
          <w:i w:val="1"/>
          <w:iCs w:val="1"/>
          <w:noProof w:val="0"/>
          <w:sz w:val="24"/>
          <w:szCs w:val="24"/>
          <w:lang w:val="en-GB"/>
        </w:rPr>
        <w:t>When you must consult</w:t>
      </w:r>
      <w:r w:rsidRPr="70237766" w:rsidR="5945C884">
        <w:rPr>
          <w:rFonts w:ascii="Aptos" w:hAnsi="Aptos" w:eastAsia="Aptos" w:cs="Aptos"/>
          <w:noProof w:val="0"/>
          <w:sz w:val="24"/>
          <w:szCs w:val="24"/>
          <w:lang w:val="en-GB"/>
        </w:rPr>
        <w:t xml:space="preserve">. Available at: </w:t>
      </w:r>
      <w:r w:rsidRPr="70237766" w:rsidR="5945C884">
        <w:rPr>
          <w:noProof w:val="0"/>
          <w:lang w:val="en-GB"/>
        </w:rPr>
        <w:t>https://www.acas.org.uk/collective-consultation-redundancy</w:t>
      </w:r>
      <w:r w:rsidRPr="70237766" w:rsidR="5945C884">
        <w:rPr>
          <w:rFonts w:ascii="Aptos" w:hAnsi="Aptos" w:eastAsia="Aptos" w:cs="Aptos"/>
          <w:noProof w:val="0"/>
          <w:sz w:val="24"/>
          <w:szCs w:val="24"/>
          <w:lang w:val="en-GB"/>
        </w:rPr>
        <w:t xml:space="preserve"> (Accessed: 31 May 2026). </w:t>
      </w:r>
      <w:r w:rsidRPr="70237766" w:rsidR="5945C884">
        <w:rPr>
          <w:rFonts w:ascii="Aptos" w:hAnsi="Aptos" w:eastAsia="Aptos" w:cs="Aptos"/>
          <w:noProof w:val="0"/>
          <w:sz w:val="24"/>
          <w:szCs w:val="24"/>
          <w:lang w:val="en-US"/>
        </w:rPr>
        <w:t xml:space="preserve"> </w:t>
      </w:r>
    </w:p>
    <w:p w:rsidR="5945C884" w:rsidP="70237766" w:rsidRDefault="5945C884" w14:paraId="10EC0C47" w14:textId="332CA959">
      <w:pPr>
        <w:spacing w:before="0" w:beforeAutospacing="off" w:after="160" w:afterAutospacing="off" w:line="276" w:lineRule="auto"/>
        <w:jc w:val="left"/>
      </w:pPr>
      <w:r w:rsidRPr="70237766" w:rsidR="5945C884">
        <w:rPr>
          <w:rFonts w:ascii="Aptos" w:hAnsi="Aptos" w:eastAsia="Aptos" w:cs="Aptos"/>
          <w:noProof w:val="0"/>
          <w:sz w:val="24"/>
          <w:szCs w:val="24"/>
          <w:lang w:val="en-GB"/>
        </w:rPr>
        <w:t>ACAS (2026c) R</w:t>
      </w:r>
      <w:r w:rsidRPr="70237766" w:rsidR="5945C884">
        <w:rPr>
          <w:rFonts w:ascii="Aptos" w:hAnsi="Aptos" w:eastAsia="Aptos" w:cs="Aptos"/>
          <w:i w:val="1"/>
          <w:iCs w:val="1"/>
          <w:noProof w:val="0"/>
          <w:sz w:val="24"/>
          <w:szCs w:val="24"/>
          <w:lang w:val="en-GB"/>
        </w:rPr>
        <w:t>olled-up holiday pay</w:t>
      </w:r>
      <w:r w:rsidRPr="70237766" w:rsidR="5945C884">
        <w:rPr>
          <w:rFonts w:ascii="Aptos" w:hAnsi="Aptos" w:eastAsia="Aptos" w:cs="Aptos"/>
          <w:noProof w:val="0"/>
          <w:sz w:val="24"/>
          <w:szCs w:val="24"/>
          <w:lang w:val="en-GB"/>
        </w:rPr>
        <w:t xml:space="preserve">. Available at: </w:t>
      </w:r>
      <w:r w:rsidRPr="70237766" w:rsidR="5945C884">
        <w:rPr>
          <w:noProof w:val="0"/>
          <w:lang w:val="en-GB"/>
        </w:rPr>
        <w:t>https://www.acas.org.uk/irregular-hours-and-part-year-workers/rolled-up-holiday-pay</w:t>
      </w:r>
      <w:r w:rsidRPr="70237766" w:rsidR="5945C884">
        <w:rPr>
          <w:rFonts w:ascii="Aptos" w:hAnsi="Aptos" w:eastAsia="Aptos" w:cs="Aptos"/>
          <w:noProof w:val="0"/>
          <w:sz w:val="24"/>
          <w:szCs w:val="24"/>
          <w:lang w:val="en-GB"/>
        </w:rPr>
        <w:t xml:space="preserve"> (Accessed: 31 May 2026).</w:t>
      </w:r>
      <w:r w:rsidRPr="70237766" w:rsidR="5945C884">
        <w:rPr>
          <w:rFonts w:ascii="Aptos" w:hAnsi="Aptos" w:eastAsia="Aptos" w:cs="Aptos"/>
          <w:noProof w:val="0"/>
          <w:sz w:val="24"/>
          <w:szCs w:val="24"/>
          <w:lang w:val="en-US"/>
        </w:rPr>
        <w:t xml:space="preserve"> </w:t>
      </w:r>
    </w:p>
    <w:p w:rsidR="5945C884" w:rsidP="70237766" w:rsidRDefault="5945C884" w14:paraId="2DC3706F" w14:textId="3A9BE060">
      <w:pPr>
        <w:spacing w:before="0" w:beforeAutospacing="off" w:after="160" w:afterAutospacing="off" w:line="276" w:lineRule="auto"/>
        <w:jc w:val="left"/>
      </w:pPr>
      <w:r w:rsidRPr="70237766" w:rsidR="5945C884">
        <w:rPr>
          <w:rFonts w:ascii="Aptos" w:hAnsi="Aptos" w:eastAsia="Aptos" w:cs="Aptos"/>
          <w:noProof w:val="0"/>
          <w:sz w:val="24"/>
          <w:szCs w:val="24"/>
          <w:lang w:val="en-GB"/>
        </w:rPr>
        <w:t xml:space="preserve">ACAS (2026d) </w:t>
      </w:r>
      <w:r w:rsidRPr="70237766" w:rsidR="5945C884">
        <w:rPr>
          <w:rFonts w:ascii="Aptos" w:hAnsi="Aptos" w:eastAsia="Aptos" w:cs="Aptos"/>
          <w:i w:val="1"/>
          <w:iCs w:val="1"/>
          <w:noProof w:val="0"/>
          <w:sz w:val="24"/>
          <w:szCs w:val="24"/>
          <w:lang w:val="en-GB"/>
        </w:rPr>
        <w:t>Holiday pay.</w:t>
      </w:r>
      <w:r w:rsidRPr="70237766" w:rsidR="5945C884">
        <w:rPr>
          <w:rFonts w:ascii="Aptos" w:hAnsi="Aptos" w:eastAsia="Aptos" w:cs="Aptos"/>
          <w:noProof w:val="0"/>
          <w:sz w:val="24"/>
          <w:szCs w:val="24"/>
          <w:lang w:val="en-GB"/>
        </w:rPr>
        <w:t xml:space="preserve"> Available at: </w:t>
      </w:r>
      <w:r w:rsidRPr="70237766" w:rsidR="5945C884">
        <w:rPr>
          <w:noProof w:val="0"/>
          <w:lang w:val="en-GB"/>
        </w:rPr>
        <w:t>https://www.acas.org.uk/irregular-hours-and-part-year-workers/calculating-holiday-pay</w:t>
      </w:r>
      <w:r w:rsidRPr="70237766" w:rsidR="5945C884">
        <w:rPr>
          <w:rFonts w:ascii="Aptos" w:hAnsi="Aptos" w:eastAsia="Aptos" w:cs="Aptos"/>
          <w:noProof w:val="0"/>
          <w:sz w:val="24"/>
          <w:szCs w:val="24"/>
          <w:lang w:val="en-GB"/>
        </w:rPr>
        <w:t xml:space="preserve"> (Accessed: 12 April 2026).  </w:t>
      </w:r>
      <w:r w:rsidRPr="70237766" w:rsidR="5945C884">
        <w:rPr>
          <w:rFonts w:ascii="Aptos" w:hAnsi="Aptos" w:eastAsia="Aptos" w:cs="Aptos"/>
          <w:noProof w:val="0"/>
          <w:sz w:val="24"/>
          <w:szCs w:val="24"/>
          <w:lang w:val="en-US"/>
        </w:rPr>
        <w:t xml:space="preserve"> </w:t>
      </w:r>
    </w:p>
    <w:p w:rsidR="5945C884" w:rsidP="70237766" w:rsidRDefault="5945C884" w14:paraId="57E6A0D9" w14:textId="5D3FD667">
      <w:pPr>
        <w:spacing w:before="0" w:beforeAutospacing="off" w:after="160" w:afterAutospacing="off" w:line="276" w:lineRule="auto"/>
        <w:jc w:val="left"/>
      </w:pPr>
      <w:r w:rsidRPr="70237766" w:rsidR="5945C884">
        <w:rPr>
          <w:rFonts w:ascii="Aptos" w:hAnsi="Aptos" w:eastAsia="Aptos" w:cs="Aptos"/>
          <w:noProof w:val="0"/>
          <w:sz w:val="24"/>
          <w:szCs w:val="24"/>
          <w:lang w:val="en-GB"/>
        </w:rPr>
        <w:t xml:space="preserve">ACAS (2026e) </w:t>
      </w:r>
      <w:r w:rsidRPr="70237766" w:rsidR="5945C884">
        <w:rPr>
          <w:rFonts w:ascii="Aptos" w:hAnsi="Aptos" w:eastAsia="Aptos" w:cs="Aptos"/>
          <w:i w:val="1"/>
          <w:iCs w:val="1"/>
          <w:noProof w:val="0"/>
          <w:sz w:val="24"/>
          <w:szCs w:val="24"/>
          <w:lang w:val="en-GB"/>
        </w:rPr>
        <w:t>Shared parental leave and pay.</w:t>
      </w:r>
      <w:r w:rsidRPr="70237766" w:rsidR="5945C884">
        <w:rPr>
          <w:rFonts w:ascii="Aptos" w:hAnsi="Aptos" w:eastAsia="Aptos" w:cs="Aptos"/>
          <w:noProof w:val="0"/>
          <w:sz w:val="24"/>
          <w:szCs w:val="24"/>
          <w:lang w:val="en-GB"/>
        </w:rPr>
        <w:t xml:space="preserve"> Available at: </w:t>
      </w:r>
      <w:r w:rsidRPr="70237766" w:rsidR="5945C884">
        <w:rPr>
          <w:noProof w:val="0"/>
          <w:lang w:val="en-GB"/>
        </w:rPr>
        <w:t>https://www.acas.org.uk/shared-parental-leave-and-pay</w:t>
      </w:r>
      <w:r w:rsidRPr="70237766" w:rsidR="5945C884">
        <w:rPr>
          <w:rFonts w:ascii="Aptos" w:hAnsi="Aptos" w:eastAsia="Aptos" w:cs="Aptos"/>
          <w:noProof w:val="0"/>
          <w:sz w:val="24"/>
          <w:szCs w:val="24"/>
          <w:lang w:val="en-GB"/>
        </w:rPr>
        <w:t xml:space="preserve"> (Accessed: 12 April 2026). </w:t>
      </w:r>
      <w:r w:rsidRPr="70237766" w:rsidR="5945C884">
        <w:rPr>
          <w:rFonts w:ascii="Aptos" w:hAnsi="Aptos" w:eastAsia="Aptos" w:cs="Aptos"/>
          <w:noProof w:val="0"/>
          <w:sz w:val="24"/>
          <w:szCs w:val="24"/>
          <w:lang w:val="en-US"/>
        </w:rPr>
        <w:t xml:space="preserve"> </w:t>
      </w:r>
    </w:p>
    <w:p w:rsidR="5945C884" w:rsidP="70237766" w:rsidRDefault="5945C884" w14:paraId="61B096D0" w14:textId="33612BA3">
      <w:pPr>
        <w:spacing w:before="0" w:beforeAutospacing="off" w:after="160" w:afterAutospacing="off" w:line="276" w:lineRule="auto"/>
        <w:jc w:val="left"/>
      </w:pPr>
      <w:r w:rsidRPr="70237766" w:rsidR="5945C884">
        <w:rPr>
          <w:rFonts w:ascii="Aptos" w:hAnsi="Aptos" w:eastAsia="Aptos" w:cs="Aptos"/>
          <w:noProof w:val="0"/>
          <w:sz w:val="24"/>
          <w:szCs w:val="24"/>
          <w:lang w:val="en-GB"/>
        </w:rPr>
        <w:t xml:space="preserve">Attrup, L. (2023) ‘Running a fair redundancy procedure’, </w:t>
      </w:r>
      <w:r w:rsidRPr="70237766" w:rsidR="5945C884">
        <w:rPr>
          <w:rFonts w:ascii="Aptos" w:hAnsi="Aptos" w:eastAsia="Aptos" w:cs="Aptos"/>
          <w:i w:val="1"/>
          <w:iCs w:val="1"/>
          <w:noProof w:val="0"/>
          <w:sz w:val="24"/>
          <w:szCs w:val="24"/>
          <w:lang w:val="en-GB"/>
        </w:rPr>
        <w:t>People Management</w:t>
      </w:r>
      <w:r w:rsidRPr="70237766" w:rsidR="5945C884">
        <w:rPr>
          <w:rFonts w:ascii="Aptos" w:hAnsi="Aptos" w:eastAsia="Aptos" w:cs="Aptos"/>
          <w:noProof w:val="0"/>
          <w:sz w:val="24"/>
          <w:szCs w:val="24"/>
          <w:lang w:val="en-GB"/>
        </w:rPr>
        <w:t xml:space="preserve">, 15 December. Available at: </w:t>
      </w:r>
      <w:r w:rsidRPr="70237766" w:rsidR="5945C884">
        <w:rPr>
          <w:noProof w:val="0"/>
          <w:lang w:val="en-GB"/>
        </w:rPr>
        <w:t>https://www.peoplemanagement.co.uk/article/1851251/running-fair-redundancy-procedure</w:t>
      </w:r>
      <w:r w:rsidRPr="70237766" w:rsidR="5945C884">
        <w:rPr>
          <w:rFonts w:ascii="Aptos" w:hAnsi="Aptos" w:eastAsia="Aptos" w:cs="Aptos"/>
          <w:noProof w:val="0"/>
          <w:sz w:val="24"/>
          <w:szCs w:val="24"/>
          <w:lang w:val="en-GB"/>
        </w:rPr>
        <w:t xml:space="preserve"> (Accessed: 28 May 2026).</w:t>
      </w:r>
      <w:r w:rsidRPr="70237766" w:rsidR="5945C884">
        <w:rPr>
          <w:rFonts w:ascii="Aptos" w:hAnsi="Aptos" w:eastAsia="Aptos" w:cs="Aptos"/>
          <w:noProof w:val="0"/>
          <w:sz w:val="24"/>
          <w:szCs w:val="24"/>
          <w:lang w:val="en-US"/>
        </w:rPr>
        <w:t xml:space="preserve"> </w:t>
      </w:r>
    </w:p>
    <w:p w:rsidR="5945C884" w:rsidP="70237766" w:rsidRDefault="5945C884" w14:paraId="7D9D2C9C" w14:textId="722B07F8">
      <w:pPr>
        <w:spacing w:before="0" w:beforeAutospacing="off" w:after="160" w:afterAutospacing="off" w:line="276" w:lineRule="auto"/>
        <w:jc w:val="left"/>
      </w:pPr>
      <w:r w:rsidRPr="70237766" w:rsidR="5945C884">
        <w:rPr>
          <w:rFonts w:ascii="Aptos" w:hAnsi="Aptos" w:eastAsia="Aptos" w:cs="Aptos"/>
          <w:noProof w:val="0"/>
          <w:sz w:val="24"/>
          <w:szCs w:val="24"/>
          <w:lang w:val="en-GB"/>
        </w:rPr>
        <w:t xml:space="preserve">CIPD (2025a) </w:t>
      </w:r>
      <w:r w:rsidRPr="70237766" w:rsidR="5945C884">
        <w:rPr>
          <w:rFonts w:ascii="Aptos" w:hAnsi="Aptos" w:eastAsia="Aptos" w:cs="Aptos"/>
          <w:i w:val="1"/>
          <w:iCs w:val="1"/>
          <w:noProof w:val="0"/>
          <w:sz w:val="24"/>
          <w:szCs w:val="24"/>
          <w:lang w:val="en-GB"/>
        </w:rPr>
        <w:t>UK employment law and the EU.</w:t>
      </w:r>
      <w:r w:rsidRPr="70237766" w:rsidR="5945C884">
        <w:rPr>
          <w:rFonts w:ascii="Aptos" w:hAnsi="Aptos" w:eastAsia="Aptos" w:cs="Aptos"/>
          <w:noProof w:val="0"/>
          <w:sz w:val="24"/>
          <w:szCs w:val="24"/>
          <w:lang w:val="en-GB"/>
        </w:rPr>
        <w:t xml:space="preserve"> Available at: </w:t>
      </w:r>
      <w:r w:rsidRPr="70237766" w:rsidR="5945C884">
        <w:rPr>
          <w:noProof w:val="0"/>
          <w:lang w:val="en-GB"/>
        </w:rPr>
        <w:t>https://www.cipd.org/uk/knowledge/employment-law/uk-employment-law-eu/</w:t>
      </w:r>
      <w:r w:rsidRPr="70237766" w:rsidR="5945C884">
        <w:rPr>
          <w:rFonts w:ascii="Aptos" w:hAnsi="Aptos" w:eastAsia="Aptos" w:cs="Aptos"/>
          <w:noProof w:val="0"/>
          <w:sz w:val="24"/>
          <w:szCs w:val="24"/>
          <w:lang w:val="en-GB"/>
        </w:rPr>
        <w:t xml:space="preserve"> (Accessed: 20 May 2026). </w:t>
      </w:r>
      <w:r w:rsidRPr="70237766" w:rsidR="5945C884">
        <w:rPr>
          <w:rFonts w:ascii="Aptos" w:hAnsi="Aptos" w:eastAsia="Aptos" w:cs="Aptos"/>
          <w:noProof w:val="0"/>
          <w:sz w:val="24"/>
          <w:szCs w:val="24"/>
          <w:lang w:val="en-US"/>
        </w:rPr>
        <w:t xml:space="preserve"> </w:t>
      </w:r>
    </w:p>
    <w:p w:rsidR="5945C884" w:rsidP="70237766" w:rsidRDefault="5945C884" w14:paraId="1E332890" w14:textId="47B50688">
      <w:pPr>
        <w:spacing w:before="0" w:beforeAutospacing="off" w:after="160" w:afterAutospacing="off" w:line="276" w:lineRule="auto"/>
        <w:jc w:val="left"/>
      </w:pPr>
      <w:r w:rsidRPr="70237766" w:rsidR="5945C884">
        <w:rPr>
          <w:rFonts w:ascii="Aptos" w:hAnsi="Aptos" w:eastAsia="Aptos" w:cs="Aptos"/>
          <w:noProof w:val="0"/>
          <w:sz w:val="24"/>
          <w:szCs w:val="24"/>
          <w:lang w:val="en-GB"/>
        </w:rPr>
        <w:t xml:space="preserve">CIPD (2025b) </w:t>
      </w:r>
      <w:r w:rsidRPr="70237766" w:rsidR="5945C884">
        <w:rPr>
          <w:rFonts w:ascii="Aptos" w:hAnsi="Aptos" w:eastAsia="Aptos" w:cs="Aptos"/>
          <w:i w:val="1"/>
          <w:iCs w:val="1"/>
          <w:noProof w:val="0"/>
          <w:sz w:val="24"/>
          <w:szCs w:val="24"/>
          <w:lang w:val="en-GB"/>
        </w:rPr>
        <w:t xml:space="preserve">TUPE: UK employment law. </w:t>
      </w:r>
      <w:r w:rsidRPr="70237766" w:rsidR="5945C884">
        <w:rPr>
          <w:rFonts w:ascii="Aptos" w:hAnsi="Aptos" w:eastAsia="Aptos" w:cs="Aptos"/>
          <w:noProof w:val="0"/>
          <w:sz w:val="24"/>
          <w:szCs w:val="24"/>
          <w:lang w:val="en-GB"/>
        </w:rPr>
        <w:t xml:space="preserve">Available at: </w:t>
      </w:r>
      <w:r w:rsidRPr="70237766" w:rsidR="5945C884">
        <w:rPr>
          <w:noProof w:val="0"/>
          <w:lang w:val="en-GB"/>
        </w:rPr>
        <w:t>https://www.cipd.org/uk/knowledge/employment-law/tupe</w:t>
      </w:r>
      <w:r w:rsidRPr="70237766" w:rsidR="5945C884">
        <w:rPr>
          <w:rFonts w:ascii="Aptos" w:hAnsi="Aptos" w:eastAsia="Aptos" w:cs="Aptos"/>
          <w:noProof w:val="0"/>
          <w:sz w:val="24"/>
          <w:szCs w:val="24"/>
          <w:lang w:val="en-GB"/>
        </w:rPr>
        <w:t xml:space="preserve"> (Accessed: 30 May 2026). </w:t>
      </w:r>
      <w:r w:rsidRPr="70237766" w:rsidR="5945C884">
        <w:rPr>
          <w:rFonts w:ascii="Aptos" w:hAnsi="Aptos" w:eastAsia="Aptos" w:cs="Aptos"/>
          <w:noProof w:val="0"/>
          <w:sz w:val="24"/>
          <w:szCs w:val="24"/>
          <w:lang w:val="en-US"/>
        </w:rPr>
        <w:t xml:space="preserve"> </w:t>
      </w:r>
    </w:p>
    <w:p w:rsidR="5945C884" w:rsidP="70237766" w:rsidRDefault="5945C884" w14:paraId="129DAE34" w14:textId="0E7086EB">
      <w:pPr>
        <w:spacing w:before="0" w:beforeAutospacing="off" w:after="160" w:afterAutospacing="off" w:line="276" w:lineRule="auto"/>
        <w:jc w:val="left"/>
      </w:pPr>
      <w:r w:rsidRPr="70237766" w:rsidR="5945C884">
        <w:rPr>
          <w:rFonts w:ascii="Aptos" w:hAnsi="Aptos" w:eastAsia="Aptos" w:cs="Aptos"/>
          <w:noProof w:val="0"/>
          <w:sz w:val="24"/>
          <w:szCs w:val="24"/>
          <w:lang w:val="en-GB"/>
        </w:rPr>
        <w:t xml:space="preserve">CIPD (2025c) </w:t>
      </w:r>
      <w:r w:rsidRPr="70237766" w:rsidR="5945C884">
        <w:rPr>
          <w:rFonts w:ascii="Aptos" w:hAnsi="Aptos" w:eastAsia="Aptos" w:cs="Aptos"/>
          <w:i w:val="1"/>
          <w:iCs w:val="1"/>
          <w:noProof w:val="0"/>
          <w:sz w:val="24"/>
          <w:szCs w:val="24"/>
          <w:lang w:val="en-GB"/>
        </w:rPr>
        <w:t>Flexible and hybrid working: UK employment law.</w:t>
      </w:r>
      <w:r w:rsidRPr="70237766" w:rsidR="5945C884">
        <w:rPr>
          <w:rFonts w:ascii="Aptos" w:hAnsi="Aptos" w:eastAsia="Aptos" w:cs="Aptos"/>
          <w:noProof w:val="0"/>
          <w:sz w:val="24"/>
          <w:szCs w:val="24"/>
          <w:lang w:val="en-GB"/>
        </w:rPr>
        <w:t xml:space="preserve"> Available at: </w:t>
      </w:r>
      <w:r w:rsidRPr="70237766" w:rsidR="5945C884">
        <w:rPr>
          <w:noProof w:val="0"/>
          <w:lang w:val="en-GB"/>
        </w:rPr>
        <w:t>https://www.cipd.org/uk/knowledge/employment-law/flexible-working/</w:t>
      </w:r>
      <w:r w:rsidRPr="70237766" w:rsidR="5945C884">
        <w:rPr>
          <w:rFonts w:ascii="Aptos" w:hAnsi="Aptos" w:eastAsia="Aptos" w:cs="Aptos"/>
          <w:noProof w:val="0"/>
          <w:sz w:val="24"/>
          <w:szCs w:val="24"/>
          <w:lang w:val="en-GB"/>
        </w:rPr>
        <w:t xml:space="preserve"> (Accessed: 18 May 2026).</w:t>
      </w:r>
      <w:r w:rsidRPr="70237766" w:rsidR="5945C884">
        <w:rPr>
          <w:rFonts w:ascii="Aptos" w:hAnsi="Aptos" w:eastAsia="Aptos" w:cs="Aptos"/>
          <w:noProof w:val="0"/>
          <w:sz w:val="24"/>
          <w:szCs w:val="24"/>
          <w:lang w:val="en-US"/>
        </w:rPr>
        <w:t xml:space="preserve"> </w:t>
      </w:r>
    </w:p>
    <w:p w:rsidR="5945C884" w:rsidP="70237766" w:rsidRDefault="5945C884" w14:paraId="0C298DC6" w14:textId="37091BE8">
      <w:pPr>
        <w:spacing w:before="0" w:beforeAutospacing="off" w:after="160" w:afterAutospacing="off" w:line="276" w:lineRule="auto"/>
        <w:jc w:val="left"/>
      </w:pPr>
      <w:r w:rsidRPr="70237766" w:rsidR="5945C884">
        <w:rPr>
          <w:rFonts w:ascii="Aptos" w:hAnsi="Aptos" w:eastAsia="Aptos" w:cs="Aptos"/>
          <w:noProof w:val="0"/>
          <w:sz w:val="24"/>
          <w:szCs w:val="24"/>
          <w:lang w:val="en-GB"/>
        </w:rPr>
        <w:t xml:space="preserve">CIPD (2026a) </w:t>
      </w:r>
      <w:r w:rsidRPr="70237766" w:rsidR="5945C884">
        <w:rPr>
          <w:rFonts w:ascii="Aptos" w:hAnsi="Aptos" w:eastAsia="Aptos" w:cs="Aptos"/>
          <w:i w:val="1"/>
          <w:iCs w:val="1"/>
          <w:noProof w:val="0"/>
          <w:sz w:val="24"/>
          <w:szCs w:val="24"/>
          <w:lang w:val="en-GB"/>
        </w:rPr>
        <w:t>Employment law in the UK: How it is made.</w:t>
      </w:r>
      <w:r w:rsidRPr="70237766" w:rsidR="5945C884">
        <w:rPr>
          <w:rFonts w:ascii="Aptos" w:hAnsi="Aptos" w:eastAsia="Aptos" w:cs="Aptos"/>
          <w:noProof w:val="0"/>
          <w:sz w:val="24"/>
          <w:szCs w:val="24"/>
          <w:lang w:val="en-GB"/>
        </w:rPr>
        <w:t xml:space="preserve"> Available at: </w:t>
      </w:r>
      <w:r w:rsidRPr="70237766" w:rsidR="5945C884">
        <w:rPr>
          <w:noProof w:val="0"/>
          <w:lang w:val="en-GB"/>
        </w:rPr>
        <w:t>https://www.cipd.org/uk/knowledge/employment-law/employment-law-uk-how-made/</w:t>
      </w:r>
      <w:r w:rsidRPr="70237766" w:rsidR="5945C884">
        <w:rPr>
          <w:rFonts w:ascii="Aptos" w:hAnsi="Aptos" w:eastAsia="Aptos" w:cs="Aptos"/>
          <w:noProof w:val="0"/>
          <w:sz w:val="24"/>
          <w:szCs w:val="24"/>
          <w:lang w:val="en-GB"/>
        </w:rPr>
        <w:t xml:space="preserve"> (Accessed: 20 May 2026).</w:t>
      </w:r>
      <w:r w:rsidRPr="70237766" w:rsidR="5945C884">
        <w:rPr>
          <w:rFonts w:ascii="Aptos" w:hAnsi="Aptos" w:eastAsia="Aptos" w:cs="Aptos"/>
          <w:noProof w:val="0"/>
          <w:sz w:val="24"/>
          <w:szCs w:val="24"/>
          <w:lang w:val="en-US"/>
        </w:rPr>
        <w:t xml:space="preserve"> </w:t>
      </w:r>
    </w:p>
    <w:p w:rsidR="5945C884" w:rsidP="70237766" w:rsidRDefault="5945C884" w14:paraId="02111A38" w14:textId="056EF9E8">
      <w:pPr>
        <w:spacing w:before="0" w:beforeAutospacing="off" w:after="160" w:afterAutospacing="off" w:line="276" w:lineRule="auto"/>
        <w:jc w:val="left"/>
      </w:pPr>
      <w:r w:rsidRPr="70237766" w:rsidR="5945C884">
        <w:rPr>
          <w:rFonts w:ascii="Aptos" w:hAnsi="Aptos" w:eastAsia="Aptos" w:cs="Aptos"/>
          <w:noProof w:val="0"/>
          <w:sz w:val="24"/>
          <w:szCs w:val="24"/>
          <w:lang w:val="en-GB"/>
        </w:rPr>
        <w:t>CIPD (2026b)</w:t>
      </w:r>
      <w:r w:rsidRPr="70237766" w:rsidR="5945C884">
        <w:rPr>
          <w:rFonts w:ascii="Aptos" w:hAnsi="Aptos" w:eastAsia="Aptos" w:cs="Aptos"/>
          <w:i w:val="1"/>
          <w:iCs w:val="1"/>
          <w:noProof w:val="0"/>
          <w:sz w:val="24"/>
          <w:szCs w:val="24"/>
          <w:lang w:val="en-GB"/>
        </w:rPr>
        <w:t xml:space="preserve"> Discrimination in the workplace.</w:t>
      </w:r>
      <w:r w:rsidRPr="70237766" w:rsidR="5945C884">
        <w:rPr>
          <w:rFonts w:ascii="Aptos" w:hAnsi="Aptos" w:eastAsia="Aptos" w:cs="Aptos"/>
          <w:noProof w:val="0"/>
          <w:sz w:val="24"/>
          <w:szCs w:val="24"/>
          <w:lang w:val="en-GB"/>
        </w:rPr>
        <w:t xml:space="preserve"> Available at: </w:t>
      </w:r>
      <w:r w:rsidRPr="70237766" w:rsidR="5945C884">
        <w:rPr>
          <w:noProof w:val="0"/>
          <w:lang w:val="en-GB"/>
        </w:rPr>
        <w:t>https://www.cipd.org/uk/knowledge/factsheets/discrimination-workplace-factsheet/</w:t>
      </w:r>
      <w:r w:rsidRPr="70237766" w:rsidR="5945C884">
        <w:rPr>
          <w:rFonts w:ascii="Aptos" w:hAnsi="Aptos" w:eastAsia="Aptos" w:cs="Aptos"/>
          <w:noProof w:val="0"/>
          <w:sz w:val="24"/>
          <w:szCs w:val="24"/>
          <w:lang w:val="en-GB"/>
        </w:rPr>
        <w:t xml:space="preserve"> (Accessed: 6 April 2026).  </w:t>
      </w:r>
      <w:r w:rsidRPr="70237766" w:rsidR="5945C884">
        <w:rPr>
          <w:rFonts w:ascii="Aptos" w:hAnsi="Aptos" w:eastAsia="Aptos" w:cs="Aptos"/>
          <w:noProof w:val="0"/>
          <w:sz w:val="24"/>
          <w:szCs w:val="24"/>
          <w:lang w:val="en-US"/>
        </w:rPr>
        <w:t xml:space="preserve"> </w:t>
      </w:r>
    </w:p>
    <w:p w:rsidR="5945C884" w:rsidP="70237766" w:rsidRDefault="5945C884" w14:paraId="5EB40745" w14:textId="75C99B4C">
      <w:pPr>
        <w:spacing w:before="0" w:beforeAutospacing="off" w:after="160" w:afterAutospacing="off" w:line="276" w:lineRule="auto"/>
        <w:jc w:val="left"/>
      </w:pPr>
      <w:r w:rsidRPr="70237766" w:rsidR="5945C884">
        <w:rPr>
          <w:rFonts w:ascii="Aptos" w:hAnsi="Aptos" w:eastAsia="Aptos" w:cs="Aptos"/>
          <w:noProof w:val="0"/>
          <w:sz w:val="24"/>
          <w:szCs w:val="24"/>
          <w:lang w:val="en-US"/>
        </w:rPr>
        <w:t xml:space="preserve">CIPD (2026c) </w:t>
      </w:r>
      <w:r w:rsidRPr="70237766" w:rsidR="5945C884">
        <w:rPr>
          <w:rFonts w:ascii="Aptos" w:hAnsi="Aptos" w:eastAsia="Aptos" w:cs="Aptos"/>
          <w:i w:val="1"/>
          <w:iCs w:val="1"/>
          <w:noProof w:val="0"/>
          <w:sz w:val="24"/>
          <w:szCs w:val="24"/>
          <w:lang w:val="en-US"/>
        </w:rPr>
        <w:t>Redundancy.</w:t>
      </w:r>
      <w:r w:rsidRPr="70237766" w:rsidR="5945C884">
        <w:rPr>
          <w:rFonts w:ascii="Aptos" w:hAnsi="Aptos" w:eastAsia="Aptos" w:cs="Aptos"/>
          <w:noProof w:val="0"/>
          <w:sz w:val="24"/>
          <w:szCs w:val="24"/>
          <w:lang w:val="en-US"/>
        </w:rPr>
        <w:t xml:space="preserve"> Available at: </w:t>
      </w:r>
      <w:r w:rsidRPr="70237766" w:rsidR="5945C884">
        <w:rPr>
          <w:noProof w:val="0"/>
          <w:lang w:val="en-GB"/>
        </w:rPr>
        <w:t>https://www.cipd.org/uk/knowledge/factsheets/redundancy-factsheet/</w:t>
      </w:r>
      <w:r w:rsidRPr="70237766" w:rsidR="5945C884">
        <w:rPr>
          <w:rFonts w:ascii="Aptos" w:hAnsi="Aptos" w:eastAsia="Aptos" w:cs="Aptos"/>
          <w:noProof w:val="0"/>
          <w:sz w:val="24"/>
          <w:szCs w:val="24"/>
          <w:lang w:val="en-GB"/>
        </w:rPr>
        <w:t xml:space="preserve"> (Accessed: 27 May 2026).</w:t>
      </w:r>
      <w:r w:rsidRPr="70237766" w:rsidR="5945C884">
        <w:rPr>
          <w:rFonts w:ascii="Aptos" w:hAnsi="Aptos" w:eastAsia="Aptos" w:cs="Aptos"/>
          <w:noProof w:val="0"/>
          <w:sz w:val="24"/>
          <w:szCs w:val="24"/>
          <w:lang w:val="en-US"/>
        </w:rPr>
        <w:t xml:space="preserve"> </w:t>
      </w:r>
    </w:p>
    <w:p w:rsidR="5945C884" w:rsidP="70237766" w:rsidRDefault="5945C884" w14:paraId="6FB21C74" w14:textId="7F4F2898">
      <w:pPr>
        <w:spacing w:before="0" w:beforeAutospacing="off" w:after="160" w:afterAutospacing="off" w:line="276" w:lineRule="auto"/>
        <w:jc w:val="left"/>
      </w:pPr>
      <w:r w:rsidRPr="70237766" w:rsidR="5945C884">
        <w:rPr>
          <w:rFonts w:ascii="Aptos" w:hAnsi="Aptos" w:eastAsia="Aptos" w:cs="Aptos"/>
          <w:noProof w:val="0"/>
          <w:sz w:val="24"/>
          <w:szCs w:val="24"/>
          <w:lang w:val="en-GB"/>
        </w:rPr>
        <w:t xml:space="preserve">CIPD (2026d) </w:t>
      </w:r>
      <w:r w:rsidRPr="70237766" w:rsidR="5945C884">
        <w:rPr>
          <w:rFonts w:ascii="Aptos" w:hAnsi="Aptos" w:eastAsia="Aptos" w:cs="Aptos"/>
          <w:i w:val="1"/>
          <w:iCs w:val="1"/>
          <w:noProof w:val="0"/>
          <w:sz w:val="24"/>
          <w:szCs w:val="24"/>
          <w:lang w:val="en-GB"/>
        </w:rPr>
        <w:t>Maternity, paternity and adoption rights.</w:t>
      </w:r>
      <w:r w:rsidRPr="70237766" w:rsidR="5945C884">
        <w:rPr>
          <w:rFonts w:ascii="Aptos" w:hAnsi="Aptos" w:eastAsia="Aptos" w:cs="Aptos"/>
          <w:noProof w:val="0"/>
          <w:sz w:val="24"/>
          <w:szCs w:val="24"/>
          <w:lang w:val="en-GB"/>
        </w:rPr>
        <w:t xml:space="preserve"> Available at: </w:t>
      </w:r>
      <w:r w:rsidRPr="70237766" w:rsidR="5945C884">
        <w:rPr>
          <w:noProof w:val="0"/>
          <w:lang w:val="en-GB"/>
        </w:rPr>
        <w:t>https://www.cipd.org/uk/knowledge/factsheets/maternity-paternity-rights-factsheet/</w:t>
      </w:r>
      <w:r w:rsidRPr="70237766" w:rsidR="5945C884">
        <w:rPr>
          <w:rFonts w:ascii="Aptos" w:hAnsi="Aptos" w:eastAsia="Aptos" w:cs="Aptos"/>
          <w:noProof w:val="0"/>
          <w:sz w:val="24"/>
          <w:szCs w:val="24"/>
          <w:lang w:val="en-GB"/>
        </w:rPr>
        <w:t xml:space="preserve"> (Accessed: 12 April 2026).</w:t>
      </w:r>
      <w:r w:rsidRPr="70237766" w:rsidR="5945C884">
        <w:rPr>
          <w:rFonts w:ascii="Aptos" w:hAnsi="Aptos" w:eastAsia="Aptos" w:cs="Aptos"/>
          <w:noProof w:val="0"/>
          <w:sz w:val="24"/>
          <w:szCs w:val="24"/>
          <w:lang w:val="en-US"/>
        </w:rPr>
        <w:t xml:space="preserve"> </w:t>
      </w:r>
    </w:p>
    <w:p w:rsidR="5945C884" w:rsidP="70237766" w:rsidRDefault="5945C884" w14:paraId="49EBB30A" w14:textId="4F30B93C">
      <w:pPr>
        <w:spacing w:before="0" w:beforeAutospacing="off" w:after="160" w:afterAutospacing="off" w:line="276" w:lineRule="auto"/>
        <w:jc w:val="left"/>
      </w:pPr>
      <w:r w:rsidRPr="70237766" w:rsidR="5945C884">
        <w:rPr>
          <w:rFonts w:ascii="Aptos" w:hAnsi="Aptos" w:eastAsia="Aptos" w:cs="Aptos"/>
          <w:noProof w:val="0"/>
          <w:sz w:val="24"/>
          <w:szCs w:val="24"/>
          <w:lang w:val="en-GB"/>
        </w:rPr>
        <w:t xml:space="preserve">CIPD (2026e) </w:t>
      </w:r>
      <w:r w:rsidRPr="70237766" w:rsidR="5945C884">
        <w:rPr>
          <w:rFonts w:ascii="Aptos" w:hAnsi="Aptos" w:eastAsia="Aptos" w:cs="Aptos"/>
          <w:i w:val="1"/>
          <w:iCs w:val="1"/>
          <w:noProof w:val="0"/>
          <w:sz w:val="24"/>
          <w:szCs w:val="24"/>
          <w:lang w:val="en-GB"/>
        </w:rPr>
        <w:t xml:space="preserve">Maternity, paternity, shared parental and adoption leave and pay. Available at: </w:t>
      </w:r>
      <w:r w:rsidRPr="70237766" w:rsidR="5945C884">
        <w:rPr>
          <w:noProof w:val="0"/>
          <w:lang w:val="en-GB"/>
        </w:rPr>
        <w:t>https://www.cipd.org/uk/knowledge/employment-law/maternity-paternity-rights/</w:t>
      </w:r>
      <w:r w:rsidRPr="70237766" w:rsidR="5945C884">
        <w:rPr>
          <w:rFonts w:ascii="Aptos" w:hAnsi="Aptos" w:eastAsia="Aptos" w:cs="Aptos"/>
          <w:noProof w:val="0"/>
          <w:sz w:val="24"/>
          <w:szCs w:val="24"/>
          <w:lang w:val="en-GB"/>
        </w:rPr>
        <w:t xml:space="preserve"> (Accessed: 2 May 2026).</w:t>
      </w:r>
      <w:r w:rsidRPr="70237766" w:rsidR="5945C884">
        <w:rPr>
          <w:rFonts w:ascii="Aptos" w:hAnsi="Aptos" w:eastAsia="Aptos" w:cs="Aptos"/>
          <w:noProof w:val="0"/>
          <w:sz w:val="24"/>
          <w:szCs w:val="24"/>
          <w:lang w:val="en-US"/>
        </w:rPr>
        <w:t xml:space="preserve"> </w:t>
      </w:r>
    </w:p>
    <w:p w:rsidR="5945C884" w:rsidP="70237766" w:rsidRDefault="5945C884" w14:paraId="46C69A02" w14:textId="0F64E0D2">
      <w:pPr>
        <w:spacing w:before="0" w:beforeAutospacing="off" w:after="160" w:afterAutospacing="off" w:line="276" w:lineRule="auto"/>
        <w:jc w:val="left"/>
      </w:pPr>
      <w:r w:rsidRPr="70237766" w:rsidR="5945C884">
        <w:rPr>
          <w:rFonts w:ascii="Aptos" w:hAnsi="Aptos" w:eastAsia="Aptos" w:cs="Aptos"/>
          <w:noProof w:val="0"/>
          <w:sz w:val="24"/>
          <w:szCs w:val="24"/>
          <w:lang w:val="en-GB"/>
        </w:rPr>
        <w:t xml:space="preserve">Clarke, N. (2022) ‘Getting your redundancy selection criteria right’, </w:t>
      </w:r>
      <w:r w:rsidRPr="70237766" w:rsidR="5945C884">
        <w:rPr>
          <w:rFonts w:ascii="Aptos" w:hAnsi="Aptos" w:eastAsia="Aptos" w:cs="Aptos"/>
          <w:i w:val="1"/>
          <w:iCs w:val="1"/>
          <w:noProof w:val="0"/>
          <w:sz w:val="24"/>
          <w:szCs w:val="24"/>
          <w:lang w:val="en-GB"/>
        </w:rPr>
        <w:t>People Management,</w:t>
      </w:r>
      <w:r w:rsidRPr="70237766" w:rsidR="5945C884">
        <w:rPr>
          <w:rFonts w:ascii="Aptos" w:hAnsi="Aptos" w:eastAsia="Aptos" w:cs="Aptos"/>
          <w:noProof w:val="0"/>
          <w:sz w:val="24"/>
          <w:szCs w:val="24"/>
          <w:lang w:val="en-GB"/>
        </w:rPr>
        <w:t xml:space="preserve"> 28 March. Available at: </w:t>
      </w:r>
      <w:r w:rsidRPr="70237766" w:rsidR="5945C884">
        <w:rPr>
          <w:noProof w:val="0"/>
          <w:lang w:val="en-GB"/>
        </w:rPr>
        <w:t>https://www.peoplemanagement.co.uk/article/1751703/getting-your-redundancy-selection-criteria-right</w:t>
      </w:r>
      <w:r w:rsidRPr="70237766" w:rsidR="5945C884">
        <w:rPr>
          <w:rFonts w:ascii="Aptos" w:hAnsi="Aptos" w:eastAsia="Aptos" w:cs="Aptos"/>
          <w:noProof w:val="0"/>
          <w:sz w:val="24"/>
          <w:szCs w:val="24"/>
          <w:lang w:val="en-GB"/>
        </w:rPr>
        <w:t xml:space="preserve"> (Accessed: 27 May 2026).</w:t>
      </w:r>
      <w:r w:rsidRPr="70237766" w:rsidR="5945C884">
        <w:rPr>
          <w:rFonts w:ascii="Aptos" w:hAnsi="Aptos" w:eastAsia="Aptos" w:cs="Aptos"/>
          <w:noProof w:val="0"/>
          <w:sz w:val="24"/>
          <w:szCs w:val="24"/>
          <w:lang w:val="en-US"/>
        </w:rPr>
        <w:t xml:space="preserve"> </w:t>
      </w:r>
    </w:p>
    <w:p w:rsidR="5945C884" w:rsidP="70237766" w:rsidRDefault="5945C884" w14:paraId="5B34E772" w14:textId="53385821">
      <w:pPr>
        <w:spacing w:before="0" w:beforeAutospacing="off" w:after="160" w:afterAutospacing="off" w:line="276" w:lineRule="auto"/>
        <w:jc w:val="left"/>
      </w:pPr>
      <w:r w:rsidRPr="70237766" w:rsidR="5945C884">
        <w:rPr>
          <w:rFonts w:ascii="Aptos" w:hAnsi="Aptos" w:eastAsia="Aptos" w:cs="Aptos"/>
          <w:noProof w:val="0"/>
          <w:sz w:val="24"/>
          <w:szCs w:val="24"/>
          <w:lang w:val="en-GB"/>
        </w:rPr>
        <w:t>Daniels, K. (2022)</w:t>
      </w:r>
      <w:r w:rsidRPr="70237766" w:rsidR="5945C884">
        <w:rPr>
          <w:rFonts w:ascii="Aptos" w:hAnsi="Aptos" w:eastAsia="Aptos" w:cs="Aptos"/>
          <w:i w:val="1"/>
          <w:iCs w:val="1"/>
          <w:noProof w:val="0"/>
          <w:sz w:val="24"/>
          <w:szCs w:val="24"/>
          <w:lang w:val="en-GB"/>
        </w:rPr>
        <w:t xml:space="preserve"> Introduction to Employment Law</w:t>
      </w:r>
      <w:r w:rsidRPr="70237766" w:rsidR="5945C884">
        <w:rPr>
          <w:rFonts w:ascii="Aptos" w:hAnsi="Aptos" w:eastAsia="Aptos" w:cs="Aptos"/>
          <w:noProof w:val="0"/>
          <w:sz w:val="24"/>
          <w:szCs w:val="24"/>
          <w:lang w:val="en-GB"/>
        </w:rPr>
        <w:t>. 6</w:t>
      </w:r>
      <w:r w:rsidRPr="70237766" w:rsidR="5945C884">
        <w:rPr>
          <w:rFonts w:ascii="Aptos" w:hAnsi="Aptos" w:eastAsia="Aptos" w:cs="Aptos"/>
          <w:noProof w:val="0"/>
          <w:sz w:val="24"/>
          <w:szCs w:val="24"/>
          <w:vertAlign w:val="superscript"/>
          <w:lang w:val="en-GB"/>
        </w:rPr>
        <w:t>th</w:t>
      </w:r>
      <w:r w:rsidRPr="70237766" w:rsidR="5945C884">
        <w:rPr>
          <w:rFonts w:ascii="Aptos" w:hAnsi="Aptos" w:eastAsia="Aptos" w:cs="Aptos"/>
          <w:noProof w:val="0"/>
          <w:sz w:val="24"/>
          <w:szCs w:val="24"/>
          <w:lang w:val="en-GB"/>
        </w:rPr>
        <w:t xml:space="preserve"> edn. London: Kogan Page.</w:t>
      </w:r>
      <w:r w:rsidRPr="70237766" w:rsidR="5945C884">
        <w:rPr>
          <w:rFonts w:ascii="Aptos" w:hAnsi="Aptos" w:eastAsia="Aptos" w:cs="Aptos"/>
          <w:noProof w:val="0"/>
          <w:sz w:val="24"/>
          <w:szCs w:val="24"/>
          <w:lang w:val="en-US"/>
        </w:rPr>
        <w:t xml:space="preserve"> </w:t>
      </w:r>
    </w:p>
    <w:p w:rsidR="5945C884" w:rsidP="70237766" w:rsidRDefault="5945C884" w14:paraId="7AA34CB8" w14:textId="6B191194">
      <w:pPr>
        <w:spacing w:before="0" w:beforeAutospacing="off" w:after="160" w:afterAutospacing="off" w:line="276" w:lineRule="auto"/>
        <w:jc w:val="left"/>
      </w:pPr>
      <w:r w:rsidRPr="70237766" w:rsidR="5945C884">
        <w:rPr>
          <w:rFonts w:ascii="Aptos" w:hAnsi="Aptos" w:eastAsia="Aptos" w:cs="Aptos"/>
          <w:noProof w:val="0"/>
          <w:sz w:val="24"/>
          <w:szCs w:val="24"/>
          <w:lang w:val="en-GB"/>
        </w:rPr>
        <w:t xml:space="preserve">Daniels, K. (2024) Introduction to Employment Law. 7th edn. London: Kogan Page.  </w:t>
      </w:r>
      <w:r w:rsidRPr="70237766" w:rsidR="5945C884">
        <w:rPr>
          <w:rFonts w:ascii="Aptos" w:hAnsi="Aptos" w:eastAsia="Aptos" w:cs="Aptos"/>
          <w:noProof w:val="0"/>
          <w:sz w:val="24"/>
          <w:szCs w:val="24"/>
          <w:lang w:val="en-US"/>
        </w:rPr>
        <w:t xml:space="preserve"> </w:t>
      </w:r>
    </w:p>
    <w:p w:rsidR="5945C884" w:rsidP="70237766" w:rsidRDefault="5945C884" w14:paraId="61AE6AB1" w14:textId="4B2E4183">
      <w:pPr>
        <w:spacing w:before="0" w:beforeAutospacing="off" w:after="160" w:afterAutospacing="off" w:line="276" w:lineRule="auto"/>
        <w:jc w:val="left"/>
      </w:pPr>
      <w:r w:rsidRPr="70237766" w:rsidR="5945C884">
        <w:rPr>
          <w:rFonts w:ascii="Aptos" w:hAnsi="Aptos" w:eastAsia="Aptos" w:cs="Aptos"/>
          <w:noProof w:val="0"/>
          <w:sz w:val="24"/>
          <w:szCs w:val="24"/>
          <w:lang w:val="en-GB"/>
        </w:rPr>
        <w:t xml:space="preserve">Davidson Morris (no date) </w:t>
      </w:r>
      <w:r w:rsidRPr="70237766" w:rsidR="5945C884">
        <w:rPr>
          <w:rFonts w:ascii="Aptos" w:hAnsi="Aptos" w:eastAsia="Aptos" w:cs="Aptos"/>
          <w:i w:val="1"/>
          <w:iCs w:val="1"/>
          <w:noProof w:val="0"/>
          <w:sz w:val="24"/>
          <w:szCs w:val="24"/>
          <w:lang w:val="en-GB"/>
        </w:rPr>
        <w:t xml:space="preserve">Employment law for employers. </w:t>
      </w:r>
      <w:r w:rsidRPr="70237766" w:rsidR="5945C884">
        <w:rPr>
          <w:rFonts w:ascii="Aptos" w:hAnsi="Aptos" w:eastAsia="Aptos" w:cs="Aptos"/>
          <w:noProof w:val="0"/>
          <w:sz w:val="24"/>
          <w:szCs w:val="24"/>
          <w:lang w:val="en-GB"/>
        </w:rPr>
        <w:t xml:space="preserve">Available at: </w:t>
      </w:r>
      <w:r w:rsidRPr="70237766" w:rsidR="5945C884">
        <w:rPr>
          <w:noProof w:val="0"/>
          <w:lang w:val="en-GB"/>
        </w:rPr>
        <w:t>https://www.davidsonmorris.com/employment-law/</w:t>
      </w:r>
      <w:r w:rsidRPr="70237766" w:rsidR="5945C884">
        <w:rPr>
          <w:rFonts w:ascii="Aptos" w:hAnsi="Aptos" w:eastAsia="Aptos" w:cs="Aptos"/>
          <w:noProof w:val="0"/>
          <w:sz w:val="24"/>
          <w:szCs w:val="24"/>
          <w:lang w:val="en-GB"/>
        </w:rPr>
        <w:t xml:space="preserve"> (Accessed: 29 May 2026).</w:t>
      </w:r>
      <w:r w:rsidRPr="70237766" w:rsidR="5945C884">
        <w:rPr>
          <w:rFonts w:ascii="Aptos" w:hAnsi="Aptos" w:eastAsia="Aptos" w:cs="Aptos"/>
          <w:noProof w:val="0"/>
          <w:sz w:val="24"/>
          <w:szCs w:val="24"/>
          <w:lang w:val="en-US"/>
        </w:rPr>
        <w:t xml:space="preserve"> </w:t>
      </w:r>
    </w:p>
    <w:p w:rsidR="5945C884" w:rsidP="70237766" w:rsidRDefault="5945C884" w14:paraId="12998361" w14:textId="599114B6">
      <w:pPr>
        <w:spacing w:before="0" w:beforeAutospacing="off" w:after="160" w:afterAutospacing="off" w:line="276" w:lineRule="auto"/>
        <w:jc w:val="left"/>
      </w:pPr>
      <w:r w:rsidRPr="70237766" w:rsidR="5945C884">
        <w:rPr>
          <w:rFonts w:ascii="Aptos" w:hAnsi="Aptos" w:eastAsia="Aptos" w:cs="Aptos"/>
          <w:noProof w:val="0"/>
          <w:sz w:val="24"/>
          <w:szCs w:val="24"/>
          <w:lang w:val="en-US"/>
        </w:rPr>
        <w:t xml:space="preserve">Equality and Human Rights Commission (2020) </w:t>
      </w:r>
      <w:r w:rsidRPr="70237766" w:rsidR="5945C884">
        <w:rPr>
          <w:rFonts w:ascii="Aptos" w:hAnsi="Aptos" w:eastAsia="Aptos" w:cs="Aptos"/>
          <w:i w:val="1"/>
          <w:iCs w:val="1"/>
          <w:noProof w:val="0"/>
          <w:sz w:val="24"/>
          <w:szCs w:val="24"/>
          <w:lang w:val="en-US"/>
        </w:rPr>
        <w:t xml:space="preserve">Equal pay: How do I carry out job evaluation? </w:t>
      </w:r>
      <w:r w:rsidRPr="70237766" w:rsidR="5945C884">
        <w:rPr>
          <w:rFonts w:ascii="Aptos" w:hAnsi="Aptos" w:eastAsia="Aptos" w:cs="Aptos"/>
          <w:noProof w:val="0"/>
          <w:sz w:val="24"/>
          <w:szCs w:val="24"/>
          <w:lang w:val="en-US"/>
        </w:rPr>
        <w:t xml:space="preserve">Available at: </w:t>
      </w:r>
      <w:r w:rsidRPr="70237766" w:rsidR="5945C884">
        <w:rPr>
          <w:noProof w:val="0"/>
          <w:lang w:val="en-US"/>
        </w:rPr>
        <w:t>https://www.equalityhumanrights.com/guidance/equal-pay/how-achieve-equal-pay/how-implement-equal-pay/equal-pay-how-do-i-carry-out-job</w:t>
      </w:r>
      <w:r w:rsidRPr="70237766" w:rsidR="5945C884">
        <w:rPr>
          <w:rFonts w:ascii="Aptos" w:hAnsi="Aptos" w:eastAsia="Aptos" w:cs="Aptos"/>
          <w:noProof w:val="0"/>
          <w:sz w:val="24"/>
          <w:szCs w:val="24"/>
          <w:lang w:val="en-US"/>
        </w:rPr>
        <w:t xml:space="preserve"> (Accessed: 18 April 2026).  </w:t>
      </w:r>
    </w:p>
    <w:p w:rsidR="5945C884" w:rsidP="70237766" w:rsidRDefault="5945C884" w14:paraId="3FC20897" w14:textId="1BD0BE20">
      <w:pPr>
        <w:spacing w:before="0" w:beforeAutospacing="off" w:after="160" w:afterAutospacing="off" w:line="276" w:lineRule="auto"/>
        <w:jc w:val="left"/>
      </w:pPr>
      <w:r w:rsidRPr="70237766" w:rsidR="5945C884">
        <w:rPr>
          <w:rFonts w:ascii="Aptos" w:hAnsi="Aptos" w:eastAsia="Aptos" w:cs="Aptos"/>
          <w:noProof w:val="0"/>
          <w:sz w:val="24"/>
          <w:szCs w:val="24"/>
          <w:lang w:val="en-GB"/>
        </w:rPr>
        <w:t>Hardcastle, C. (2024) ‘</w:t>
      </w:r>
      <w:r w:rsidRPr="70237766" w:rsidR="5945C884">
        <w:rPr>
          <w:rFonts w:ascii="Aptos" w:hAnsi="Aptos" w:eastAsia="Aptos" w:cs="Aptos"/>
          <w:i w:val="1"/>
          <w:iCs w:val="1"/>
          <w:noProof w:val="0"/>
          <w:sz w:val="24"/>
          <w:szCs w:val="24"/>
          <w:lang w:val="en-GB"/>
        </w:rPr>
        <w:t>Eight reasons for refusing a flexible working request’,</w:t>
      </w:r>
      <w:r w:rsidRPr="70237766" w:rsidR="5945C884">
        <w:rPr>
          <w:rFonts w:ascii="Aptos" w:hAnsi="Aptos" w:eastAsia="Aptos" w:cs="Aptos"/>
          <w:noProof w:val="0"/>
          <w:sz w:val="24"/>
          <w:szCs w:val="24"/>
          <w:lang w:val="en-GB"/>
        </w:rPr>
        <w:t xml:space="preserve"> HR Grapevine. Available at: </w:t>
      </w:r>
      <w:r w:rsidRPr="70237766" w:rsidR="5945C884">
        <w:rPr>
          <w:noProof w:val="0"/>
          <w:lang w:val="en-GB"/>
        </w:rPr>
        <w:t>https://www.hrgrapevine.com/content/article/eight-reasons-for-refusing-a-flexible-working-request-moorepay</w:t>
      </w:r>
      <w:r w:rsidRPr="70237766" w:rsidR="5945C884">
        <w:rPr>
          <w:rFonts w:ascii="Aptos" w:hAnsi="Aptos" w:eastAsia="Aptos" w:cs="Aptos"/>
          <w:noProof w:val="0"/>
          <w:sz w:val="24"/>
          <w:szCs w:val="24"/>
          <w:lang w:val="en-GB"/>
        </w:rPr>
        <w:t xml:space="preserve"> (Accessed: 18 May 2026).</w:t>
      </w:r>
      <w:r w:rsidRPr="70237766" w:rsidR="5945C884">
        <w:rPr>
          <w:rFonts w:ascii="Aptos" w:hAnsi="Aptos" w:eastAsia="Aptos" w:cs="Aptos"/>
          <w:noProof w:val="0"/>
          <w:sz w:val="24"/>
          <w:szCs w:val="24"/>
          <w:lang w:val="en-US"/>
        </w:rPr>
        <w:t xml:space="preserve"> </w:t>
      </w:r>
    </w:p>
    <w:p w:rsidR="5945C884" w:rsidP="70237766" w:rsidRDefault="5945C884" w14:paraId="3F28E5C0" w14:textId="654AFC61">
      <w:pPr>
        <w:spacing w:before="0" w:beforeAutospacing="off" w:after="160" w:afterAutospacing="off" w:line="276" w:lineRule="auto"/>
        <w:jc w:val="left"/>
      </w:pPr>
      <w:r w:rsidRPr="70237766" w:rsidR="5945C884">
        <w:rPr>
          <w:rFonts w:ascii="Aptos" w:hAnsi="Aptos" w:eastAsia="Aptos" w:cs="Aptos"/>
          <w:noProof w:val="0"/>
          <w:sz w:val="24"/>
          <w:szCs w:val="24"/>
          <w:lang w:val="en-GB"/>
        </w:rPr>
        <w:t xml:space="preserve">Legal Clarity (2026) </w:t>
      </w:r>
      <w:r w:rsidRPr="70237766" w:rsidR="5945C884">
        <w:rPr>
          <w:rFonts w:ascii="Aptos" w:hAnsi="Aptos" w:eastAsia="Aptos" w:cs="Aptos"/>
          <w:i w:val="1"/>
          <w:iCs w:val="1"/>
          <w:noProof w:val="0"/>
          <w:sz w:val="24"/>
          <w:szCs w:val="24"/>
          <w:lang w:val="en-GB"/>
        </w:rPr>
        <w:t>TUPE explained: Employee rights in a business transfer.</w:t>
      </w:r>
      <w:r w:rsidRPr="70237766" w:rsidR="5945C884">
        <w:rPr>
          <w:rFonts w:ascii="Aptos" w:hAnsi="Aptos" w:eastAsia="Aptos" w:cs="Aptos"/>
          <w:noProof w:val="0"/>
          <w:sz w:val="24"/>
          <w:szCs w:val="24"/>
          <w:lang w:val="en-GB"/>
        </w:rPr>
        <w:t xml:space="preserve"> </w:t>
      </w:r>
      <w:r w:rsidRPr="70237766" w:rsidR="5945C884">
        <w:rPr>
          <w:rFonts w:ascii="Aptos" w:hAnsi="Aptos" w:eastAsia="Aptos" w:cs="Aptos"/>
          <w:noProof w:val="0"/>
          <w:sz w:val="24"/>
          <w:szCs w:val="24"/>
          <w:lang w:val="fr"/>
        </w:rPr>
        <w:t xml:space="preserve">Available at: </w:t>
      </w:r>
      <w:r w:rsidRPr="70237766" w:rsidR="5945C884">
        <w:rPr>
          <w:noProof w:val="0"/>
          <w:lang w:val="fr"/>
        </w:rPr>
        <w:t>https://legalclarity.org/tupe-explained-employee-rights-in-a-business-transfer/</w:t>
      </w:r>
      <w:r w:rsidRPr="70237766" w:rsidR="5945C884">
        <w:rPr>
          <w:rFonts w:ascii="Aptos" w:hAnsi="Aptos" w:eastAsia="Aptos" w:cs="Aptos"/>
          <w:noProof w:val="0"/>
          <w:sz w:val="24"/>
          <w:szCs w:val="24"/>
          <w:lang w:val="fr"/>
        </w:rPr>
        <w:t xml:space="preserve"> (Accessed: 30 May 2026). </w:t>
      </w:r>
    </w:p>
    <w:p w:rsidR="5945C884" w:rsidP="70237766" w:rsidRDefault="5945C884" w14:paraId="48C62024" w14:textId="50379B68">
      <w:pPr>
        <w:spacing w:before="0" w:beforeAutospacing="off" w:after="160" w:afterAutospacing="off" w:line="276" w:lineRule="auto"/>
        <w:jc w:val="left"/>
      </w:pPr>
      <w:r w:rsidRPr="70237766" w:rsidR="5945C884">
        <w:rPr>
          <w:rFonts w:ascii="Aptos" w:hAnsi="Aptos" w:eastAsia="Aptos" w:cs="Aptos"/>
          <w:noProof w:val="0"/>
          <w:sz w:val="24"/>
          <w:szCs w:val="24"/>
          <w:lang w:val="en-GB"/>
        </w:rPr>
        <w:t xml:space="preserve">Makoff-Clark, A. (2019) ‘Workers’ voluntary overtime should be included in holiday pay, Court of Appeal rules’, </w:t>
      </w:r>
      <w:r w:rsidRPr="70237766" w:rsidR="5945C884">
        <w:rPr>
          <w:rFonts w:ascii="Aptos" w:hAnsi="Aptos" w:eastAsia="Aptos" w:cs="Aptos"/>
          <w:i w:val="1"/>
          <w:iCs w:val="1"/>
          <w:noProof w:val="0"/>
          <w:sz w:val="24"/>
          <w:szCs w:val="24"/>
          <w:lang w:val="en-GB"/>
        </w:rPr>
        <w:t>People Management</w:t>
      </w:r>
      <w:r w:rsidRPr="70237766" w:rsidR="5945C884">
        <w:rPr>
          <w:rFonts w:ascii="Aptos" w:hAnsi="Aptos" w:eastAsia="Aptos" w:cs="Aptos"/>
          <w:noProof w:val="0"/>
          <w:sz w:val="24"/>
          <w:szCs w:val="24"/>
          <w:lang w:val="en-GB"/>
        </w:rPr>
        <w:t xml:space="preserve">, 11 June. Available at: </w:t>
      </w:r>
      <w:r w:rsidRPr="70237766" w:rsidR="5945C884">
        <w:rPr>
          <w:noProof w:val="0"/>
          <w:lang w:val="en-GB"/>
        </w:rPr>
        <w:t>https://www.peoplemanagement.co.uk/article/1744579/workers-voluntary-overtime-should-included-holiday-pay</w:t>
      </w:r>
      <w:r w:rsidRPr="70237766" w:rsidR="5945C884">
        <w:rPr>
          <w:rFonts w:ascii="Aptos" w:hAnsi="Aptos" w:eastAsia="Aptos" w:cs="Aptos"/>
          <w:noProof w:val="0"/>
          <w:sz w:val="24"/>
          <w:szCs w:val="24"/>
          <w:lang w:val="en-GB"/>
        </w:rPr>
        <w:t xml:space="preserve"> (Accessed: 31 May 2026).</w:t>
      </w:r>
      <w:r w:rsidRPr="70237766" w:rsidR="5945C884">
        <w:rPr>
          <w:rFonts w:ascii="Aptos" w:hAnsi="Aptos" w:eastAsia="Aptos" w:cs="Aptos"/>
          <w:noProof w:val="0"/>
          <w:sz w:val="24"/>
          <w:szCs w:val="24"/>
          <w:lang w:val="en-US"/>
        </w:rPr>
        <w:t xml:space="preserve"> </w:t>
      </w:r>
    </w:p>
    <w:p w:rsidR="5945C884" w:rsidP="70237766" w:rsidRDefault="5945C884" w14:paraId="33614B27" w14:textId="6CA43671">
      <w:pPr>
        <w:spacing w:before="0" w:beforeAutospacing="off" w:after="160" w:afterAutospacing="off" w:line="276" w:lineRule="auto"/>
        <w:jc w:val="left"/>
      </w:pPr>
      <w:r w:rsidRPr="70237766" w:rsidR="5945C884">
        <w:rPr>
          <w:rFonts w:ascii="Aptos" w:hAnsi="Aptos" w:eastAsia="Aptos" w:cs="Aptos"/>
          <w:noProof w:val="0"/>
          <w:sz w:val="24"/>
          <w:szCs w:val="24"/>
          <w:lang w:val="en-GB"/>
        </w:rPr>
        <w:t xml:space="preserve">Morris, A. (2026) </w:t>
      </w:r>
      <w:r w:rsidRPr="70237766" w:rsidR="5945C884">
        <w:rPr>
          <w:rFonts w:ascii="Aptos" w:hAnsi="Aptos" w:eastAsia="Aptos" w:cs="Aptos"/>
          <w:i w:val="1"/>
          <w:iCs w:val="1"/>
          <w:noProof w:val="0"/>
          <w:sz w:val="24"/>
          <w:szCs w:val="24"/>
          <w:lang w:val="en-GB"/>
        </w:rPr>
        <w:t>Holiday entitlement 2026: leave rights, minimums &amp; how it works.</w:t>
      </w:r>
      <w:r w:rsidRPr="70237766" w:rsidR="5945C884">
        <w:rPr>
          <w:rFonts w:ascii="Aptos" w:hAnsi="Aptos" w:eastAsia="Aptos" w:cs="Aptos"/>
          <w:noProof w:val="0"/>
          <w:sz w:val="24"/>
          <w:szCs w:val="24"/>
          <w:lang w:val="en-GB"/>
        </w:rPr>
        <w:t xml:space="preserve"> Available at: </w:t>
      </w:r>
      <w:r w:rsidRPr="70237766" w:rsidR="5945C884">
        <w:rPr>
          <w:noProof w:val="0"/>
          <w:lang w:val="en-GB"/>
        </w:rPr>
        <w:t>https://www.davidsonmorris.com/holiday-entitlement/#elementor-toc__heading-anchor-0</w:t>
      </w:r>
      <w:r w:rsidRPr="70237766" w:rsidR="5945C884">
        <w:rPr>
          <w:rFonts w:ascii="Aptos" w:hAnsi="Aptos" w:eastAsia="Aptos" w:cs="Aptos"/>
          <w:noProof w:val="0"/>
          <w:sz w:val="24"/>
          <w:szCs w:val="24"/>
          <w:lang w:val="en-GB"/>
        </w:rPr>
        <w:t xml:space="preserve"> (Accessed: 27 May 2026).</w:t>
      </w:r>
      <w:r w:rsidRPr="70237766" w:rsidR="5945C884">
        <w:rPr>
          <w:rFonts w:ascii="Aptos" w:hAnsi="Aptos" w:eastAsia="Aptos" w:cs="Aptos"/>
          <w:noProof w:val="0"/>
          <w:sz w:val="24"/>
          <w:szCs w:val="24"/>
          <w:lang w:val="en-US"/>
        </w:rPr>
        <w:t xml:space="preserve"> </w:t>
      </w:r>
    </w:p>
    <w:p w:rsidR="5945C884" w:rsidP="70237766" w:rsidRDefault="5945C884" w14:paraId="42943931" w14:textId="61BCA944">
      <w:pPr>
        <w:spacing w:before="0" w:beforeAutospacing="off" w:after="160" w:afterAutospacing="off" w:line="276" w:lineRule="auto"/>
        <w:jc w:val="left"/>
      </w:pPr>
      <w:r w:rsidRPr="70237766" w:rsidR="5945C884">
        <w:rPr>
          <w:rFonts w:ascii="Aptos" w:hAnsi="Aptos" w:eastAsia="Aptos" w:cs="Aptos"/>
          <w:noProof w:val="0"/>
          <w:sz w:val="24"/>
          <w:szCs w:val="24"/>
          <w:lang w:val="en-GB"/>
        </w:rPr>
        <w:t xml:space="preserve">NHS Professionals (no date) </w:t>
      </w:r>
      <w:r w:rsidRPr="70237766" w:rsidR="5945C884">
        <w:rPr>
          <w:rFonts w:ascii="Aptos" w:hAnsi="Aptos" w:eastAsia="Aptos" w:cs="Aptos"/>
          <w:i w:val="1"/>
          <w:iCs w:val="1"/>
          <w:noProof w:val="0"/>
          <w:sz w:val="24"/>
          <w:szCs w:val="24"/>
          <w:lang w:val="en-GB"/>
        </w:rPr>
        <w:t xml:space="preserve">What are the NHS values? </w:t>
      </w:r>
      <w:r w:rsidRPr="70237766" w:rsidR="5945C884">
        <w:rPr>
          <w:rFonts w:ascii="Aptos" w:hAnsi="Aptos" w:eastAsia="Aptos" w:cs="Aptos"/>
          <w:noProof w:val="0"/>
          <w:sz w:val="24"/>
          <w:szCs w:val="24"/>
          <w:lang w:val="en-GB"/>
        </w:rPr>
        <w:t xml:space="preserve">Available at: </w:t>
      </w:r>
      <w:r w:rsidRPr="70237766" w:rsidR="5945C884">
        <w:rPr>
          <w:noProof w:val="0"/>
          <w:lang w:val="en-GB"/>
        </w:rPr>
        <w:t>https://www.nhsprofessionals.nhs.uk/nhs-staffing-pool-hub/working-in-healthcare/what-are-the-nhs-values</w:t>
      </w:r>
      <w:r w:rsidRPr="70237766" w:rsidR="5945C884">
        <w:rPr>
          <w:rFonts w:ascii="Aptos" w:hAnsi="Aptos" w:eastAsia="Aptos" w:cs="Aptos"/>
          <w:noProof w:val="0"/>
          <w:sz w:val="24"/>
          <w:szCs w:val="24"/>
          <w:lang w:val="en-GB"/>
        </w:rPr>
        <w:t xml:space="preserve"> (Accessed: 29 April 2026).</w:t>
      </w:r>
      <w:r w:rsidRPr="70237766" w:rsidR="5945C884">
        <w:rPr>
          <w:rFonts w:ascii="Aptos" w:hAnsi="Aptos" w:eastAsia="Aptos" w:cs="Aptos"/>
          <w:noProof w:val="0"/>
          <w:sz w:val="24"/>
          <w:szCs w:val="24"/>
          <w:lang w:val="en-US"/>
        </w:rPr>
        <w:t xml:space="preserve"> </w:t>
      </w:r>
    </w:p>
    <w:p w:rsidR="5945C884" w:rsidP="70237766" w:rsidRDefault="5945C884" w14:paraId="4FA48C24" w14:textId="1B9759FA">
      <w:pPr>
        <w:spacing w:before="0" w:beforeAutospacing="off" w:after="160" w:afterAutospacing="off" w:line="276" w:lineRule="auto"/>
        <w:jc w:val="left"/>
      </w:pPr>
      <w:r w:rsidRPr="70237766" w:rsidR="5945C884">
        <w:rPr>
          <w:rFonts w:ascii="Aptos" w:hAnsi="Aptos" w:eastAsia="Aptos" w:cs="Aptos"/>
          <w:noProof w:val="0"/>
          <w:sz w:val="24"/>
          <w:szCs w:val="24"/>
          <w:lang w:val="en-US"/>
        </w:rPr>
        <w:t xml:space="preserve">Sewell, M. (2024) ‘Equal pay: material factor defence’, </w:t>
      </w:r>
      <w:r w:rsidRPr="70237766" w:rsidR="5945C884">
        <w:rPr>
          <w:rFonts w:ascii="Aptos" w:hAnsi="Aptos" w:eastAsia="Aptos" w:cs="Aptos"/>
          <w:i w:val="1"/>
          <w:iCs w:val="1"/>
          <w:noProof w:val="0"/>
          <w:sz w:val="24"/>
          <w:szCs w:val="24"/>
          <w:lang w:val="en-US"/>
        </w:rPr>
        <w:t>People Management</w:t>
      </w:r>
      <w:r w:rsidRPr="70237766" w:rsidR="5945C884">
        <w:rPr>
          <w:rFonts w:ascii="Aptos" w:hAnsi="Aptos" w:eastAsia="Aptos" w:cs="Aptos"/>
          <w:noProof w:val="0"/>
          <w:sz w:val="24"/>
          <w:szCs w:val="24"/>
          <w:lang w:val="en-US"/>
        </w:rPr>
        <w:t xml:space="preserve">. Available at: </w:t>
      </w:r>
      <w:r w:rsidRPr="70237766" w:rsidR="5945C884">
        <w:rPr>
          <w:noProof w:val="0"/>
          <w:lang w:val="en-US"/>
        </w:rPr>
        <w:t>https://www.peoplemanagement.co.uk/article/1878213/equal-pay-material-factor-defence</w:t>
      </w:r>
      <w:r w:rsidRPr="70237766" w:rsidR="5945C884">
        <w:rPr>
          <w:rFonts w:ascii="Aptos" w:hAnsi="Aptos" w:eastAsia="Aptos" w:cs="Aptos"/>
          <w:noProof w:val="0"/>
          <w:sz w:val="24"/>
          <w:szCs w:val="24"/>
          <w:lang w:val="en-US"/>
        </w:rPr>
        <w:t xml:space="preserve"> (Accessed: 18 April 2026).   </w:t>
      </w:r>
    </w:p>
    <w:p w:rsidR="5945C884" w:rsidP="70237766" w:rsidRDefault="5945C884" w14:paraId="4A3ADF83" w14:textId="22E31D1E">
      <w:pPr>
        <w:spacing w:before="0" w:beforeAutospacing="off" w:after="160" w:afterAutospacing="off" w:line="276" w:lineRule="auto"/>
        <w:jc w:val="left"/>
        <w:rPr>
          <w:rFonts w:ascii="Aptos" w:hAnsi="Aptos" w:eastAsia="Aptos" w:cs="Aptos"/>
          <w:noProof w:val="0"/>
          <w:sz w:val="24"/>
          <w:szCs w:val="24"/>
          <w:lang w:val="en-US"/>
        </w:rPr>
      </w:pPr>
      <w:r w:rsidRPr="70237766" w:rsidR="5945C884">
        <w:rPr>
          <w:rFonts w:ascii="Aptos" w:hAnsi="Aptos" w:eastAsia="Aptos" w:cs="Aptos"/>
          <w:noProof w:val="0"/>
          <w:sz w:val="24"/>
          <w:szCs w:val="24"/>
          <w:lang w:val="en-GB"/>
        </w:rPr>
        <w:t xml:space="preserve">Syrpis, P. (2022) ‘The influence of the EU on UK labour law—Before and After Brexit’, </w:t>
      </w:r>
      <w:r w:rsidRPr="70237766" w:rsidR="5945C884">
        <w:rPr>
          <w:rFonts w:ascii="Aptos" w:hAnsi="Aptos" w:eastAsia="Aptos" w:cs="Aptos"/>
          <w:i w:val="1"/>
          <w:iCs w:val="1"/>
          <w:noProof w:val="0"/>
          <w:sz w:val="24"/>
          <w:szCs w:val="24"/>
          <w:lang w:val="en-GB"/>
        </w:rPr>
        <w:t>Industrial law journal (London)</w:t>
      </w:r>
      <w:r w:rsidRPr="70237766" w:rsidR="5945C884">
        <w:rPr>
          <w:rFonts w:ascii="Aptos" w:hAnsi="Aptos" w:eastAsia="Aptos" w:cs="Aptos"/>
          <w:noProof w:val="0"/>
          <w:sz w:val="24"/>
          <w:szCs w:val="24"/>
          <w:lang w:val="en-GB"/>
        </w:rPr>
        <w:t xml:space="preserve">, 51(4), pp. 802–830. Available at: </w:t>
      </w:r>
      <w:r w:rsidRPr="70237766" w:rsidR="5945C884">
        <w:rPr>
          <w:noProof w:val="0"/>
          <w:lang w:val="en-GB"/>
        </w:rPr>
        <w:t>https://doi.org/10.1093/indlaw/dwac016</w:t>
      </w:r>
      <w:r w:rsidRPr="70237766" w:rsidR="5945C884">
        <w:rPr>
          <w:rFonts w:ascii="Aptos" w:hAnsi="Aptos" w:eastAsia="Aptos" w:cs="Aptos"/>
          <w:noProof w:val="0"/>
          <w:sz w:val="24"/>
          <w:szCs w:val="24"/>
          <w:lang w:val="en-GB"/>
        </w:rPr>
        <w:t>.</w:t>
      </w:r>
    </w:p>
    <w:p w:rsidR="70237766" w:rsidP="70237766" w:rsidRDefault="70237766" w14:paraId="156D1EC5" w14:textId="71340E69">
      <w:pPr>
        <w:pStyle w:val="Normal"/>
        <w:jc w:val="both"/>
        <w:rPr>
          <w:rFonts w:ascii="Aptos Display" w:hAnsi="Aptos Display" w:eastAsia="Aptos Display" w:cs="Aptos Display" w:asciiTheme="majorAscii" w:hAnsiTheme="majorAscii" w:eastAsiaTheme="majorAscii" w:cstheme="majorAscii"/>
          <w:noProof w:val="0"/>
          <w:color w:val="000000" w:themeColor="text1" w:themeTint="FF" w:themeShade="FF"/>
          <w:sz w:val="24"/>
          <w:szCs w:val="24"/>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635FA7"/>
    <w:rsid w:val="004F5884"/>
    <w:rsid w:val="009FBE01"/>
    <w:rsid w:val="00D07CA5"/>
    <w:rsid w:val="00DFF984"/>
    <w:rsid w:val="0210D0DD"/>
    <w:rsid w:val="0267F5D1"/>
    <w:rsid w:val="02BDC95D"/>
    <w:rsid w:val="03182E34"/>
    <w:rsid w:val="04FA6365"/>
    <w:rsid w:val="0892EBCC"/>
    <w:rsid w:val="0C6DC23A"/>
    <w:rsid w:val="11F50D0A"/>
    <w:rsid w:val="16E7ACA2"/>
    <w:rsid w:val="18A7D20C"/>
    <w:rsid w:val="1952308B"/>
    <w:rsid w:val="1AD6F99E"/>
    <w:rsid w:val="1E00C803"/>
    <w:rsid w:val="1ED4C0E2"/>
    <w:rsid w:val="233907D9"/>
    <w:rsid w:val="24345AA2"/>
    <w:rsid w:val="25310F39"/>
    <w:rsid w:val="26083491"/>
    <w:rsid w:val="26F9BB9A"/>
    <w:rsid w:val="275D4F9C"/>
    <w:rsid w:val="27CDD368"/>
    <w:rsid w:val="29DC86D6"/>
    <w:rsid w:val="2A5D0CDD"/>
    <w:rsid w:val="2AA63F1D"/>
    <w:rsid w:val="2B6E665C"/>
    <w:rsid w:val="2BA50C01"/>
    <w:rsid w:val="2C547C43"/>
    <w:rsid w:val="2C8AB5C8"/>
    <w:rsid w:val="2F403CAC"/>
    <w:rsid w:val="30ACAD2A"/>
    <w:rsid w:val="31C33FEA"/>
    <w:rsid w:val="32C7391B"/>
    <w:rsid w:val="33A58AE5"/>
    <w:rsid w:val="372F0D54"/>
    <w:rsid w:val="387E624E"/>
    <w:rsid w:val="3B3688F6"/>
    <w:rsid w:val="3BC2C085"/>
    <w:rsid w:val="3D4BF159"/>
    <w:rsid w:val="3D4E1EF7"/>
    <w:rsid w:val="3FB8504F"/>
    <w:rsid w:val="402981A6"/>
    <w:rsid w:val="40DB699E"/>
    <w:rsid w:val="44686095"/>
    <w:rsid w:val="44A0C6A9"/>
    <w:rsid w:val="44B2D188"/>
    <w:rsid w:val="45C57294"/>
    <w:rsid w:val="45F81648"/>
    <w:rsid w:val="46AA2A88"/>
    <w:rsid w:val="46EEAA22"/>
    <w:rsid w:val="472C07A4"/>
    <w:rsid w:val="49EB4F25"/>
    <w:rsid w:val="4DD21D5D"/>
    <w:rsid w:val="4F390AB7"/>
    <w:rsid w:val="518E9F81"/>
    <w:rsid w:val="532B68CA"/>
    <w:rsid w:val="54DEF335"/>
    <w:rsid w:val="55948970"/>
    <w:rsid w:val="5945C884"/>
    <w:rsid w:val="5BA14FE6"/>
    <w:rsid w:val="5D1FDC1B"/>
    <w:rsid w:val="5D87B6A5"/>
    <w:rsid w:val="5FC919D7"/>
    <w:rsid w:val="608BB2C5"/>
    <w:rsid w:val="622464F5"/>
    <w:rsid w:val="62A8B687"/>
    <w:rsid w:val="65D761AE"/>
    <w:rsid w:val="65D92F9C"/>
    <w:rsid w:val="67E676F7"/>
    <w:rsid w:val="68635FA7"/>
    <w:rsid w:val="6B24B314"/>
    <w:rsid w:val="6BBA201B"/>
    <w:rsid w:val="6DE80E53"/>
    <w:rsid w:val="6FC6421C"/>
    <w:rsid w:val="70237766"/>
    <w:rsid w:val="70A81CCB"/>
    <w:rsid w:val="70D64237"/>
    <w:rsid w:val="71267047"/>
    <w:rsid w:val="712E9341"/>
    <w:rsid w:val="71D2363D"/>
    <w:rsid w:val="744A24ED"/>
    <w:rsid w:val="748A44E5"/>
    <w:rsid w:val="75209A4D"/>
    <w:rsid w:val="761A2FF9"/>
    <w:rsid w:val="7C566D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A706B"/>
  <w15:chartTrackingRefBased/>
  <w15:docId w15:val="{1E955578-20DC-4048-884E-E6E22084B6C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023776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2026-05-31T13:16:16.7376069Z</dcterms:created>
  <dcterms:modified xsi:type="dcterms:W3CDTF">2026-06-01T16:16:52.7720386Z</dcterms:modified>
  <dc:creator>Sam Doult (2407837)</dc:creator>
  <lastModifiedBy>Sam Doult (2407837)</lastModifiedBy>
</coreProperties>
</file>