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ackground w:color="FFFFFF"/>
  <w:body>
    <w:p w:rsidR="00EA28C6" w:rsidRDefault="00555438" w:rsidP="009717F2">
      <w:pPr>
        <w:jc w:val="center"/>
      </w:pPr>
      <w:r w:rsidRPr="00EA28C6">
        <w:rPr>
          <w:noProof/>
        </w:rPr>
        <w:drawing>
          <wp:inline distT="0" distB="0" distL="0" distR="0">
            <wp:extent cx="3096057" cy="1171739"/>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096057" cy="1171739"/>
                    </a:xfrm>
                    <a:prstGeom prst="rect">
                      <a:avLst/>
                    </a:prstGeom>
                  </pic:spPr>
                </pic:pic>
              </a:graphicData>
            </a:graphic>
          </wp:inline>
        </w:drawing>
      </w:r>
    </w:p>
    <w:p w:rsidR="00EA28C6" w:rsidRDefault="00EA28C6" w:rsidP="00EA28C6">
      <w:pPr>
        <w:pStyle w:val="Title"/>
      </w:pPr>
    </w:p>
    <w:p w:rsidR="00EA28C6" w:rsidRDefault="00EA28C6" w:rsidP="00EA28C6">
      <w:pPr>
        <w:pStyle w:val="Title"/>
      </w:pPr>
    </w:p>
    <w:p w:rsidR="008C2348" w:rsidRPr="00EA28C6" w:rsidRDefault="00555438" w:rsidP="008C2348">
      <w:pPr>
        <w:pStyle w:val="Title"/>
        <w:spacing w:line="360" w:lineRule="auto"/>
        <w:jc w:val="center"/>
        <w:rPr>
          <w:rFonts w:ascii="Arial" w:hAnsi="Arial" w:cs="Arial"/>
          <w:b/>
          <w:sz w:val="72"/>
          <w:szCs w:val="72"/>
        </w:rPr>
      </w:pPr>
      <w:r w:rsidRPr="00EA28C6">
        <w:rPr>
          <w:rFonts w:ascii="Arial" w:hAnsi="Arial" w:cs="Arial"/>
          <w:b/>
          <w:sz w:val="72"/>
          <w:szCs w:val="72"/>
        </w:rPr>
        <w:t>Employee engagement and motivation</w:t>
      </w:r>
    </w:p>
    <w:p w:rsidR="008C2348" w:rsidRDefault="008C2348" w:rsidP="008C2348">
      <w:pPr>
        <w:jc w:val="center"/>
        <w:rPr>
          <w:b/>
        </w:rPr>
      </w:pPr>
      <w:r>
        <w:rPr>
          <w:b/>
        </w:rPr>
        <w:t xml:space="preserve">               </w:t>
      </w:r>
      <w:r w:rsidR="00555438" w:rsidRPr="00EA28C6">
        <w:rPr>
          <w:b/>
        </w:rPr>
        <w:t>Student Name:</w:t>
      </w:r>
      <w:r>
        <w:rPr>
          <w:b/>
        </w:rPr>
        <w:t xml:space="preserve">  Alina Nicorici</w:t>
      </w:r>
    </w:p>
    <w:p w:rsidR="008C2348" w:rsidRDefault="00555438" w:rsidP="008C2348">
      <w:pPr>
        <w:jc w:val="center"/>
        <w:rPr>
          <w:b/>
        </w:rPr>
      </w:pPr>
      <w:r w:rsidRPr="00EA28C6">
        <w:rPr>
          <w:b/>
        </w:rPr>
        <w:t>Student Id:</w:t>
      </w:r>
      <w:r w:rsidR="008C2348">
        <w:rPr>
          <w:b/>
        </w:rPr>
        <w:t xml:space="preserve">  2210429</w:t>
      </w:r>
    </w:p>
    <w:p w:rsidR="00EA28C6" w:rsidRPr="00EA28C6" w:rsidRDefault="008C2348" w:rsidP="00EA28C6">
      <w:pPr>
        <w:jc w:val="center"/>
        <w:rPr>
          <w:b/>
        </w:rPr>
      </w:pPr>
      <w:r>
        <w:rPr>
          <w:b/>
        </w:rPr>
        <w:t xml:space="preserve">                   Lecturer:  Helen Lee BA (Hons)</w:t>
      </w:r>
    </w:p>
    <w:p w:rsidR="00EA28C6" w:rsidRDefault="00EA28C6" w:rsidP="004E53B2">
      <w:pPr>
        <w:pStyle w:val="Heading1"/>
      </w:pPr>
    </w:p>
    <w:p w:rsidR="00EA28C6" w:rsidRDefault="00EA28C6" w:rsidP="004E53B2">
      <w:pPr>
        <w:pStyle w:val="Heading1"/>
      </w:pPr>
    </w:p>
    <w:p w:rsidR="00EA28C6" w:rsidRDefault="00555438">
      <w:pPr>
        <w:spacing w:line="240" w:lineRule="auto"/>
        <w:jc w:val="left"/>
        <w:rPr>
          <w:b/>
          <w:color w:val="000000" w:themeColor="text1"/>
          <w:sz w:val="36"/>
          <w:szCs w:val="32"/>
        </w:rPr>
      </w:pPr>
      <w:r>
        <w:br w:type="page"/>
      </w:r>
    </w:p>
    <w:sdt>
      <w:sdtPr>
        <w:rPr>
          <w:rFonts w:ascii="Times New Roman" w:eastAsia="Times New Roman" w:hAnsi="Times New Roman" w:cs="Times New Roman"/>
          <w:color w:val="auto"/>
          <w:sz w:val="24"/>
          <w:szCs w:val="20"/>
        </w:rPr>
        <w:id w:val="-128012703"/>
        <w:docPartObj>
          <w:docPartGallery w:val="Table of Contents"/>
          <w:docPartUnique/>
        </w:docPartObj>
      </w:sdtPr>
      <w:sdtEndPr>
        <w:rPr>
          <w:rFonts w:ascii="Arial" w:hAnsi="Arial"/>
          <w:b/>
          <w:bCs/>
          <w:noProof/>
        </w:rPr>
      </w:sdtEndPr>
      <w:sdtContent>
        <w:p w:rsidR="00EA28C6" w:rsidRPr="00EA28C6" w:rsidRDefault="00555438">
          <w:pPr>
            <w:pStyle w:val="TOCHeading"/>
            <w:rPr>
              <w:b/>
              <w:color w:val="000000" w:themeColor="text1"/>
            </w:rPr>
          </w:pPr>
          <w:r w:rsidRPr="00EA28C6">
            <w:rPr>
              <w:b/>
              <w:color w:val="000000" w:themeColor="text1"/>
            </w:rPr>
            <w:t>Table of Contents</w:t>
          </w:r>
        </w:p>
        <w:p w:rsidR="00EA28C6" w:rsidRDefault="00F96D2F">
          <w:pPr>
            <w:pStyle w:val="TOC1"/>
            <w:tabs>
              <w:tab w:val="right" w:leader="dot" w:pos="9016"/>
            </w:tabs>
            <w:rPr>
              <w:noProof/>
            </w:rPr>
          </w:pPr>
          <w:r>
            <w:rPr>
              <w:b/>
              <w:bCs/>
              <w:noProof/>
            </w:rPr>
            <w:fldChar w:fldCharType="begin"/>
          </w:r>
          <w:r w:rsidR="00555438">
            <w:rPr>
              <w:b/>
              <w:bCs/>
              <w:noProof/>
            </w:rPr>
            <w:instrText xml:space="preserve"> TOC \o "1-3" \h \z \u </w:instrText>
          </w:r>
          <w:r>
            <w:rPr>
              <w:b/>
              <w:bCs/>
              <w:noProof/>
            </w:rPr>
            <w:fldChar w:fldCharType="separate"/>
          </w:r>
          <w:hyperlink w:anchor="_Toc148013396" w:history="1">
            <w:r w:rsidR="00555438" w:rsidRPr="00996AC0">
              <w:rPr>
                <w:rStyle w:val="Hyperlink"/>
                <w:noProof/>
              </w:rPr>
              <w:t>Introduction</w:t>
            </w:r>
            <w:r w:rsidR="00555438">
              <w:rPr>
                <w:noProof/>
                <w:webHidden/>
              </w:rPr>
              <w:tab/>
            </w:r>
            <w:r>
              <w:rPr>
                <w:noProof/>
                <w:webHidden/>
              </w:rPr>
              <w:fldChar w:fldCharType="begin"/>
            </w:r>
            <w:r w:rsidR="00555438">
              <w:rPr>
                <w:noProof/>
                <w:webHidden/>
              </w:rPr>
              <w:instrText xml:space="preserve"> PAGEREF _Toc148013396 \h </w:instrText>
            </w:r>
            <w:r>
              <w:rPr>
                <w:noProof/>
                <w:webHidden/>
              </w:rPr>
            </w:r>
            <w:r>
              <w:rPr>
                <w:noProof/>
                <w:webHidden/>
              </w:rPr>
              <w:fldChar w:fldCharType="separate"/>
            </w:r>
            <w:r w:rsidR="00555438">
              <w:rPr>
                <w:noProof/>
                <w:webHidden/>
              </w:rPr>
              <w:t>3</w:t>
            </w:r>
            <w:r>
              <w:rPr>
                <w:noProof/>
                <w:webHidden/>
              </w:rPr>
              <w:fldChar w:fldCharType="end"/>
            </w:r>
          </w:hyperlink>
        </w:p>
        <w:p w:rsidR="00EA28C6" w:rsidRDefault="00F96D2F">
          <w:pPr>
            <w:pStyle w:val="TOC1"/>
            <w:tabs>
              <w:tab w:val="right" w:leader="dot" w:pos="9016"/>
            </w:tabs>
            <w:rPr>
              <w:noProof/>
            </w:rPr>
          </w:pPr>
          <w:hyperlink w:anchor="_Toc148013397" w:history="1">
            <w:r w:rsidR="00555438" w:rsidRPr="00996AC0">
              <w:rPr>
                <w:rStyle w:val="Hyperlink"/>
                <w:noProof/>
              </w:rPr>
              <w:t>Main Body</w:t>
            </w:r>
            <w:r w:rsidR="00555438">
              <w:rPr>
                <w:noProof/>
                <w:webHidden/>
              </w:rPr>
              <w:tab/>
            </w:r>
            <w:r>
              <w:rPr>
                <w:noProof/>
                <w:webHidden/>
              </w:rPr>
              <w:fldChar w:fldCharType="begin"/>
            </w:r>
            <w:r w:rsidR="00555438">
              <w:rPr>
                <w:noProof/>
                <w:webHidden/>
              </w:rPr>
              <w:instrText xml:space="preserve"> PAGEREF _Toc148013397 \h </w:instrText>
            </w:r>
            <w:r>
              <w:rPr>
                <w:noProof/>
                <w:webHidden/>
              </w:rPr>
            </w:r>
            <w:r>
              <w:rPr>
                <w:noProof/>
                <w:webHidden/>
              </w:rPr>
              <w:fldChar w:fldCharType="separate"/>
            </w:r>
            <w:r w:rsidR="00555438">
              <w:rPr>
                <w:noProof/>
                <w:webHidden/>
              </w:rPr>
              <w:t>3</w:t>
            </w:r>
            <w:r>
              <w:rPr>
                <w:noProof/>
                <w:webHidden/>
              </w:rPr>
              <w:fldChar w:fldCharType="end"/>
            </w:r>
          </w:hyperlink>
        </w:p>
        <w:p w:rsidR="00EA28C6" w:rsidRDefault="00F96D2F">
          <w:pPr>
            <w:pStyle w:val="TOC1"/>
            <w:tabs>
              <w:tab w:val="right" w:leader="dot" w:pos="9016"/>
            </w:tabs>
            <w:rPr>
              <w:noProof/>
            </w:rPr>
          </w:pPr>
          <w:hyperlink w:anchor="_Toc148013398" w:history="1">
            <w:r w:rsidR="00555438" w:rsidRPr="00996AC0">
              <w:rPr>
                <w:rStyle w:val="Hyperlink"/>
                <w:noProof/>
              </w:rPr>
              <w:t>Conclusion</w:t>
            </w:r>
            <w:r w:rsidR="00555438">
              <w:rPr>
                <w:noProof/>
                <w:webHidden/>
              </w:rPr>
              <w:tab/>
            </w:r>
            <w:r>
              <w:rPr>
                <w:noProof/>
                <w:webHidden/>
              </w:rPr>
              <w:fldChar w:fldCharType="begin"/>
            </w:r>
            <w:r w:rsidR="00555438">
              <w:rPr>
                <w:noProof/>
                <w:webHidden/>
              </w:rPr>
              <w:instrText xml:space="preserve"> PAGEREF _Toc148013398 \h </w:instrText>
            </w:r>
            <w:r>
              <w:rPr>
                <w:noProof/>
                <w:webHidden/>
              </w:rPr>
            </w:r>
            <w:r>
              <w:rPr>
                <w:noProof/>
                <w:webHidden/>
              </w:rPr>
              <w:fldChar w:fldCharType="separate"/>
            </w:r>
            <w:r w:rsidR="00555438">
              <w:rPr>
                <w:noProof/>
                <w:webHidden/>
              </w:rPr>
              <w:t>8</w:t>
            </w:r>
            <w:r>
              <w:rPr>
                <w:noProof/>
                <w:webHidden/>
              </w:rPr>
              <w:fldChar w:fldCharType="end"/>
            </w:r>
          </w:hyperlink>
        </w:p>
        <w:p w:rsidR="00EA28C6" w:rsidRDefault="00F96D2F">
          <w:pPr>
            <w:pStyle w:val="TOC1"/>
            <w:tabs>
              <w:tab w:val="right" w:leader="dot" w:pos="9016"/>
            </w:tabs>
            <w:rPr>
              <w:noProof/>
            </w:rPr>
          </w:pPr>
          <w:hyperlink w:anchor="_Toc148013399" w:history="1">
            <w:r w:rsidR="00555438" w:rsidRPr="00996AC0">
              <w:rPr>
                <w:rStyle w:val="Hyperlink"/>
                <w:noProof/>
              </w:rPr>
              <w:t>References</w:t>
            </w:r>
            <w:r w:rsidR="00555438">
              <w:rPr>
                <w:noProof/>
                <w:webHidden/>
              </w:rPr>
              <w:tab/>
            </w:r>
            <w:r>
              <w:rPr>
                <w:noProof/>
                <w:webHidden/>
              </w:rPr>
              <w:fldChar w:fldCharType="begin"/>
            </w:r>
            <w:r w:rsidR="00555438">
              <w:rPr>
                <w:noProof/>
                <w:webHidden/>
              </w:rPr>
              <w:instrText xml:space="preserve"> PAGEREF _Toc148013399 \h </w:instrText>
            </w:r>
            <w:r>
              <w:rPr>
                <w:noProof/>
                <w:webHidden/>
              </w:rPr>
            </w:r>
            <w:r>
              <w:rPr>
                <w:noProof/>
                <w:webHidden/>
              </w:rPr>
              <w:fldChar w:fldCharType="separate"/>
            </w:r>
            <w:r w:rsidR="00555438">
              <w:rPr>
                <w:noProof/>
                <w:webHidden/>
              </w:rPr>
              <w:t>8</w:t>
            </w:r>
            <w:r>
              <w:rPr>
                <w:noProof/>
                <w:webHidden/>
              </w:rPr>
              <w:fldChar w:fldCharType="end"/>
            </w:r>
          </w:hyperlink>
        </w:p>
        <w:p w:rsidR="00EA28C6" w:rsidRDefault="00F96D2F">
          <w:r>
            <w:rPr>
              <w:b/>
              <w:bCs/>
              <w:noProof/>
            </w:rPr>
            <w:fldChar w:fldCharType="end"/>
          </w:r>
        </w:p>
      </w:sdtContent>
    </w:sdt>
    <w:p w:rsidR="00EA28C6" w:rsidRDefault="00555438">
      <w:pPr>
        <w:spacing w:line="240" w:lineRule="auto"/>
        <w:jc w:val="left"/>
        <w:rPr>
          <w:b/>
          <w:color w:val="000000" w:themeColor="text1"/>
          <w:sz w:val="36"/>
          <w:szCs w:val="32"/>
        </w:rPr>
      </w:pPr>
      <w:r>
        <w:br w:type="page"/>
      </w:r>
    </w:p>
    <w:p w:rsidR="007F36BB" w:rsidRDefault="00555438" w:rsidP="004E53B2">
      <w:pPr>
        <w:pStyle w:val="Heading1"/>
      </w:pPr>
      <w:bookmarkStart w:id="0" w:name="_Toc148013396"/>
      <w:r>
        <w:lastRenderedPageBreak/>
        <w:t>Introduction</w:t>
      </w:r>
      <w:bookmarkEnd w:id="0"/>
    </w:p>
    <w:p w:rsidR="007F36BB" w:rsidRDefault="00555438" w:rsidP="0071121D">
      <w:r>
        <w:t>Effective employee engageme</w:t>
      </w:r>
      <w:r w:rsidR="00EA28C6">
        <w:t>nt is crucial for organisations especially major hotels</w:t>
      </w:r>
      <w:r>
        <w:t xml:space="preserve"> in the constantl</w:t>
      </w:r>
      <w:r w:rsidR="00CF0E15">
        <w:t xml:space="preserve">y changing hospitality business </w:t>
      </w:r>
      <w:r w:rsidR="00CF0E15" w:rsidRPr="00CF0E15">
        <w:rPr>
          <w:szCs w:val="24"/>
        </w:rPr>
        <w:t>(</w:t>
      </w:r>
      <w:r w:rsidR="00CF0E15" w:rsidRPr="00CF0E15">
        <w:rPr>
          <w:color w:val="222222"/>
          <w:szCs w:val="24"/>
          <w:shd w:val="clear" w:color="auto" w:fill="FFFFFF"/>
        </w:rPr>
        <w:t>Casey and Sieber, 2016).</w:t>
      </w:r>
      <w:r>
        <w:t xml:space="preserve"> When </w:t>
      </w:r>
      <w:r w:rsidR="00C362E5">
        <w:t>considering</w:t>
      </w:r>
      <w:r>
        <w:t xml:space="preserve"> the distinct traits and expectations of Generati</w:t>
      </w:r>
      <w:r w:rsidR="00504A88">
        <w:t>on Y and Generation Z employees</w:t>
      </w:r>
      <w:r w:rsidR="00CF0E15">
        <w:t xml:space="preserve"> this becomes even more crucial </w:t>
      </w:r>
      <w:r w:rsidR="00CF0E15" w:rsidRPr="00CF0E15">
        <w:rPr>
          <w:szCs w:val="24"/>
        </w:rPr>
        <w:t>(</w:t>
      </w:r>
      <w:r w:rsidR="00CF0E15" w:rsidRPr="00CF0E15">
        <w:rPr>
          <w:color w:val="222222"/>
          <w:szCs w:val="24"/>
          <w:shd w:val="clear" w:color="auto" w:fill="FFFFFF"/>
        </w:rPr>
        <w:t>Klein, 2020).</w:t>
      </w:r>
      <w:r w:rsidR="00504A88">
        <w:t xml:space="preserve"> Throughout their careers</w:t>
      </w:r>
      <w:r>
        <w:t xml:space="preserve">, these generations of workers are attracted to, recruited, onboarded, </w:t>
      </w:r>
      <w:r w:rsidR="00504A88">
        <w:t>developed, retained and if necessary</w:t>
      </w:r>
      <w:r>
        <w:t xml:space="preserve"> divided by human resources. The purpose of this study is to investigate the several facets of employee engagement in the context </w:t>
      </w:r>
      <w:r w:rsidR="00CF2058">
        <w:t xml:space="preserve">of a sizable hotel environment </w:t>
      </w:r>
      <w:r w:rsidR="00CF2058" w:rsidRPr="00CF2058">
        <w:rPr>
          <w:szCs w:val="24"/>
        </w:rPr>
        <w:t>(</w:t>
      </w:r>
      <w:r w:rsidR="00CF2058" w:rsidRPr="00CF2058">
        <w:rPr>
          <w:color w:val="222222"/>
          <w:szCs w:val="24"/>
          <w:shd w:val="clear" w:color="auto" w:fill="FFFFFF"/>
        </w:rPr>
        <w:t xml:space="preserve">Sahni, 2019). </w:t>
      </w:r>
      <w:r w:rsidR="00CF2058">
        <w:t>This essay</w:t>
      </w:r>
      <w:r>
        <w:t xml:space="preserve"> will examine the functions of </w:t>
      </w:r>
      <w:r w:rsidR="00504A88">
        <w:t>human resources</w:t>
      </w:r>
      <w:r>
        <w:t xml:space="preserve"> the distinctiv</w:t>
      </w:r>
      <w:r w:rsidR="00504A88">
        <w:t>e traits of Generations Y and Z</w:t>
      </w:r>
      <w:r>
        <w:t xml:space="preserve"> methods for attra</w:t>
      </w:r>
      <w:r w:rsidR="00504A88">
        <w:t>cting and keeping these workers</w:t>
      </w:r>
      <w:r>
        <w:t xml:space="preserve"> and the advantages of ha</w:t>
      </w:r>
      <w:r w:rsidR="00CF2058">
        <w:t xml:space="preserve">ving a highly engaged workforce </w:t>
      </w:r>
      <w:r w:rsidR="00CF2058" w:rsidRPr="00CF2058">
        <w:rPr>
          <w:szCs w:val="24"/>
        </w:rPr>
        <w:t>(</w:t>
      </w:r>
      <w:r w:rsidR="00CF2058" w:rsidRPr="00CF2058">
        <w:rPr>
          <w:color w:val="222222"/>
          <w:szCs w:val="24"/>
          <w:shd w:val="clear" w:color="auto" w:fill="FFFFFF"/>
        </w:rPr>
        <w:t>Goessling, 2017).</w:t>
      </w:r>
      <w:r w:rsidR="00504A88">
        <w:t xml:space="preserve"> In this essay</w:t>
      </w:r>
      <w:r>
        <w:t>, we'll also go through how different phases of the employee lifecycle may be effectively managed to raise engagement using real-world examples and employee engagement models.</w:t>
      </w:r>
    </w:p>
    <w:p w:rsidR="00C362E5" w:rsidRDefault="00C362E5" w:rsidP="0071121D"/>
    <w:p w:rsidR="004E53B2" w:rsidRPr="00C362E5" w:rsidRDefault="00555438" w:rsidP="00C362E5">
      <w:pPr>
        <w:spacing w:line="240" w:lineRule="auto"/>
        <w:jc w:val="left"/>
        <w:rPr>
          <w:b/>
          <w:bCs/>
          <w:color w:val="000000" w:themeColor="text1"/>
          <w:sz w:val="32"/>
          <w:szCs w:val="32"/>
        </w:rPr>
      </w:pPr>
      <w:bookmarkStart w:id="1" w:name="_Toc148013397"/>
      <w:r w:rsidRPr="00C362E5">
        <w:rPr>
          <w:b/>
          <w:bCs/>
          <w:sz w:val="32"/>
          <w:szCs w:val="32"/>
        </w:rPr>
        <w:t>Main Body</w:t>
      </w:r>
      <w:bookmarkEnd w:id="1"/>
    </w:p>
    <w:p w:rsidR="007F36BB" w:rsidRPr="004E53B2" w:rsidRDefault="00555438">
      <w:pPr>
        <w:rPr>
          <w:b/>
        </w:rPr>
      </w:pPr>
      <w:r w:rsidRPr="004E53B2">
        <w:rPr>
          <w:b/>
        </w:rPr>
        <w:t xml:space="preserve">Human </w:t>
      </w:r>
      <w:r w:rsidR="004E53B2" w:rsidRPr="004E53B2">
        <w:rPr>
          <w:b/>
        </w:rPr>
        <w:t>Resources Role</w:t>
      </w:r>
      <w:r w:rsidRPr="004E53B2">
        <w:rPr>
          <w:b/>
        </w:rPr>
        <w:t xml:space="preserve"> in E</w:t>
      </w:r>
      <w:r w:rsidR="004E53B2" w:rsidRPr="004E53B2">
        <w:rPr>
          <w:b/>
        </w:rPr>
        <w:t xml:space="preserve">ngaging </w:t>
      </w:r>
      <w:r w:rsidR="004E53B2">
        <w:rPr>
          <w:b/>
        </w:rPr>
        <w:t>Employees</w:t>
      </w:r>
    </w:p>
    <w:p w:rsidR="007F36BB" w:rsidRDefault="00555438">
      <w:r>
        <w:t>Any organis</w:t>
      </w:r>
      <w:r w:rsidR="00C2422E">
        <w:t>ation's human resources (HR) department is its foundation when it comes to managing a</w:t>
      </w:r>
      <w:r w:rsidR="005A430D">
        <w:t>nd boosting employee engagement</w:t>
      </w:r>
      <w:r w:rsidR="005A430D" w:rsidRPr="005A430D">
        <w:rPr>
          <w:szCs w:val="24"/>
        </w:rPr>
        <w:t xml:space="preserve"> (</w:t>
      </w:r>
      <w:r w:rsidR="005A430D" w:rsidRPr="005A430D">
        <w:rPr>
          <w:color w:val="222222"/>
          <w:szCs w:val="24"/>
          <w:shd w:val="clear" w:color="auto" w:fill="FFFFFF"/>
        </w:rPr>
        <w:t>Carter et al, 2018, p.5).</w:t>
      </w:r>
      <w:r w:rsidR="00C2422E">
        <w:t xml:space="preserve"> HR departments of big hotels have a varied role in ensuring that workers, particularly members of Generation Y and Generation Z, remain engaged over the course of their careers.</w:t>
      </w:r>
    </w:p>
    <w:p w:rsidR="007F36BB" w:rsidRDefault="00555438">
      <w:r>
        <w:t>Strategic Workforce Planning: It is the responsibility of HR specialists to comprehend the hotel's present an</w:t>
      </w:r>
      <w:r w:rsidR="005A430D">
        <w:t>d future workforce requirements</w:t>
      </w:r>
      <w:r w:rsidR="005A430D" w:rsidRPr="005A430D">
        <w:rPr>
          <w:szCs w:val="24"/>
        </w:rPr>
        <w:t xml:space="preserve"> (</w:t>
      </w:r>
      <w:r w:rsidR="005A430D" w:rsidRPr="005A430D">
        <w:rPr>
          <w:color w:val="222222"/>
          <w:szCs w:val="24"/>
          <w:shd w:val="clear" w:color="auto" w:fill="FFFFFF"/>
        </w:rPr>
        <w:t>Bartlett, Johnson and Schneider, 2016).</w:t>
      </w:r>
      <w:r>
        <w:t>They must prepare for industry and company needs that might have a direct influence on employee engagement. Employers that are a good fit for the company may be attracted and recruited with the aid of effective planning.</w:t>
      </w:r>
    </w:p>
    <w:p w:rsidR="007F36BB" w:rsidRDefault="00555438">
      <w:r>
        <w:t>Recruitment and Onboarding: Human resources departments are in charge of giving prospective workers a favourabl</w:t>
      </w:r>
      <w:r w:rsidR="005A430D">
        <w:t xml:space="preserve">e first impression of the hotel </w:t>
      </w:r>
      <w:r w:rsidR="005A430D" w:rsidRPr="00DE3CAD">
        <w:rPr>
          <w:szCs w:val="24"/>
        </w:rPr>
        <w:t>(</w:t>
      </w:r>
      <w:r w:rsidR="005A430D" w:rsidRPr="00DE3CAD">
        <w:rPr>
          <w:color w:val="222222"/>
          <w:szCs w:val="24"/>
          <w:shd w:val="clear" w:color="auto" w:fill="FFFFFF"/>
        </w:rPr>
        <w:t>Burke, 2018, p.50)</w:t>
      </w:r>
      <w:r w:rsidR="00DE3CAD" w:rsidRPr="00DE3CAD">
        <w:rPr>
          <w:color w:val="222222"/>
          <w:szCs w:val="24"/>
          <w:shd w:val="clear" w:color="auto" w:fill="FFFFFF"/>
        </w:rPr>
        <w:t>.</w:t>
      </w:r>
      <w:r>
        <w:t>They must make sure that the hiring and onboarding procedures are easy and friendly in order to create a favourable working environment right away.</w:t>
      </w:r>
    </w:p>
    <w:p w:rsidR="004E53B2" w:rsidRDefault="00555438">
      <w:r>
        <w:t>Training and Development: HR is essential in determining training requirements, creating development plans, and</w:t>
      </w:r>
      <w:r w:rsidR="00DE3CAD">
        <w:t xml:space="preserve"> supplying growth opportunities </w:t>
      </w:r>
      <w:r w:rsidR="00DE3CAD" w:rsidRPr="00DE3CAD">
        <w:rPr>
          <w:szCs w:val="24"/>
        </w:rPr>
        <w:t>(</w:t>
      </w:r>
      <w:r w:rsidR="00DE3CAD" w:rsidRPr="00DE3CAD">
        <w:rPr>
          <w:color w:val="222222"/>
          <w:szCs w:val="24"/>
          <w:shd w:val="clear" w:color="auto" w:fill="FFFFFF"/>
        </w:rPr>
        <w:t xml:space="preserve">Karim, </w:t>
      </w:r>
      <w:r w:rsidR="00DE3CAD" w:rsidRPr="00DE3CAD">
        <w:rPr>
          <w:color w:val="222222"/>
          <w:szCs w:val="24"/>
          <w:shd w:val="clear" w:color="auto" w:fill="FFFFFF"/>
        </w:rPr>
        <w:lastRenderedPageBreak/>
        <w:t>Choudhuryand Latif, 2019).</w:t>
      </w:r>
      <w:r>
        <w:t xml:space="preserve"> This part of HR is very important since employees in Generation Y and Generation Z frequently want to advance their careers and learn new things.</w:t>
      </w:r>
    </w:p>
    <w:p w:rsidR="007F36BB" w:rsidRPr="00EA28C6" w:rsidRDefault="00555438">
      <w:pPr>
        <w:rPr>
          <w:rFonts w:cs="Arial"/>
          <w:szCs w:val="24"/>
        </w:rPr>
      </w:pPr>
      <w:r>
        <w:t>HR is involved in performance management through establishing performance standards, carrying out performance evaluations, and giving feedback. Employee motivation and engagement may be dramatically impacted by effective performance managem</w:t>
      </w:r>
      <w:r w:rsidR="00EA28C6">
        <w:t xml:space="preserve">ent </w:t>
      </w:r>
      <w:r w:rsidR="00EA28C6" w:rsidRPr="00EA28C6">
        <w:rPr>
          <w:rFonts w:cs="Arial"/>
          <w:szCs w:val="24"/>
        </w:rPr>
        <w:t>(</w:t>
      </w:r>
      <w:r w:rsidR="00EA28C6" w:rsidRPr="00EA28C6">
        <w:rPr>
          <w:rFonts w:cs="Arial"/>
          <w:color w:val="222222"/>
          <w:szCs w:val="24"/>
          <w:shd w:val="clear" w:color="auto" w:fill="FFFFFF"/>
        </w:rPr>
        <w:t>Tweedie et al, 2019).</w:t>
      </w:r>
    </w:p>
    <w:p w:rsidR="007F36BB" w:rsidRDefault="00555438">
      <w:r>
        <w:t xml:space="preserve">Retention and Termination: HR must put initiatives in place to keep people, such as competitive pay, </w:t>
      </w:r>
      <w:r w:rsidR="004E53B2">
        <w:t xml:space="preserve">and </w:t>
      </w:r>
      <w:r>
        <w:t>benefits, and fo</w:t>
      </w:r>
      <w:r w:rsidR="00DE3CAD">
        <w:t xml:space="preserve">stering a good work environment </w:t>
      </w:r>
      <w:r w:rsidR="00DE3CAD" w:rsidRPr="00DE3CAD">
        <w:rPr>
          <w:szCs w:val="24"/>
        </w:rPr>
        <w:t>(</w:t>
      </w:r>
      <w:r w:rsidR="00DE3CAD" w:rsidRPr="00DE3CAD">
        <w:rPr>
          <w:color w:val="222222"/>
          <w:szCs w:val="24"/>
          <w:shd w:val="clear" w:color="auto" w:fill="FFFFFF"/>
        </w:rPr>
        <w:t>Pandita and Ray, 2018).</w:t>
      </w:r>
      <w:r>
        <w:t xml:space="preserve"> Furthermore, when a separation is required, HR should handle it in a way that protects the company's brand and fosters goodwill among leaving workers.</w:t>
      </w:r>
    </w:p>
    <w:p w:rsidR="007F36BB" w:rsidRDefault="007F36BB"/>
    <w:p w:rsidR="00504A88" w:rsidRDefault="00555438">
      <w:pPr>
        <w:spacing w:line="240" w:lineRule="auto"/>
        <w:jc w:val="left"/>
        <w:rPr>
          <w:b/>
        </w:rPr>
      </w:pPr>
      <w:r>
        <w:rPr>
          <w:b/>
        </w:rPr>
        <w:br w:type="page"/>
      </w:r>
    </w:p>
    <w:p w:rsidR="007F36BB" w:rsidRPr="004E53B2" w:rsidRDefault="00555438">
      <w:pPr>
        <w:rPr>
          <w:b/>
        </w:rPr>
      </w:pPr>
      <w:r w:rsidRPr="004E53B2">
        <w:rPr>
          <w:b/>
        </w:rPr>
        <w:lastRenderedPageBreak/>
        <w:t>Generation Y and Generation Z characteristics</w:t>
      </w:r>
    </w:p>
    <w:p w:rsidR="007F36BB" w:rsidRDefault="00555438">
      <w:r>
        <w:t>Understanding the distinctive traits and interests of Generation Y (sometimes referred to as Millennials) and Generation Z is essential to engaging them successfully.</w:t>
      </w:r>
    </w:p>
    <w:p w:rsidR="007F36BB" w:rsidRPr="004E53B2" w:rsidRDefault="00555438">
      <w:pPr>
        <w:rPr>
          <w:b/>
        </w:rPr>
      </w:pPr>
      <w:r>
        <w:rPr>
          <w:b/>
        </w:rPr>
        <w:t>Generation Y</w:t>
      </w:r>
    </w:p>
    <w:p w:rsidR="007F36BB" w:rsidRDefault="00555438">
      <w:r>
        <w:t>Millennials are tech-savvy since they were raised in the digital age and are very skilled users of social media and digital technologies. They anticipate that businesses will provide employees with cut</w:t>
      </w:r>
      <w:r w:rsidR="00740A32">
        <w:t xml:space="preserve">ting-edge, effective technology </w:t>
      </w:r>
      <w:r w:rsidR="00740A32" w:rsidRPr="00740A32">
        <w:rPr>
          <w:szCs w:val="24"/>
        </w:rPr>
        <w:t>(</w:t>
      </w:r>
      <w:r w:rsidR="00740A32" w:rsidRPr="00740A32">
        <w:rPr>
          <w:color w:val="222222"/>
          <w:szCs w:val="24"/>
          <w:shd w:val="clear" w:color="auto" w:fill="FFFFFF"/>
        </w:rPr>
        <w:t>Gaidhani, Arora and Sharma, 2019).</w:t>
      </w:r>
    </w:p>
    <w:p w:rsidR="007F36BB" w:rsidRDefault="00555438">
      <w:r>
        <w:t xml:space="preserve">Work-Life Balance: For Millennials, finding </w:t>
      </w:r>
      <w:r w:rsidR="00740A32">
        <w:t xml:space="preserve">a </w:t>
      </w:r>
      <w:r>
        <w:t>work-life balance is of utmost importance. They appreciate time off to pursue personal hobbies and desire flex</w:t>
      </w:r>
      <w:r w:rsidR="00172861">
        <w:t xml:space="preserve">ibility in their work schedules </w:t>
      </w:r>
      <w:r w:rsidR="00172861" w:rsidRPr="00172861">
        <w:rPr>
          <w:rFonts w:cs="Arial"/>
          <w:szCs w:val="24"/>
        </w:rPr>
        <w:t>(</w:t>
      </w:r>
      <w:r w:rsidR="00172861" w:rsidRPr="00172861">
        <w:rPr>
          <w:rFonts w:cs="Arial"/>
          <w:color w:val="222222"/>
          <w:szCs w:val="24"/>
          <w:shd w:val="clear" w:color="auto" w:fill="FFFFFF"/>
        </w:rPr>
        <w:t>Sánchez-Hernández et al, 2019, p.1).</w:t>
      </w:r>
    </w:p>
    <w:p w:rsidR="007F36BB" w:rsidRDefault="00555438">
      <w:r>
        <w:t>Socially Aware: A large portion of Millennials are socially aware and look for employers who share their principles. They like the chance to take part in corporate s</w:t>
      </w:r>
      <w:r w:rsidR="00172861">
        <w:t>ocial responsibility programmes</w:t>
      </w:r>
      <w:r w:rsidR="00172861" w:rsidRPr="00172861">
        <w:rPr>
          <w:szCs w:val="24"/>
        </w:rPr>
        <w:t>(</w:t>
      </w:r>
      <w:r w:rsidR="00172861" w:rsidRPr="00172861">
        <w:rPr>
          <w:rFonts w:cs="Arial"/>
          <w:color w:val="222222"/>
          <w:szCs w:val="24"/>
          <w:shd w:val="clear" w:color="auto" w:fill="FFFFFF"/>
        </w:rPr>
        <w:t>Formánková et al, 2019, p.1).</w:t>
      </w:r>
    </w:p>
    <w:p w:rsidR="007F36BB" w:rsidRDefault="00555438">
      <w:r>
        <w:t>Millennials have a strong desire for both personal and professional growth. If they believe their present workplace does not provide them room for advancement, they are probably going to move employment.</w:t>
      </w:r>
    </w:p>
    <w:p w:rsidR="007F36BB" w:rsidRPr="004E53B2" w:rsidRDefault="00555438">
      <w:pPr>
        <w:rPr>
          <w:b/>
        </w:rPr>
      </w:pPr>
      <w:r w:rsidRPr="004E53B2">
        <w:rPr>
          <w:b/>
        </w:rPr>
        <w:t xml:space="preserve">Generation </w:t>
      </w:r>
      <w:r>
        <w:rPr>
          <w:b/>
        </w:rPr>
        <w:t>Z</w:t>
      </w:r>
    </w:p>
    <w:p w:rsidR="007F36BB" w:rsidRDefault="00555438">
      <w:r>
        <w:t xml:space="preserve">Gen Z is the first generation to have grown up wholly in the digital era. They have high expectations for seamless technology integration at work and are even more </w:t>
      </w:r>
      <w:r w:rsidR="00172861">
        <w:t xml:space="preserve">computer-aware than Millennials </w:t>
      </w:r>
      <w:r w:rsidR="00172861" w:rsidRPr="00172861">
        <w:rPr>
          <w:rFonts w:cs="Arial"/>
          <w:szCs w:val="24"/>
        </w:rPr>
        <w:t>(</w:t>
      </w:r>
      <w:r w:rsidR="00172861" w:rsidRPr="00172861">
        <w:rPr>
          <w:rFonts w:cs="Arial"/>
          <w:color w:val="222222"/>
          <w:szCs w:val="24"/>
          <w:shd w:val="clear" w:color="auto" w:fill="FFFFFF"/>
        </w:rPr>
        <w:t>Schwieger and Ladwig, 2018).</w:t>
      </w:r>
    </w:p>
    <w:p w:rsidR="007F36BB" w:rsidRDefault="00555438">
      <w:r>
        <w:t xml:space="preserve">Diversity &amp; Inclusion: Gen Z is renowned for placing a high value on these concepts. They look for workplaces that welcome a variety </w:t>
      </w:r>
      <w:r w:rsidR="00172861">
        <w:t xml:space="preserve">of viewpoints and are inclusive </w:t>
      </w:r>
      <w:r w:rsidR="00172861" w:rsidRPr="00172861">
        <w:rPr>
          <w:rFonts w:cs="Arial"/>
          <w:szCs w:val="24"/>
        </w:rPr>
        <w:t>(</w:t>
      </w:r>
      <w:r w:rsidR="00172861" w:rsidRPr="00172861">
        <w:rPr>
          <w:rFonts w:cs="Arial"/>
          <w:color w:val="222222"/>
          <w:szCs w:val="24"/>
          <w:shd w:val="clear" w:color="auto" w:fill="FFFFFF"/>
        </w:rPr>
        <w:t>Graham, 2018).</w:t>
      </w:r>
    </w:p>
    <w:p w:rsidR="007F36BB" w:rsidRDefault="00555438">
      <w:r>
        <w:t>Entrepreneurial Spirit: Many members of Generation Z are open to side jobs or freelance employment and have an entrepreneurial attitude. They cheri</w:t>
      </w:r>
      <w:r w:rsidR="00172861">
        <w:t xml:space="preserve">sh having freedom in their jobs </w:t>
      </w:r>
      <w:r w:rsidR="00172861" w:rsidRPr="00172861">
        <w:rPr>
          <w:szCs w:val="24"/>
        </w:rPr>
        <w:t>(</w:t>
      </w:r>
      <w:r w:rsidR="00172861" w:rsidRPr="00172861">
        <w:rPr>
          <w:color w:val="222222"/>
          <w:szCs w:val="24"/>
          <w:shd w:val="clear" w:color="auto" w:fill="FFFFFF"/>
        </w:rPr>
        <w:t>Manolova, 2020).</w:t>
      </w:r>
    </w:p>
    <w:p w:rsidR="007F36BB" w:rsidRDefault="00555438">
      <w:r>
        <w:t>Short Attention Span: Gen Z workers frequently have short attention spans, therefore it's critical to offer engaging and interactive learning opportunities.</w:t>
      </w:r>
    </w:p>
    <w:p w:rsidR="007F36BB" w:rsidRDefault="007F36BB"/>
    <w:p w:rsidR="00504A88" w:rsidRDefault="00555438">
      <w:pPr>
        <w:spacing w:line="240" w:lineRule="auto"/>
        <w:jc w:val="left"/>
        <w:rPr>
          <w:b/>
        </w:rPr>
      </w:pPr>
      <w:r>
        <w:rPr>
          <w:b/>
        </w:rPr>
        <w:br w:type="page"/>
      </w:r>
    </w:p>
    <w:p w:rsidR="007F36BB" w:rsidRPr="004E53B2" w:rsidRDefault="00555438">
      <w:pPr>
        <w:rPr>
          <w:b/>
        </w:rPr>
      </w:pPr>
      <w:r w:rsidRPr="004E53B2">
        <w:rPr>
          <w:b/>
        </w:rPr>
        <w:lastRenderedPageBreak/>
        <w:t>Engaging Generation Y and Z</w:t>
      </w:r>
    </w:p>
    <w:p w:rsidR="007F36BB" w:rsidRDefault="00555438">
      <w:r>
        <w:t>Employers must develop methods that are specifically suited to Generation Y and Generation Z employees' traits and interests. Here are some strategies for appealing to these generations:</w:t>
      </w:r>
    </w:p>
    <w:p w:rsidR="006A2CA2" w:rsidRDefault="00555438">
      <w:pPr>
        <w:rPr>
          <w:rFonts w:cs="Arial"/>
          <w:color w:val="222222"/>
          <w:sz w:val="20"/>
          <w:shd w:val="clear" w:color="auto" w:fill="FFFFFF"/>
        </w:rPr>
      </w:pPr>
      <w:r>
        <w:t>Accept technology: Both Generations Y and Z are well-versed in technology. Their productivity is increased by giving them access to the most recent technological tools and platforms, which also demonstrates that the organisation understands their demands (</w:t>
      </w:r>
    </w:p>
    <w:p w:rsidR="007F36BB" w:rsidRDefault="00555438">
      <w:r>
        <w:t>Flexible Work Arrangements: These generations appreciate autonomy and a work-life balance, therefore providing flexible work arrangements like remote work alternatives and flexible hours</w:t>
      </w:r>
      <w:r w:rsidR="006A2CA2">
        <w:t xml:space="preserve"> may be quite appealing to them </w:t>
      </w:r>
      <w:r w:rsidR="006A2CA2" w:rsidRPr="006A2CA2">
        <w:rPr>
          <w:rFonts w:cs="Arial"/>
          <w:szCs w:val="24"/>
        </w:rPr>
        <w:t>(</w:t>
      </w:r>
      <w:r w:rsidR="006A2CA2" w:rsidRPr="006A2CA2">
        <w:rPr>
          <w:rFonts w:cs="Arial"/>
          <w:color w:val="222222"/>
          <w:szCs w:val="24"/>
          <w:shd w:val="clear" w:color="auto" w:fill="FFFFFF"/>
        </w:rPr>
        <w:t>Dixon, 2022, p.11).</w:t>
      </w:r>
    </w:p>
    <w:p w:rsidR="007F36BB" w:rsidRDefault="00555438">
      <w:r>
        <w:t>Establish a culture that values lifelong learning and growth. Offering online courses, mentorship programmes, and chances for skill development is in accordance with both generations' drive for personal development.</w:t>
      </w:r>
    </w:p>
    <w:p w:rsidR="007F36BB" w:rsidRDefault="00555438">
      <w:r>
        <w:t xml:space="preserve">Regular </w:t>
      </w:r>
      <w:r w:rsidR="00584EC5">
        <w:t>acknowledgement</w:t>
      </w:r>
      <w:r>
        <w:t xml:space="preserve">: It's important to give and receive </w:t>
      </w:r>
      <w:r w:rsidR="00584EC5">
        <w:t>acknowledgement</w:t>
      </w:r>
      <w:r>
        <w:t xml:space="preserve"> frequently. Employees in the Millennial and Gen Z generations value constructive crit</w:t>
      </w:r>
      <w:r w:rsidR="00584EC5">
        <w:t xml:space="preserve">icism and thanks for their work </w:t>
      </w:r>
      <w:r w:rsidR="00584EC5" w:rsidRPr="00584EC5">
        <w:rPr>
          <w:rFonts w:cs="Arial"/>
          <w:szCs w:val="24"/>
        </w:rPr>
        <w:t>(</w:t>
      </w:r>
      <w:r w:rsidR="00584EC5" w:rsidRPr="00584EC5">
        <w:rPr>
          <w:rFonts w:cs="Arial"/>
          <w:color w:val="222222"/>
          <w:szCs w:val="24"/>
          <w:shd w:val="clear" w:color="auto" w:fill="FFFFFF"/>
        </w:rPr>
        <w:t>McGaha, 2018).</w:t>
      </w:r>
    </w:p>
    <w:p w:rsidR="007F36BB" w:rsidRDefault="00555438">
      <w:r>
        <w:t>Promoting a diverse and inclusive workplace is important. Promote diversity of thought and foster an atmosphere where workers from varied backgrounds are valued and respected.</w:t>
      </w:r>
    </w:p>
    <w:p w:rsidR="007F36BB" w:rsidRDefault="00555438">
      <w:r>
        <w:t>Promote corporate social responsibility by including employees in its programmes. Both generations value the chance to use their careers to further the common good and are socially concerned.</w:t>
      </w:r>
    </w:p>
    <w:p w:rsidR="00504A88" w:rsidRDefault="00504A88"/>
    <w:p w:rsidR="007F36BB" w:rsidRPr="00C2422E" w:rsidRDefault="00555438">
      <w:pPr>
        <w:rPr>
          <w:b/>
        </w:rPr>
      </w:pPr>
      <w:r>
        <w:rPr>
          <w:b/>
        </w:rPr>
        <w:t>The Employee</w:t>
      </w:r>
      <w:r w:rsidRPr="00C2422E">
        <w:rPr>
          <w:b/>
        </w:rPr>
        <w:t xml:space="preserve"> Life Cycle</w:t>
      </w:r>
    </w:p>
    <w:p w:rsidR="002D669B" w:rsidRPr="00504A88" w:rsidRDefault="00555438">
      <w:r>
        <w:t>Each of the important periods in the employment lifecycle offers chances to involve Generation Y and Generation Z workers. Let's delve deeper into each of these phases:</w:t>
      </w:r>
    </w:p>
    <w:p w:rsidR="007F36BB" w:rsidRPr="00C2422E" w:rsidRDefault="00555438">
      <w:pPr>
        <w:rPr>
          <w:b/>
        </w:rPr>
      </w:pPr>
      <w:r w:rsidRPr="00C2422E">
        <w:rPr>
          <w:b/>
        </w:rPr>
        <w:t>Recruitment and Attraction</w:t>
      </w:r>
    </w:p>
    <w:p w:rsidR="007F36BB" w:rsidRDefault="00555438">
      <w:r>
        <w:t xml:space="preserve">Making an appealing employer brand is the first step in luring in Generation Y and Generation Z workers. Large hotels must demonstrate their adherence to corporate culture, principles, and cutting-edge technology. These generations are well aware of an organization's ideals, and they want their place of employment to reflect those values. The organisation may be more appealing to them by emphasising the hotel's </w:t>
      </w:r>
      <w:r>
        <w:lastRenderedPageBreak/>
        <w:t>dedication to social responsibility, sustainability, and community participation. Additionally, these technologically adept applicants may be drawn to jobs that clearly demonstrate a commitment to using technology in daily tasks.</w:t>
      </w:r>
    </w:p>
    <w:p w:rsidR="00C362E5" w:rsidRDefault="00C362E5"/>
    <w:p w:rsidR="007F36BB" w:rsidRPr="00C2422E" w:rsidRDefault="00555438" w:rsidP="00C362E5">
      <w:pPr>
        <w:spacing w:line="240" w:lineRule="auto"/>
        <w:jc w:val="left"/>
        <w:rPr>
          <w:b/>
        </w:rPr>
      </w:pPr>
      <w:r w:rsidRPr="00C2422E">
        <w:rPr>
          <w:b/>
        </w:rPr>
        <w:t>Onboarding:</w:t>
      </w:r>
    </w:p>
    <w:p w:rsidR="007F36BB" w:rsidRDefault="00555438">
      <w:r>
        <w:t xml:space="preserve">Setting the tone for the employee's relationship with the company begins with the onboarding process. It should be technology-driven, interactive, and inclusive for </w:t>
      </w:r>
      <w:r w:rsidR="002D669B">
        <w:t>Generation</w:t>
      </w:r>
      <w:r>
        <w:t xml:space="preserve"> Y and Z. These generations have grown up in a digital age and anticipate that technology will play a significant role in their working lives. It is essential to offer thorough training materials and tools that can be accessible online. This enables students to study at their own speed and go through topics again as necessary. It may also be quite helpful to assign mentors or pals to new hires to aid in their integration into the workplace culture. This not only makes the onboarding process run more smoothly but also encourages a feeling of community and camaraderie.</w:t>
      </w:r>
    </w:p>
    <w:p w:rsidR="007F36BB" w:rsidRPr="00C2422E" w:rsidRDefault="00555438">
      <w:pPr>
        <w:rPr>
          <w:b/>
        </w:rPr>
      </w:pPr>
      <w:r w:rsidRPr="00C2422E">
        <w:rPr>
          <w:b/>
        </w:rPr>
        <w:t>Development:</w:t>
      </w:r>
    </w:p>
    <w:p w:rsidR="007F36BB" w:rsidRDefault="00555438">
      <w:r>
        <w:t>Engaging Generation Y and Generation Z personnel requires developing a framework for continual learning and growth. These generations are hungry to advance personally and professionally, and they are more inclined to stick with companies that support their progress. They are in line with their aim for continual learning by providing online seminars, courses, and mentorship programmes. Additionally, empowering staff members to take charge of personal development goals increases their feeling of accountability for their professional development. Collaboration across generations and across functional lines is another important component of development. It gives them the chance to pick up knowledge from coworkers with various experiences and backgrounds, increasing their skill sets and encouraging innovation inside the organisation.</w:t>
      </w:r>
    </w:p>
    <w:p w:rsidR="007F36BB" w:rsidRPr="00C2422E" w:rsidRDefault="00555438">
      <w:pPr>
        <w:rPr>
          <w:b/>
        </w:rPr>
      </w:pPr>
      <w:r w:rsidRPr="00C2422E">
        <w:rPr>
          <w:b/>
        </w:rPr>
        <w:t>Retention:</w:t>
      </w:r>
    </w:p>
    <w:p w:rsidR="007F36BB" w:rsidRDefault="00555438">
      <w:r>
        <w:t xml:space="preserve">The development of a supportive workplace culture that aligns with Generation Y and Generation Z ideals is necessary to retain personnel from these generations. These generations frequently give diversity, inclusion, and work-life balance a high priority. The key to maintaining their motivation and engagement is to constantly recognise and recognise exceptional achievement. Recognition and gratitude help people feel more motivated and satisfied at work. Additionally, it is essential to offer </w:t>
      </w:r>
      <w:r>
        <w:lastRenderedPageBreak/>
        <w:t>chances for leadership and internal career advancement. These generations look for jobs that give constant opportunities for growth and promotion, and they are more inclined to stick with an organisation when they can see a clear route to their professional success.</w:t>
      </w:r>
    </w:p>
    <w:p w:rsidR="00C362E5" w:rsidRDefault="00C362E5"/>
    <w:p w:rsidR="007F36BB" w:rsidRPr="00C2422E" w:rsidRDefault="00555438" w:rsidP="00C362E5">
      <w:pPr>
        <w:spacing w:line="240" w:lineRule="auto"/>
        <w:jc w:val="left"/>
        <w:rPr>
          <w:b/>
        </w:rPr>
      </w:pPr>
      <w:r w:rsidRPr="00C2422E">
        <w:rPr>
          <w:b/>
        </w:rPr>
        <w:t>Separation:</w:t>
      </w:r>
    </w:p>
    <w:p w:rsidR="007F36BB" w:rsidRDefault="00555438">
      <w:r>
        <w:t>If separation is unavoidably inevitable, it should be handled with the highest professionalism and care. Keeping good connections with leaving workers and preserving the organization's reputation requires treating them with respect. Exit interviews are a useful technique for determining the causes of departure and potential improvement areas. The knowledge gathered from these interviews may be extremely helpful in making future modifications, enabling the company to develop over time and improve working conditions for both present and future employees.</w:t>
      </w:r>
    </w:p>
    <w:p w:rsidR="007F36BB" w:rsidRDefault="007F36BB"/>
    <w:p w:rsidR="007F36BB" w:rsidRPr="00C2422E" w:rsidRDefault="00555438">
      <w:pPr>
        <w:rPr>
          <w:b/>
        </w:rPr>
      </w:pPr>
      <w:r w:rsidRPr="00C2422E">
        <w:rPr>
          <w:b/>
        </w:rPr>
        <w:t xml:space="preserve">Implementing Employee Engagement Models </w:t>
      </w:r>
    </w:p>
    <w:p w:rsidR="007F36BB" w:rsidRPr="00584EC5" w:rsidRDefault="00555438">
      <w:r>
        <w:t xml:space="preserve">In addition to the </w:t>
      </w:r>
      <w:r w:rsidR="00C362E5">
        <w:t>tactics</w:t>
      </w:r>
      <w:r>
        <w:t xml:space="preserve">, organisations may gain by putting into </w:t>
      </w:r>
      <w:r w:rsidR="004C0C2D">
        <w:t>practice</w:t>
      </w:r>
      <w:r>
        <w:t xml:space="preserve"> tried-and-true employee engagement models. A common example</w:t>
      </w:r>
      <w:r w:rsidR="004C0C2D">
        <w:t xml:space="preserve"> of one of these models is the Engagement Pyramid </w:t>
      </w:r>
      <w:r>
        <w:t xml:space="preserve">which divides employee involvement into three categories: </w:t>
      </w:r>
      <w:r w:rsidR="004C0C2D" w:rsidRPr="00584EC5">
        <w:t>Satisf</w:t>
      </w:r>
      <w:r w:rsidR="00584EC5" w:rsidRPr="00584EC5">
        <w:t>a</w:t>
      </w:r>
      <w:r w:rsidR="00584EC5">
        <w:t xml:space="preserve">ction, Commitment and Advocacy </w:t>
      </w:r>
      <w:r w:rsidR="00584EC5" w:rsidRPr="00584EC5">
        <w:rPr>
          <w:rFonts w:cs="Arial"/>
          <w:szCs w:val="24"/>
        </w:rPr>
        <w:t>(</w:t>
      </w:r>
      <w:r w:rsidR="00584EC5" w:rsidRPr="00584EC5">
        <w:rPr>
          <w:rFonts w:cs="Arial"/>
          <w:color w:val="222222"/>
          <w:szCs w:val="24"/>
          <w:shd w:val="clear" w:color="auto" w:fill="FFFFFF"/>
        </w:rPr>
        <w:t>Kavya and Padmavathy, 2017).</w:t>
      </w:r>
    </w:p>
    <w:p w:rsidR="007F36BB" w:rsidRDefault="00555438">
      <w:r>
        <w:t>At this fundamental level</w:t>
      </w:r>
      <w:r w:rsidR="00C2422E">
        <w:t xml:space="preserve"> employee</w:t>
      </w:r>
      <w:r>
        <w:t xml:space="preserve">s are satisfied with their </w:t>
      </w:r>
      <w:r w:rsidR="00C362E5">
        <w:t>work,</w:t>
      </w:r>
      <w:r w:rsidR="00C2422E">
        <w:t xml:space="preserve"> but they might not have an emotional connection to the company. Work-life balance, compet</w:t>
      </w:r>
      <w:r>
        <w:t>itive pay</w:t>
      </w:r>
      <w:r w:rsidR="00C2422E">
        <w:t xml:space="preserve"> and a nice work environment are all ways to satisfy Generation Y and Generation Z.</w:t>
      </w:r>
    </w:p>
    <w:p w:rsidR="007F36BB" w:rsidRDefault="00555438">
      <w:r>
        <w:t xml:space="preserve">Employees </w:t>
      </w:r>
      <w:r w:rsidR="004C0C2D">
        <w:t>who are dedicated to the organis</w:t>
      </w:r>
      <w:r>
        <w:t xml:space="preserve">ation's objectives and values make up the next layer. To engage Generation Y and Generation Z at this level, it's important to provide them </w:t>
      </w:r>
      <w:r w:rsidR="004C0C2D">
        <w:t xml:space="preserve">with </w:t>
      </w:r>
      <w:r>
        <w:t>chances for personal development, acknowledge their accomplishments, and promote a feeling of community.</w:t>
      </w:r>
    </w:p>
    <w:p w:rsidR="007F36BB" w:rsidRDefault="00555438">
      <w:r>
        <w:t>Advocates for the organisation are personnel at the highest level. They aggressively spread the word about the company since they not only like what they do. By coordinating their beliefs with the objective of the company and enticing them to take part in CSR programmes, these employees may be more effectively engaged.</w:t>
      </w:r>
    </w:p>
    <w:p w:rsidR="00504A88" w:rsidRDefault="00504A88"/>
    <w:p w:rsidR="007F36BB" w:rsidRPr="00C2422E" w:rsidRDefault="00555438">
      <w:pPr>
        <w:rPr>
          <w:b/>
        </w:rPr>
      </w:pPr>
      <w:r w:rsidRPr="00C2422E">
        <w:rPr>
          <w:b/>
        </w:rPr>
        <w:t>Examples from the Industry</w:t>
      </w:r>
    </w:p>
    <w:p w:rsidR="007F36BB" w:rsidRDefault="00555438">
      <w:r>
        <w:lastRenderedPageBreak/>
        <w:t>Large hotels are part of the hospitality sector, which has realised how crucial it is to retain Generation Y and Generation Z workers. Here are some examples from several industries that demonstrate good employee engagement strategies:</w:t>
      </w:r>
    </w:p>
    <w:p w:rsidR="00C2422E" w:rsidRDefault="00555438">
      <w:r w:rsidRPr="00C2422E">
        <w:rPr>
          <w:b/>
        </w:rPr>
        <w:t>Marriott International:</w:t>
      </w:r>
      <w:r>
        <w:t xml:space="preserve"> Marriott created the "TakeCare" programme, which emphasises the well-being of employees. Numerous advantages are provided by this programme, such as flexible work arrangements, health initiatives, and chances for professional advancement.</w:t>
      </w:r>
    </w:p>
    <w:p w:rsidR="007F36BB" w:rsidRDefault="00555438">
      <w:r w:rsidRPr="00C2422E">
        <w:rPr>
          <w:b/>
        </w:rPr>
        <w:t>Hilton:</w:t>
      </w:r>
      <w:r>
        <w:t xml:space="preserve"> Hilton has established the "THRIVE" programme, which places a strong emphasis on its workers' professional development. It offers a variety of options for study and growth, including access to a robu</w:t>
      </w:r>
      <w:r w:rsidR="002D669B">
        <w:t xml:space="preserve">st online learning environment </w:t>
      </w:r>
      <w:r w:rsidR="002D669B" w:rsidRPr="002D669B">
        <w:rPr>
          <w:rFonts w:cs="Arial"/>
          <w:szCs w:val="24"/>
        </w:rPr>
        <w:t>(</w:t>
      </w:r>
      <w:r w:rsidR="002D669B" w:rsidRPr="002D669B">
        <w:rPr>
          <w:rFonts w:cs="Arial"/>
          <w:color w:val="222222"/>
          <w:szCs w:val="24"/>
          <w:shd w:val="clear" w:color="auto" w:fill="FFFFFF"/>
        </w:rPr>
        <w:t>Lamo, 2019).</w:t>
      </w:r>
    </w:p>
    <w:p w:rsidR="007F36BB" w:rsidRDefault="00555438">
      <w:r w:rsidRPr="00C2422E">
        <w:rPr>
          <w:b/>
        </w:rPr>
        <w:t>Accor Hotels</w:t>
      </w:r>
      <w:r w:rsidR="00C2422E" w:rsidRPr="00C2422E">
        <w:rPr>
          <w:b/>
        </w:rPr>
        <w:t>:</w:t>
      </w:r>
      <w:r w:rsidR="00C2422E">
        <w:t xml:space="preserve"> AccorHotels places a high priority on diversity and inclusion. The company runs a programme named "RiiSE" to advance gender diversity inside the company. This fits nicely with both Generation Y and Generation Z's aspirations for inclusive workplaces.</w:t>
      </w:r>
    </w:p>
    <w:p w:rsidR="007F36BB" w:rsidRDefault="00555438">
      <w:r w:rsidRPr="00C2422E">
        <w:rPr>
          <w:b/>
        </w:rPr>
        <w:t>Hyatt:</w:t>
      </w:r>
      <w:r>
        <w:t xml:space="preserve"> Hyatt has a platform called "Purpose and Impact" that encourages staff members to participate in CSR projects. This gives these generations a sense of purpose at work and speaks to their social conscience.</w:t>
      </w:r>
    </w:p>
    <w:p w:rsidR="007F36BB" w:rsidRDefault="007F36BB"/>
    <w:p w:rsidR="00504A88" w:rsidRDefault="00555438">
      <w:pPr>
        <w:spacing w:line="240" w:lineRule="auto"/>
        <w:jc w:val="left"/>
        <w:rPr>
          <w:b/>
          <w:color w:val="000000" w:themeColor="text1"/>
          <w:sz w:val="36"/>
          <w:szCs w:val="32"/>
        </w:rPr>
      </w:pPr>
      <w:bookmarkStart w:id="2" w:name="_Toc148013398"/>
      <w:r>
        <w:br w:type="page"/>
      </w:r>
    </w:p>
    <w:p w:rsidR="007F36BB" w:rsidRDefault="00555438" w:rsidP="00C2422E">
      <w:pPr>
        <w:pStyle w:val="Heading1"/>
      </w:pPr>
      <w:r>
        <w:lastRenderedPageBreak/>
        <w:t>Conclusion</w:t>
      </w:r>
      <w:bookmarkEnd w:id="2"/>
    </w:p>
    <w:p w:rsidR="007F36BB" w:rsidRDefault="00555438">
      <w:r>
        <w:t>Engaging Generation Y and Generation Z workers throughout their professional journeys is a strategic priority in the competitive and constantly changing hospitality business. In order to efficiently attract, re</w:t>
      </w:r>
      <w:r w:rsidR="00504A88">
        <w:t>cruit, onboard, develop, retain</w:t>
      </w:r>
      <w:r>
        <w:t xml:space="preserve"> an</w:t>
      </w:r>
      <w:r w:rsidR="00504A88">
        <w:t>d</w:t>
      </w:r>
      <w:r>
        <w:t xml:space="preserve"> if required, separate personnel, human resources departments play a key role in managing the employee lifecycle. Customising interaction techniques requires an understanding of the distinctive traits and interests of different generations. This entails using technology, enabling flexible work schedules, creatin</w:t>
      </w:r>
      <w:r w:rsidR="00504A88">
        <w:t>g chances for lifelong learning</w:t>
      </w:r>
      <w:r>
        <w:t xml:space="preserve"> and encouraging diversity and inclusion.</w:t>
      </w:r>
    </w:p>
    <w:p w:rsidR="007F36BB" w:rsidRDefault="00555438">
      <w:r>
        <w:t>Organisations may evaluate and improve employee engagement at various levels by implemen</w:t>
      </w:r>
      <w:r w:rsidR="00504A88">
        <w:t>ting employee engagement models</w:t>
      </w:r>
      <w:r>
        <w:t xml:space="preserve"> such as the Engagement Pyramid. Leading hotel chains have effectively engaged their Generation Y and Generation Z employees by adapting their programmes to r</w:t>
      </w:r>
      <w:r w:rsidR="00504A88">
        <w:t>eflect their tastes and beliefs</w:t>
      </w:r>
      <w:r>
        <w:t xml:space="preserve"> as shown by examples from the industry.</w:t>
      </w:r>
    </w:p>
    <w:p w:rsidR="007F36BB" w:rsidRDefault="00555438">
      <w:r>
        <w:t>In the end,</w:t>
      </w:r>
      <w:r w:rsidR="00C2422E">
        <w:t xml:space="preserve"> major hotels gai</w:t>
      </w:r>
      <w:r>
        <w:t>n much from an engaged staff,</w:t>
      </w:r>
      <w:r w:rsidR="00C2422E">
        <w:t xml:space="preserve"> particularly among Generation Y and Generation Z. It boosts output, encoura</w:t>
      </w:r>
      <w:r>
        <w:t>ges innovation, lowers turnover</w:t>
      </w:r>
      <w:r w:rsidR="00C2422E">
        <w:t xml:space="preserve"> and raises customer happiness. Hotels may position themselves for long-term success in the fast-paced and cutthroat business of hospitality by investing in these generations' participation.</w:t>
      </w:r>
    </w:p>
    <w:p w:rsidR="004C0C2D" w:rsidRDefault="004C0C2D"/>
    <w:p w:rsidR="00504A88" w:rsidRDefault="00555438">
      <w:pPr>
        <w:spacing w:line="240" w:lineRule="auto"/>
        <w:jc w:val="left"/>
        <w:rPr>
          <w:b/>
          <w:color w:val="000000" w:themeColor="text1"/>
          <w:sz w:val="36"/>
          <w:szCs w:val="32"/>
        </w:rPr>
      </w:pPr>
      <w:bookmarkStart w:id="3" w:name="_Toc148013399"/>
      <w:r>
        <w:br w:type="page"/>
      </w:r>
    </w:p>
    <w:p w:rsidR="007F36BB" w:rsidRDefault="00555438" w:rsidP="004C0C2D">
      <w:pPr>
        <w:pStyle w:val="Heading1"/>
      </w:pPr>
      <w:r>
        <w:lastRenderedPageBreak/>
        <w:t>References</w:t>
      </w:r>
      <w:bookmarkEnd w:id="3"/>
    </w:p>
    <w:p w:rsidR="00EA28C6" w:rsidRPr="00EA28C6" w:rsidRDefault="00555438" w:rsidP="00EA28C6">
      <w:pPr>
        <w:rPr>
          <w:rFonts w:cs="Arial"/>
          <w:color w:val="222222"/>
          <w:shd w:val="clear" w:color="auto" w:fill="FFFFFF"/>
        </w:rPr>
      </w:pPr>
      <w:r w:rsidRPr="00EA28C6">
        <w:rPr>
          <w:rFonts w:cs="Arial"/>
          <w:color w:val="222222"/>
          <w:shd w:val="clear" w:color="auto" w:fill="FFFFFF"/>
        </w:rPr>
        <w:t>Bartlett, K.R., Johnson, K.R. and Schneider, I.E., (2016). Comparing strategic human resource development approaches for tourism and hospitality workforce planning. </w:t>
      </w:r>
      <w:r w:rsidRPr="00EA28C6">
        <w:rPr>
          <w:rFonts w:cs="Arial"/>
          <w:i/>
          <w:iCs/>
          <w:color w:val="222222"/>
          <w:shd w:val="clear" w:color="auto" w:fill="FFFFFF"/>
        </w:rPr>
        <w:t>Journal of Human Resources in Hospitality &amp; Tourism</w:t>
      </w:r>
      <w:r w:rsidRPr="00EA28C6">
        <w:rPr>
          <w:rFonts w:cs="Arial"/>
          <w:color w:val="222222"/>
          <w:shd w:val="clear" w:color="auto" w:fill="FFFFFF"/>
        </w:rPr>
        <w:t>, </w:t>
      </w:r>
      <w:r w:rsidRPr="00EA28C6">
        <w:rPr>
          <w:rFonts w:cs="Arial"/>
          <w:i/>
          <w:iCs/>
          <w:color w:val="222222"/>
          <w:shd w:val="clear" w:color="auto" w:fill="FFFFFF"/>
        </w:rPr>
        <w:t>15</w:t>
      </w:r>
      <w:r w:rsidRPr="00EA28C6">
        <w:rPr>
          <w:rFonts w:cs="Arial"/>
          <w:color w:val="222222"/>
          <w:shd w:val="clear" w:color="auto" w:fill="FFFFFF"/>
        </w:rPr>
        <w:t>(4), pp.440-461.</w:t>
      </w:r>
    </w:p>
    <w:p w:rsidR="00EA28C6" w:rsidRPr="00EA28C6" w:rsidRDefault="00555438" w:rsidP="00EA28C6">
      <w:pPr>
        <w:rPr>
          <w:rFonts w:cs="Arial"/>
          <w:color w:val="222222"/>
          <w:shd w:val="clear" w:color="auto" w:fill="FFFFFF"/>
        </w:rPr>
      </w:pPr>
      <w:r w:rsidRPr="00EA28C6">
        <w:rPr>
          <w:rFonts w:cs="Arial"/>
          <w:color w:val="222222"/>
          <w:shd w:val="clear" w:color="auto" w:fill="FFFFFF"/>
        </w:rPr>
        <w:t>Burke, R.J., (2018). Human resource management in the hospitality and tourism sector. </w:t>
      </w:r>
      <w:r w:rsidRPr="00EA28C6">
        <w:rPr>
          <w:rFonts w:cs="Arial"/>
          <w:i/>
          <w:iCs/>
          <w:color w:val="222222"/>
          <w:shd w:val="clear" w:color="auto" w:fill="FFFFFF"/>
        </w:rPr>
        <w:t>Handbook of human resource management in the tourism and hospitality industries</w:t>
      </w:r>
      <w:r w:rsidRPr="00EA28C6">
        <w:rPr>
          <w:rFonts w:cs="Arial"/>
          <w:color w:val="222222"/>
          <w:shd w:val="clear" w:color="auto" w:fill="FFFFFF"/>
        </w:rPr>
        <w:t>, pp.3-39.</w:t>
      </w:r>
    </w:p>
    <w:p w:rsidR="00EA28C6" w:rsidRPr="00EA28C6" w:rsidRDefault="00555438" w:rsidP="00EA28C6">
      <w:pPr>
        <w:rPr>
          <w:rFonts w:cs="Arial"/>
          <w:color w:val="222222"/>
          <w:shd w:val="clear" w:color="auto" w:fill="FFFFFF"/>
        </w:rPr>
      </w:pPr>
      <w:r w:rsidRPr="00EA28C6">
        <w:rPr>
          <w:rFonts w:cs="Arial"/>
          <w:color w:val="222222"/>
          <w:shd w:val="clear" w:color="auto" w:fill="FFFFFF"/>
        </w:rPr>
        <w:t>Carter, W.R., Nesbit, P.L., Badham, R.J., Parker, S.K. and Sung, L.K., (2018). The effects of employee engagement and self-efficacy on job performance: a longitudinal field study. </w:t>
      </w:r>
      <w:r w:rsidRPr="00EA28C6">
        <w:rPr>
          <w:rFonts w:cs="Arial"/>
          <w:i/>
          <w:iCs/>
          <w:color w:val="222222"/>
          <w:shd w:val="clear" w:color="auto" w:fill="FFFFFF"/>
        </w:rPr>
        <w:t>The international journal of human resource management</w:t>
      </w:r>
      <w:r w:rsidRPr="00EA28C6">
        <w:rPr>
          <w:rFonts w:cs="Arial"/>
          <w:color w:val="222222"/>
          <w:shd w:val="clear" w:color="auto" w:fill="FFFFFF"/>
        </w:rPr>
        <w:t>, </w:t>
      </w:r>
      <w:r w:rsidRPr="00EA28C6">
        <w:rPr>
          <w:rFonts w:cs="Arial"/>
          <w:i/>
          <w:iCs/>
          <w:color w:val="222222"/>
          <w:shd w:val="clear" w:color="auto" w:fill="FFFFFF"/>
        </w:rPr>
        <w:t>29</w:t>
      </w:r>
      <w:r w:rsidRPr="00EA28C6">
        <w:rPr>
          <w:rFonts w:cs="Arial"/>
          <w:color w:val="222222"/>
          <w:shd w:val="clear" w:color="auto" w:fill="FFFFFF"/>
        </w:rPr>
        <w:t>(17), pp.2483-2502.</w:t>
      </w:r>
    </w:p>
    <w:p w:rsidR="00EA28C6" w:rsidRPr="00EA28C6" w:rsidRDefault="00555438" w:rsidP="00EA28C6">
      <w:pPr>
        <w:rPr>
          <w:rFonts w:cs="Arial"/>
          <w:color w:val="222222"/>
          <w:shd w:val="clear" w:color="auto" w:fill="FFFFFF"/>
        </w:rPr>
      </w:pPr>
      <w:r w:rsidRPr="00EA28C6">
        <w:rPr>
          <w:rFonts w:cs="Arial"/>
          <w:color w:val="222222"/>
          <w:shd w:val="clear" w:color="auto" w:fill="FFFFFF"/>
        </w:rPr>
        <w:t>Casey, D. and Sieber, S., (2016). Employees, sustainability and motivation: Increasing employee engagement by addressing sustainability and corporate social responsibility. </w:t>
      </w:r>
      <w:r w:rsidRPr="00EA28C6">
        <w:rPr>
          <w:rFonts w:cs="Arial"/>
          <w:i/>
          <w:iCs/>
          <w:color w:val="222222"/>
          <w:shd w:val="clear" w:color="auto" w:fill="FFFFFF"/>
        </w:rPr>
        <w:t>Research in Hospitality Management</w:t>
      </w:r>
      <w:r w:rsidRPr="00EA28C6">
        <w:rPr>
          <w:rFonts w:cs="Arial"/>
          <w:color w:val="222222"/>
          <w:shd w:val="clear" w:color="auto" w:fill="FFFFFF"/>
        </w:rPr>
        <w:t>, </w:t>
      </w:r>
      <w:r w:rsidRPr="00EA28C6">
        <w:rPr>
          <w:rFonts w:cs="Arial"/>
          <w:i/>
          <w:iCs/>
          <w:color w:val="222222"/>
          <w:shd w:val="clear" w:color="auto" w:fill="FFFFFF"/>
        </w:rPr>
        <w:t>6</w:t>
      </w:r>
      <w:r w:rsidRPr="00EA28C6">
        <w:rPr>
          <w:rFonts w:cs="Arial"/>
          <w:color w:val="222222"/>
          <w:shd w:val="clear" w:color="auto" w:fill="FFFFFF"/>
        </w:rPr>
        <w:t>(1), pp.69-76.</w:t>
      </w:r>
    </w:p>
    <w:p w:rsidR="00EA28C6" w:rsidRPr="00EA28C6" w:rsidRDefault="00555438" w:rsidP="00EA28C6">
      <w:pPr>
        <w:rPr>
          <w:rFonts w:cs="Arial"/>
          <w:color w:val="222222"/>
          <w:shd w:val="clear" w:color="auto" w:fill="FFFFFF"/>
        </w:rPr>
      </w:pPr>
      <w:r w:rsidRPr="00EA28C6">
        <w:rPr>
          <w:rFonts w:cs="Arial"/>
          <w:color w:val="222222"/>
          <w:shd w:val="clear" w:color="auto" w:fill="FFFFFF"/>
        </w:rPr>
        <w:t>Dixon, L., (2022). </w:t>
      </w:r>
      <w:r w:rsidRPr="00EA28C6">
        <w:rPr>
          <w:rFonts w:cs="Arial"/>
          <w:i/>
          <w:iCs/>
          <w:color w:val="222222"/>
          <w:shd w:val="clear" w:color="auto" w:fill="FFFFFF"/>
        </w:rPr>
        <w:t>The different perceptions of flexible work arrangements between Millennials and Generation X at work</w:t>
      </w:r>
      <w:r w:rsidRPr="00EA28C6">
        <w:rPr>
          <w:rFonts w:cs="Arial"/>
          <w:color w:val="222222"/>
          <w:shd w:val="clear" w:color="auto" w:fill="FFFFFF"/>
        </w:rPr>
        <w:t> (Doctoral dissertation, Dublin, National College of Ireland).</w:t>
      </w:r>
    </w:p>
    <w:p w:rsidR="00EA28C6" w:rsidRPr="00EA28C6" w:rsidRDefault="00555438" w:rsidP="00EA28C6">
      <w:pPr>
        <w:rPr>
          <w:rFonts w:cs="Arial"/>
          <w:color w:val="222222"/>
          <w:shd w:val="clear" w:color="auto" w:fill="FFFFFF"/>
        </w:rPr>
      </w:pPr>
      <w:r w:rsidRPr="00EA28C6">
        <w:rPr>
          <w:rFonts w:cs="Arial"/>
          <w:color w:val="222222"/>
          <w:shd w:val="clear" w:color="auto" w:fill="FFFFFF"/>
        </w:rPr>
        <w:t>Formánková, S., Trenz, O., Faldík, O., Kolomazník, J. and Sládková, J., (2019). Millennials’ awareness and approach to social responsibility and investment—Case study of the Czech Republic. </w:t>
      </w:r>
      <w:r w:rsidRPr="00EA28C6">
        <w:rPr>
          <w:rFonts w:cs="Arial"/>
          <w:i/>
          <w:iCs/>
          <w:color w:val="222222"/>
          <w:shd w:val="clear" w:color="auto" w:fill="FFFFFF"/>
        </w:rPr>
        <w:t>Sustainability</w:t>
      </w:r>
      <w:r w:rsidRPr="00EA28C6">
        <w:rPr>
          <w:rFonts w:cs="Arial"/>
          <w:color w:val="222222"/>
          <w:shd w:val="clear" w:color="auto" w:fill="FFFFFF"/>
        </w:rPr>
        <w:t>, </w:t>
      </w:r>
      <w:r w:rsidRPr="00EA28C6">
        <w:rPr>
          <w:rFonts w:cs="Arial"/>
          <w:i/>
          <w:iCs/>
          <w:color w:val="222222"/>
          <w:shd w:val="clear" w:color="auto" w:fill="FFFFFF"/>
        </w:rPr>
        <w:t>11</w:t>
      </w:r>
      <w:r w:rsidRPr="00EA28C6">
        <w:rPr>
          <w:rFonts w:cs="Arial"/>
          <w:color w:val="222222"/>
          <w:shd w:val="clear" w:color="auto" w:fill="FFFFFF"/>
        </w:rPr>
        <w:t>(2), p.504.</w:t>
      </w:r>
    </w:p>
    <w:p w:rsidR="00EA28C6" w:rsidRDefault="00555438" w:rsidP="00EA28C6">
      <w:r w:rsidRPr="00EA28C6">
        <w:rPr>
          <w:rFonts w:cs="Arial"/>
          <w:color w:val="222222"/>
          <w:shd w:val="clear" w:color="auto" w:fill="FFFFFF"/>
        </w:rPr>
        <w:t>Gaidhani, S., Arora, L. and Sharma, B.K., (2019). Understanding the attitude of generation Z towards workplace. </w:t>
      </w:r>
      <w:r w:rsidRPr="00EA28C6">
        <w:rPr>
          <w:rFonts w:cs="Arial"/>
          <w:i/>
          <w:iCs/>
          <w:color w:val="222222"/>
          <w:shd w:val="clear" w:color="auto" w:fill="FFFFFF"/>
        </w:rPr>
        <w:t>International Journal of Management, Technology and Engineering</w:t>
      </w:r>
      <w:r w:rsidRPr="00EA28C6">
        <w:rPr>
          <w:rFonts w:cs="Arial"/>
          <w:color w:val="222222"/>
          <w:shd w:val="clear" w:color="auto" w:fill="FFFFFF"/>
        </w:rPr>
        <w:t>, </w:t>
      </w:r>
      <w:r w:rsidRPr="00EA28C6">
        <w:rPr>
          <w:rFonts w:cs="Arial"/>
          <w:i/>
          <w:iCs/>
          <w:color w:val="222222"/>
          <w:shd w:val="clear" w:color="auto" w:fill="FFFFFF"/>
        </w:rPr>
        <w:t>9</w:t>
      </w:r>
      <w:r w:rsidRPr="00EA28C6">
        <w:rPr>
          <w:rFonts w:cs="Arial"/>
          <w:color w:val="222222"/>
          <w:shd w:val="clear" w:color="auto" w:fill="FFFFFF"/>
        </w:rPr>
        <w:t>(1), pp.2804-2812.</w:t>
      </w:r>
    </w:p>
    <w:p w:rsidR="00EA28C6" w:rsidRPr="00EA28C6" w:rsidRDefault="00555438" w:rsidP="00EA28C6">
      <w:pPr>
        <w:rPr>
          <w:rFonts w:cs="Arial"/>
          <w:color w:val="222222"/>
          <w:shd w:val="clear" w:color="auto" w:fill="FFFFFF"/>
        </w:rPr>
      </w:pPr>
      <w:r w:rsidRPr="00EA28C6">
        <w:rPr>
          <w:rFonts w:cs="Arial"/>
          <w:color w:val="222222"/>
          <w:shd w:val="clear" w:color="auto" w:fill="FFFFFF"/>
        </w:rPr>
        <w:t>Goessling, M., (2017). Attraction and retention of generations X, Y and Z in the workplace.</w:t>
      </w:r>
    </w:p>
    <w:p w:rsidR="00EA28C6" w:rsidRPr="00EA28C6" w:rsidRDefault="00555438" w:rsidP="00EA28C6">
      <w:pPr>
        <w:rPr>
          <w:rFonts w:cs="Arial"/>
          <w:color w:val="222222"/>
          <w:shd w:val="clear" w:color="auto" w:fill="FFFFFF"/>
        </w:rPr>
      </w:pPr>
      <w:r w:rsidRPr="00EA28C6">
        <w:rPr>
          <w:rFonts w:cs="Arial"/>
          <w:color w:val="222222"/>
          <w:shd w:val="clear" w:color="auto" w:fill="FFFFFF"/>
        </w:rPr>
        <w:t>Graham, L.P., (2018). Generation Z goes to law school: teaching and reaching law students in the post-millennial generation. </w:t>
      </w:r>
      <w:r w:rsidRPr="00EA28C6">
        <w:rPr>
          <w:rFonts w:cs="Arial"/>
          <w:i/>
          <w:iCs/>
          <w:color w:val="222222"/>
          <w:shd w:val="clear" w:color="auto" w:fill="FFFFFF"/>
        </w:rPr>
        <w:t>UALR L. Rev.</w:t>
      </w:r>
      <w:r w:rsidRPr="00EA28C6">
        <w:rPr>
          <w:rFonts w:cs="Arial"/>
          <w:color w:val="222222"/>
          <w:shd w:val="clear" w:color="auto" w:fill="FFFFFF"/>
        </w:rPr>
        <w:t>, </w:t>
      </w:r>
      <w:r w:rsidRPr="00EA28C6">
        <w:rPr>
          <w:rFonts w:cs="Arial"/>
          <w:i/>
          <w:iCs/>
          <w:color w:val="222222"/>
          <w:shd w:val="clear" w:color="auto" w:fill="FFFFFF"/>
        </w:rPr>
        <w:t>41</w:t>
      </w:r>
      <w:r w:rsidRPr="00EA28C6">
        <w:rPr>
          <w:rFonts w:cs="Arial"/>
          <w:color w:val="222222"/>
          <w:shd w:val="clear" w:color="auto" w:fill="FFFFFF"/>
        </w:rPr>
        <w:t>, p.29.</w:t>
      </w:r>
    </w:p>
    <w:p w:rsidR="00EA28C6" w:rsidRPr="00EA28C6" w:rsidRDefault="00555438" w:rsidP="00EA28C6">
      <w:pPr>
        <w:rPr>
          <w:rFonts w:cs="Arial"/>
          <w:color w:val="222222"/>
          <w:shd w:val="clear" w:color="auto" w:fill="FFFFFF"/>
        </w:rPr>
      </w:pPr>
      <w:r w:rsidRPr="00EA28C6">
        <w:rPr>
          <w:rFonts w:cs="Arial"/>
          <w:color w:val="222222"/>
          <w:shd w:val="clear" w:color="auto" w:fill="FFFFFF"/>
        </w:rPr>
        <w:t>Karim, M.M., Choudhury, M.M. and Latif, W.B., (2019). The impact of training and development on employees’ performance: an analysis of quantitative data. </w:t>
      </w:r>
      <w:r w:rsidRPr="00EA28C6">
        <w:rPr>
          <w:rFonts w:cs="Arial"/>
          <w:i/>
          <w:iCs/>
          <w:color w:val="222222"/>
          <w:shd w:val="clear" w:color="auto" w:fill="FFFFFF"/>
        </w:rPr>
        <w:t>Noble International Journal of Business and Management Research</w:t>
      </w:r>
      <w:r w:rsidRPr="00EA28C6">
        <w:rPr>
          <w:rFonts w:cs="Arial"/>
          <w:color w:val="222222"/>
          <w:shd w:val="clear" w:color="auto" w:fill="FFFFFF"/>
        </w:rPr>
        <w:t>, </w:t>
      </w:r>
      <w:r w:rsidRPr="00EA28C6">
        <w:rPr>
          <w:rFonts w:cs="Arial"/>
          <w:i/>
          <w:iCs/>
          <w:color w:val="222222"/>
          <w:shd w:val="clear" w:color="auto" w:fill="FFFFFF"/>
        </w:rPr>
        <w:t>3</w:t>
      </w:r>
      <w:r w:rsidRPr="00EA28C6">
        <w:rPr>
          <w:rFonts w:cs="Arial"/>
          <w:color w:val="222222"/>
          <w:shd w:val="clear" w:color="auto" w:fill="FFFFFF"/>
        </w:rPr>
        <w:t>(2), pp.25-33.</w:t>
      </w:r>
    </w:p>
    <w:p w:rsidR="00EA28C6" w:rsidRPr="00EA28C6" w:rsidRDefault="00555438" w:rsidP="00EA28C6">
      <w:pPr>
        <w:rPr>
          <w:rFonts w:cs="Arial"/>
          <w:color w:val="222222"/>
          <w:shd w:val="clear" w:color="auto" w:fill="FFFFFF"/>
        </w:rPr>
      </w:pPr>
      <w:r w:rsidRPr="00EA28C6">
        <w:rPr>
          <w:rFonts w:cs="Arial"/>
          <w:color w:val="222222"/>
          <w:shd w:val="clear" w:color="auto" w:fill="FFFFFF"/>
        </w:rPr>
        <w:t>Kavya, M. and Padmavathy, G., (2017). Employee engagement: a review on engagement models. </w:t>
      </w:r>
      <w:r w:rsidRPr="00EA28C6">
        <w:rPr>
          <w:rFonts w:cs="Arial"/>
          <w:i/>
          <w:iCs/>
          <w:color w:val="222222"/>
          <w:shd w:val="clear" w:color="auto" w:fill="FFFFFF"/>
        </w:rPr>
        <w:t>Imperial Journal of Interdisciplinary Research (IJIR)</w:t>
      </w:r>
      <w:r w:rsidRPr="00EA28C6">
        <w:rPr>
          <w:rFonts w:cs="Arial"/>
          <w:color w:val="222222"/>
          <w:shd w:val="clear" w:color="auto" w:fill="FFFFFF"/>
        </w:rPr>
        <w:t>, </w:t>
      </w:r>
      <w:r w:rsidRPr="00EA28C6">
        <w:rPr>
          <w:rFonts w:cs="Arial"/>
          <w:i/>
          <w:iCs/>
          <w:color w:val="222222"/>
          <w:shd w:val="clear" w:color="auto" w:fill="FFFFFF"/>
        </w:rPr>
        <w:t>3</w:t>
      </w:r>
      <w:r w:rsidRPr="00EA28C6">
        <w:rPr>
          <w:rFonts w:cs="Arial"/>
          <w:color w:val="222222"/>
          <w:shd w:val="clear" w:color="auto" w:fill="FFFFFF"/>
        </w:rPr>
        <w:t>(2), pp.871-877.</w:t>
      </w:r>
    </w:p>
    <w:p w:rsidR="00EA28C6" w:rsidRPr="00EA28C6" w:rsidRDefault="00555438" w:rsidP="00EA28C6">
      <w:pPr>
        <w:rPr>
          <w:rFonts w:cs="Arial"/>
          <w:color w:val="222222"/>
          <w:shd w:val="clear" w:color="auto" w:fill="FFFFFF"/>
        </w:rPr>
      </w:pPr>
      <w:r w:rsidRPr="00EA28C6">
        <w:rPr>
          <w:rFonts w:cs="Arial"/>
          <w:color w:val="222222"/>
          <w:shd w:val="clear" w:color="auto" w:fill="FFFFFF"/>
        </w:rPr>
        <w:lastRenderedPageBreak/>
        <w:t>Klein, P., (2020). </w:t>
      </w:r>
      <w:r w:rsidRPr="00EA28C6">
        <w:rPr>
          <w:rFonts w:cs="Arial"/>
          <w:i/>
          <w:iCs/>
          <w:color w:val="222222"/>
          <w:shd w:val="clear" w:color="auto" w:fill="FFFFFF"/>
        </w:rPr>
        <w:t>NEW GENERATIONS: CHANGING VALUES OF GENERATION Y &amp; Z Impact on today’s organisations, human resource management and leadership</w:t>
      </w:r>
      <w:r w:rsidRPr="00EA28C6">
        <w:rPr>
          <w:rFonts w:cs="Arial"/>
          <w:color w:val="222222"/>
          <w:shd w:val="clear" w:color="auto" w:fill="FFFFFF"/>
        </w:rPr>
        <w:t> (Doctoral dissertation, soe).</w:t>
      </w:r>
    </w:p>
    <w:p w:rsidR="00EA28C6" w:rsidRPr="00EA28C6" w:rsidRDefault="00555438" w:rsidP="00EA28C6">
      <w:pPr>
        <w:rPr>
          <w:rFonts w:cs="Arial"/>
          <w:color w:val="222222"/>
          <w:shd w:val="clear" w:color="auto" w:fill="FFFFFF"/>
        </w:rPr>
      </w:pPr>
      <w:r w:rsidRPr="00EA28C6">
        <w:rPr>
          <w:rFonts w:cs="Arial"/>
          <w:color w:val="222222"/>
          <w:shd w:val="clear" w:color="auto" w:fill="FFFFFF"/>
        </w:rPr>
        <w:t>Lamo, E.G., (2019). The Center of Success: A Case Study on Hilton's Company Culture.</w:t>
      </w:r>
    </w:p>
    <w:p w:rsidR="00EA28C6" w:rsidRPr="00EA28C6" w:rsidRDefault="00555438" w:rsidP="00EA28C6">
      <w:pPr>
        <w:rPr>
          <w:rFonts w:cs="Arial"/>
          <w:color w:val="222222"/>
          <w:shd w:val="clear" w:color="auto" w:fill="FFFFFF"/>
        </w:rPr>
      </w:pPr>
      <w:r w:rsidRPr="00EA28C6">
        <w:rPr>
          <w:rFonts w:cs="Arial"/>
          <w:color w:val="222222"/>
          <w:shd w:val="clear" w:color="auto" w:fill="FFFFFF"/>
        </w:rPr>
        <w:t>Manolova, P., (2020). Aspiring, ambivalent, assertive: Bulgarian middle-class subjectivities and boundary work through migration. </w:t>
      </w:r>
      <w:r w:rsidRPr="00EA28C6">
        <w:rPr>
          <w:rFonts w:cs="Arial"/>
          <w:i/>
          <w:iCs/>
          <w:color w:val="222222"/>
          <w:shd w:val="clear" w:color="auto" w:fill="FFFFFF"/>
        </w:rPr>
        <w:t>East European Politics and Societies</w:t>
      </w:r>
      <w:r w:rsidRPr="00EA28C6">
        <w:rPr>
          <w:rFonts w:cs="Arial"/>
          <w:color w:val="222222"/>
          <w:shd w:val="clear" w:color="auto" w:fill="FFFFFF"/>
        </w:rPr>
        <w:t>, </w:t>
      </w:r>
      <w:r w:rsidRPr="00EA28C6">
        <w:rPr>
          <w:rFonts w:cs="Arial"/>
          <w:i/>
          <w:iCs/>
          <w:color w:val="222222"/>
          <w:shd w:val="clear" w:color="auto" w:fill="FFFFFF"/>
        </w:rPr>
        <w:t>34</w:t>
      </w:r>
      <w:r w:rsidRPr="00EA28C6">
        <w:rPr>
          <w:rFonts w:cs="Arial"/>
          <w:color w:val="222222"/>
          <w:shd w:val="clear" w:color="auto" w:fill="FFFFFF"/>
        </w:rPr>
        <w:t>(02), pp.505-528.</w:t>
      </w:r>
    </w:p>
    <w:p w:rsidR="00EA28C6" w:rsidRPr="00EA28C6" w:rsidRDefault="00555438" w:rsidP="00EA28C6">
      <w:pPr>
        <w:rPr>
          <w:rFonts w:cs="Arial"/>
          <w:color w:val="222222"/>
          <w:shd w:val="clear" w:color="auto" w:fill="FFFFFF"/>
        </w:rPr>
      </w:pPr>
      <w:r w:rsidRPr="00EA28C6">
        <w:rPr>
          <w:rFonts w:cs="Arial"/>
          <w:color w:val="222222"/>
          <w:shd w:val="clear" w:color="auto" w:fill="FFFFFF"/>
        </w:rPr>
        <w:t>McGaha, K.K., (2018). </w:t>
      </w:r>
      <w:r w:rsidRPr="00EA28C6">
        <w:rPr>
          <w:rFonts w:cs="Arial"/>
          <w:i/>
          <w:iCs/>
          <w:color w:val="222222"/>
          <w:shd w:val="clear" w:color="auto" w:fill="FFFFFF"/>
        </w:rPr>
        <w:t>An interpretive phenomenological study of America's emerging workforce: Exploring Generation Z's leadership preferences</w:t>
      </w:r>
      <w:r w:rsidRPr="00EA28C6">
        <w:rPr>
          <w:rFonts w:cs="Arial"/>
          <w:color w:val="222222"/>
          <w:shd w:val="clear" w:color="auto" w:fill="FFFFFF"/>
        </w:rPr>
        <w:t> (Doctoral dissertation, University of Phoenix).</w:t>
      </w:r>
    </w:p>
    <w:p w:rsidR="00EA28C6" w:rsidRPr="00EA28C6" w:rsidRDefault="00555438" w:rsidP="00EA28C6">
      <w:pPr>
        <w:rPr>
          <w:rFonts w:cs="Arial"/>
          <w:color w:val="222222"/>
          <w:shd w:val="clear" w:color="auto" w:fill="FFFFFF"/>
        </w:rPr>
      </w:pPr>
      <w:r w:rsidRPr="00EA28C6">
        <w:rPr>
          <w:rFonts w:cs="Arial"/>
          <w:color w:val="222222"/>
          <w:shd w:val="clear" w:color="auto" w:fill="FFFFFF"/>
        </w:rPr>
        <w:t>Pandita, D. and Ray, S., (2018). Talent management and employee engagement–a meta-analysis of their impact on talent retention. </w:t>
      </w:r>
      <w:r w:rsidRPr="00EA28C6">
        <w:rPr>
          <w:rFonts w:cs="Arial"/>
          <w:i/>
          <w:iCs/>
          <w:color w:val="222222"/>
          <w:shd w:val="clear" w:color="auto" w:fill="FFFFFF"/>
        </w:rPr>
        <w:t>Industrial and Commercial Training</w:t>
      </w:r>
      <w:r w:rsidRPr="00EA28C6">
        <w:rPr>
          <w:rFonts w:cs="Arial"/>
          <w:color w:val="222222"/>
          <w:shd w:val="clear" w:color="auto" w:fill="FFFFFF"/>
        </w:rPr>
        <w:t>, </w:t>
      </w:r>
      <w:r w:rsidRPr="00EA28C6">
        <w:rPr>
          <w:rFonts w:cs="Arial"/>
          <w:i/>
          <w:iCs/>
          <w:color w:val="222222"/>
          <w:shd w:val="clear" w:color="auto" w:fill="FFFFFF"/>
        </w:rPr>
        <w:t>50</w:t>
      </w:r>
      <w:r w:rsidRPr="00EA28C6">
        <w:rPr>
          <w:rFonts w:cs="Arial"/>
          <w:color w:val="222222"/>
          <w:shd w:val="clear" w:color="auto" w:fill="FFFFFF"/>
        </w:rPr>
        <w:t xml:space="preserve">(4), pp.185-199. </w:t>
      </w:r>
    </w:p>
    <w:p w:rsidR="00EA28C6" w:rsidRPr="00EA28C6" w:rsidRDefault="00555438" w:rsidP="00EA28C6">
      <w:pPr>
        <w:rPr>
          <w:rFonts w:cs="Arial"/>
          <w:color w:val="222222"/>
          <w:shd w:val="clear" w:color="auto" w:fill="FFFFFF"/>
        </w:rPr>
      </w:pPr>
      <w:r w:rsidRPr="00EA28C6">
        <w:rPr>
          <w:rFonts w:cs="Arial"/>
          <w:color w:val="222222"/>
          <w:shd w:val="clear" w:color="auto" w:fill="FFFFFF"/>
        </w:rPr>
        <w:t>Sahni, J., (2019). Role of quality of work life in determining employee engagement and organizational commitment in telecom industry. </w:t>
      </w:r>
      <w:r w:rsidRPr="00EA28C6">
        <w:rPr>
          <w:rFonts w:cs="Arial"/>
          <w:i/>
          <w:iCs/>
          <w:color w:val="222222"/>
          <w:shd w:val="clear" w:color="auto" w:fill="FFFFFF"/>
        </w:rPr>
        <w:t>International Journal for Quality Research</w:t>
      </w:r>
      <w:r w:rsidRPr="00EA28C6">
        <w:rPr>
          <w:rFonts w:cs="Arial"/>
          <w:color w:val="222222"/>
          <w:shd w:val="clear" w:color="auto" w:fill="FFFFFF"/>
        </w:rPr>
        <w:t>, </w:t>
      </w:r>
      <w:r w:rsidRPr="00EA28C6">
        <w:rPr>
          <w:rFonts w:cs="Arial"/>
          <w:i/>
          <w:iCs/>
          <w:color w:val="222222"/>
          <w:shd w:val="clear" w:color="auto" w:fill="FFFFFF"/>
        </w:rPr>
        <w:t>13</w:t>
      </w:r>
      <w:r w:rsidRPr="00EA28C6">
        <w:rPr>
          <w:rFonts w:cs="Arial"/>
          <w:color w:val="222222"/>
          <w:shd w:val="clear" w:color="auto" w:fill="FFFFFF"/>
        </w:rPr>
        <w:t>(2), p.285.</w:t>
      </w:r>
    </w:p>
    <w:p w:rsidR="00EA28C6" w:rsidRPr="00EA28C6" w:rsidRDefault="00555438" w:rsidP="00EA28C6">
      <w:pPr>
        <w:rPr>
          <w:rFonts w:cs="Arial"/>
          <w:color w:val="222222"/>
          <w:shd w:val="clear" w:color="auto" w:fill="FFFFFF"/>
        </w:rPr>
      </w:pPr>
      <w:r w:rsidRPr="00EA28C6">
        <w:rPr>
          <w:rFonts w:cs="Arial"/>
          <w:color w:val="222222"/>
          <w:shd w:val="clear" w:color="auto" w:fill="FFFFFF"/>
        </w:rPr>
        <w:t>Sánchez-Hernández, M.I., González-López, Ó.R., Buenadicha-Mateos, M. and Tato-Jiménez, J.L., (2019). Work-life balance in great companies and pending issues for engaging new generations at work. </w:t>
      </w:r>
      <w:r w:rsidRPr="00EA28C6">
        <w:rPr>
          <w:rFonts w:cs="Arial"/>
          <w:i/>
          <w:iCs/>
          <w:color w:val="222222"/>
          <w:shd w:val="clear" w:color="auto" w:fill="FFFFFF"/>
        </w:rPr>
        <w:t>International journal of environmental research and public health</w:t>
      </w:r>
      <w:r w:rsidRPr="00EA28C6">
        <w:rPr>
          <w:rFonts w:cs="Arial"/>
          <w:color w:val="222222"/>
          <w:shd w:val="clear" w:color="auto" w:fill="FFFFFF"/>
        </w:rPr>
        <w:t>, </w:t>
      </w:r>
      <w:r w:rsidRPr="00EA28C6">
        <w:rPr>
          <w:rFonts w:cs="Arial"/>
          <w:i/>
          <w:iCs/>
          <w:color w:val="222222"/>
          <w:shd w:val="clear" w:color="auto" w:fill="FFFFFF"/>
        </w:rPr>
        <w:t>16</w:t>
      </w:r>
      <w:r w:rsidRPr="00EA28C6">
        <w:rPr>
          <w:rFonts w:cs="Arial"/>
          <w:color w:val="222222"/>
          <w:shd w:val="clear" w:color="auto" w:fill="FFFFFF"/>
        </w:rPr>
        <w:t>(24), p.5122.</w:t>
      </w:r>
    </w:p>
    <w:p w:rsidR="00EA28C6" w:rsidRPr="00EA28C6" w:rsidRDefault="00555438" w:rsidP="00EA28C6">
      <w:pPr>
        <w:rPr>
          <w:rFonts w:cs="Arial"/>
          <w:color w:val="222222"/>
          <w:shd w:val="clear" w:color="auto" w:fill="FFFFFF"/>
        </w:rPr>
      </w:pPr>
      <w:r w:rsidRPr="00EA28C6">
        <w:rPr>
          <w:rFonts w:cs="Arial"/>
          <w:color w:val="222222"/>
          <w:shd w:val="clear" w:color="auto" w:fill="FFFFFF"/>
        </w:rPr>
        <w:t>Schwieger, D. and Ladwig, C., (2018). Reaching and retaining the next generation: Adapting to the expectations of Gen Z in the classroom. </w:t>
      </w:r>
      <w:r w:rsidRPr="00EA28C6">
        <w:rPr>
          <w:rFonts w:cs="Arial"/>
          <w:i/>
          <w:iCs/>
          <w:color w:val="222222"/>
          <w:shd w:val="clear" w:color="auto" w:fill="FFFFFF"/>
        </w:rPr>
        <w:t>Information Systems Education Journal</w:t>
      </w:r>
      <w:r w:rsidRPr="00EA28C6">
        <w:rPr>
          <w:rFonts w:cs="Arial"/>
          <w:color w:val="222222"/>
          <w:shd w:val="clear" w:color="auto" w:fill="FFFFFF"/>
        </w:rPr>
        <w:t>, </w:t>
      </w:r>
      <w:r w:rsidRPr="00EA28C6">
        <w:rPr>
          <w:rFonts w:cs="Arial"/>
          <w:i/>
          <w:iCs/>
          <w:color w:val="222222"/>
          <w:shd w:val="clear" w:color="auto" w:fill="FFFFFF"/>
        </w:rPr>
        <w:t>16</w:t>
      </w:r>
      <w:r w:rsidRPr="00EA28C6">
        <w:rPr>
          <w:rFonts w:cs="Arial"/>
          <w:color w:val="222222"/>
          <w:shd w:val="clear" w:color="auto" w:fill="FFFFFF"/>
        </w:rPr>
        <w:t>(3), p.45.</w:t>
      </w:r>
    </w:p>
    <w:p w:rsidR="00EA28C6" w:rsidRDefault="00555438" w:rsidP="00EA28C6">
      <w:r w:rsidRPr="00EA28C6">
        <w:rPr>
          <w:rFonts w:cs="Arial"/>
          <w:color w:val="222222"/>
          <w:shd w:val="clear" w:color="auto" w:fill="FFFFFF"/>
        </w:rPr>
        <w:t>Tweedie, D., Wild, D., Rhodes, C. and Martinov</w:t>
      </w:r>
      <w:r w:rsidRPr="00EA28C6">
        <w:rPr>
          <w:rFonts w:ascii="Cambria Math" w:hAnsi="Cambria Math" w:cs="Cambria Math"/>
          <w:color w:val="222222"/>
          <w:shd w:val="clear" w:color="auto" w:fill="FFFFFF"/>
        </w:rPr>
        <w:t>‐</w:t>
      </w:r>
      <w:r w:rsidRPr="00EA28C6">
        <w:rPr>
          <w:rFonts w:cs="Arial"/>
          <w:color w:val="222222"/>
          <w:shd w:val="clear" w:color="auto" w:fill="FFFFFF"/>
        </w:rPr>
        <w:t>Bennie, N., (2019). How does performance management affect workers? Beyond human resource management and its critique. </w:t>
      </w:r>
      <w:r w:rsidRPr="00EA28C6">
        <w:rPr>
          <w:rFonts w:cs="Arial"/>
          <w:i/>
          <w:iCs/>
          <w:color w:val="222222"/>
          <w:shd w:val="clear" w:color="auto" w:fill="FFFFFF"/>
        </w:rPr>
        <w:t>International Journal of Management Reviews</w:t>
      </w:r>
      <w:r w:rsidRPr="00EA28C6">
        <w:rPr>
          <w:rFonts w:cs="Arial"/>
          <w:color w:val="222222"/>
          <w:shd w:val="clear" w:color="auto" w:fill="FFFFFF"/>
        </w:rPr>
        <w:t>, </w:t>
      </w:r>
      <w:r w:rsidRPr="00EA28C6">
        <w:rPr>
          <w:rFonts w:cs="Arial"/>
          <w:i/>
          <w:iCs/>
          <w:color w:val="222222"/>
          <w:shd w:val="clear" w:color="auto" w:fill="FFFFFF"/>
        </w:rPr>
        <w:t>21</w:t>
      </w:r>
      <w:r w:rsidRPr="00EA28C6">
        <w:rPr>
          <w:rFonts w:cs="Arial"/>
          <w:color w:val="222222"/>
          <w:shd w:val="clear" w:color="auto" w:fill="FFFFFF"/>
        </w:rPr>
        <w:t>(1), pp.76-96.</w:t>
      </w:r>
    </w:p>
    <w:p w:rsidR="00DE3CAD" w:rsidRDefault="00DE3CAD" w:rsidP="004C0C2D">
      <w:pPr>
        <w:rPr>
          <w:rFonts w:cs="Arial"/>
          <w:color w:val="222222"/>
          <w:sz w:val="20"/>
          <w:shd w:val="clear" w:color="auto" w:fill="FFFFFF"/>
        </w:rPr>
      </w:pPr>
    </w:p>
    <w:tbl>
      <w:tblPr>
        <w:tblW w:w="6570" w:type="dxa"/>
        <w:shd w:val="clear" w:color="auto" w:fill="FFFFFF"/>
        <w:tblCellMar>
          <w:left w:w="0" w:type="dxa"/>
          <w:right w:w="0" w:type="dxa"/>
        </w:tblCellMar>
        <w:tblLook w:val="04A0"/>
      </w:tblPr>
      <w:tblGrid>
        <w:gridCol w:w="6414"/>
        <w:gridCol w:w="156"/>
      </w:tblGrid>
      <w:tr w:rsidR="00A86339" w:rsidTr="00DE3CAD">
        <w:trPr>
          <w:gridAfter w:val="1"/>
        </w:trPr>
        <w:tc>
          <w:tcPr>
            <w:tcW w:w="0" w:type="auto"/>
            <w:shd w:val="clear" w:color="auto" w:fill="FFFFFF"/>
            <w:vAlign w:val="center"/>
            <w:hideMark/>
          </w:tcPr>
          <w:p w:rsidR="00DE3CAD" w:rsidRPr="00DE3CAD" w:rsidRDefault="00DE3CAD" w:rsidP="00DE3CAD">
            <w:pPr>
              <w:spacing w:line="240" w:lineRule="auto"/>
              <w:jc w:val="left"/>
              <w:rPr>
                <w:sz w:val="20"/>
                <w:szCs w:val="24"/>
              </w:rPr>
            </w:pPr>
          </w:p>
        </w:tc>
      </w:tr>
      <w:tr w:rsidR="00A86339" w:rsidTr="00DE3CAD">
        <w:trPr>
          <w:gridAfter w:val="1"/>
        </w:trPr>
        <w:tc>
          <w:tcPr>
            <w:tcW w:w="0" w:type="auto"/>
            <w:shd w:val="clear" w:color="auto" w:fill="FFFFFF"/>
            <w:tcMar>
              <w:top w:w="120" w:type="dxa"/>
              <w:left w:w="0" w:type="dxa"/>
              <w:bottom w:w="120" w:type="dxa"/>
              <w:right w:w="0" w:type="dxa"/>
            </w:tcMar>
            <w:hideMark/>
          </w:tcPr>
          <w:p w:rsidR="00DE3CAD" w:rsidRPr="00DE3CAD" w:rsidRDefault="00DE3CAD" w:rsidP="00DE3CAD">
            <w:pPr>
              <w:spacing w:line="240" w:lineRule="auto"/>
              <w:jc w:val="left"/>
              <w:rPr>
                <w:rFonts w:cs="Arial"/>
                <w:color w:val="222222"/>
                <w:sz w:val="20"/>
              </w:rPr>
            </w:pPr>
          </w:p>
        </w:tc>
      </w:tr>
      <w:tr w:rsidR="00A86339" w:rsidTr="00DE3CAD">
        <w:tc>
          <w:tcPr>
            <w:tcW w:w="0" w:type="auto"/>
            <w:shd w:val="clear" w:color="auto" w:fill="FFFFFF"/>
            <w:noWrap/>
            <w:tcMar>
              <w:top w:w="120" w:type="dxa"/>
              <w:left w:w="0" w:type="dxa"/>
              <w:bottom w:w="120" w:type="dxa"/>
              <w:right w:w="240" w:type="dxa"/>
            </w:tcMar>
            <w:hideMark/>
          </w:tcPr>
          <w:p w:rsidR="00DE3CAD" w:rsidRPr="00DE3CAD" w:rsidRDefault="00DE3CAD" w:rsidP="00DE3CAD">
            <w:pPr>
              <w:spacing w:line="240" w:lineRule="auto"/>
              <w:jc w:val="right"/>
              <w:rPr>
                <w:rFonts w:cs="Arial"/>
                <w:color w:val="777777"/>
                <w:sz w:val="20"/>
              </w:rPr>
            </w:pPr>
          </w:p>
        </w:tc>
        <w:tc>
          <w:tcPr>
            <w:tcW w:w="0" w:type="auto"/>
            <w:shd w:val="clear" w:color="auto" w:fill="FFFFFF"/>
            <w:tcMar>
              <w:top w:w="120" w:type="dxa"/>
              <w:left w:w="0" w:type="dxa"/>
              <w:bottom w:w="120" w:type="dxa"/>
              <w:right w:w="0" w:type="dxa"/>
            </w:tcMar>
            <w:hideMark/>
          </w:tcPr>
          <w:p w:rsidR="00DE3CAD" w:rsidRPr="00DE3CAD" w:rsidRDefault="00DE3CAD" w:rsidP="00DE3CAD">
            <w:pPr>
              <w:spacing w:line="240" w:lineRule="auto"/>
              <w:jc w:val="right"/>
              <w:rPr>
                <w:rFonts w:cs="Arial"/>
                <w:color w:val="777777"/>
                <w:sz w:val="20"/>
              </w:rPr>
            </w:pPr>
          </w:p>
        </w:tc>
      </w:tr>
    </w:tbl>
    <w:p w:rsidR="00DE3CAD" w:rsidRDefault="00DE3CAD" w:rsidP="004C0C2D">
      <w:pPr>
        <w:rPr>
          <w:rFonts w:cs="Arial"/>
          <w:color w:val="222222"/>
          <w:sz w:val="20"/>
          <w:shd w:val="clear" w:color="auto" w:fill="FFFFFF"/>
        </w:rPr>
      </w:pPr>
    </w:p>
    <w:p w:rsidR="00DE3CAD" w:rsidRDefault="00DE3CAD" w:rsidP="004C0C2D"/>
    <w:p w:rsidR="007F36BB" w:rsidRDefault="007F36BB"/>
    <w:p w:rsidR="007F36BB" w:rsidRDefault="007F36BB"/>
    <w:p w:rsidR="007F36BB" w:rsidRDefault="007F36BB"/>
    <w:sectPr w:rsidR="007F36BB" w:rsidSect="00F96D2F">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CD3641" w:rsidRDefault="00CD3641" w:rsidP="00DD73E1">
      <w:pPr>
        <w:spacing w:line="240" w:lineRule="auto"/>
      </w:pPr>
      <w:r>
        <w:separator/>
      </w:r>
    </w:p>
  </w:endnote>
  <w:endnote w:type="continuationSeparator" w:id="1">
    <w:p w:rsidR="00CD3641" w:rsidRDefault="00CD3641" w:rsidP="00DD73E1">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EFF" w:usb1="C000247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AB4AC9" w:rsidRDefault="00AB4AC9">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970584288"/>
      <w:docPartObj>
        <w:docPartGallery w:val="Page Numbers (Bottom of Page)"/>
        <w:docPartUnique/>
      </w:docPartObj>
    </w:sdtPr>
    <w:sdtEndPr>
      <w:rPr>
        <w:noProof/>
      </w:rPr>
    </w:sdtEndPr>
    <w:sdtContent>
      <w:p w:rsidR="000E7F6A" w:rsidRDefault="00F96D2F">
        <w:pPr>
          <w:pStyle w:val="Footer"/>
          <w:jc w:val="right"/>
        </w:pPr>
        <w:r>
          <w:fldChar w:fldCharType="begin"/>
        </w:r>
        <w:r w:rsidR="000E7F6A">
          <w:instrText xml:space="preserve"> PAGE   \* MERGEFORMAT </w:instrText>
        </w:r>
        <w:r>
          <w:fldChar w:fldCharType="separate"/>
        </w:r>
        <w:r w:rsidR="008C2348">
          <w:rPr>
            <w:noProof/>
          </w:rPr>
          <w:t>1</w:t>
        </w:r>
        <w:r>
          <w:rPr>
            <w:noProof/>
          </w:rPr>
          <w:fldChar w:fldCharType="end"/>
        </w:r>
      </w:p>
    </w:sdtContent>
  </w:sdt>
  <w:p w:rsidR="00DD73E1" w:rsidRDefault="00DD73E1">
    <w:pPr>
      <w:pStyle w:val="Footer"/>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AB4AC9" w:rsidRDefault="00AB4AC9">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CD3641" w:rsidRDefault="00CD3641" w:rsidP="00DD73E1">
      <w:pPr>
        <w:spacing w:line="240" w:lineRule="auto"/>
      </w:pPr>
      <w:r>
        <w:separator/>
      </w:r>
    </w:p>
  </w:footnote>
  <w:footnote w:type="continuationSeparator" w:id="1">
    <w:p w:rsidR="00CD3641" w:rsidRDefault="00CD3641" w:rsidP="00DD73E1">
      <w:pPr>
        <w:spacing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AB4AC9" w:rsidRDefault="00AB4AC9">
    <w:pPr>
      <w:pStyle w:val="Header"/>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AB4AC9" w:rsidRDefault="00AB4AC9">
    <w:pPr>
      <w:pStyle w:val="Header"/>
    </w:pPr>
  </w:p>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AB4AC9" w:rsidRDefault="00AB4AC9">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AB42D90"/>
    <w:multiLevelType w:val="hybridMultilevel"/>
    <w:tmpl w:val="595A3896"/>
    <w:lvl w:ilvl="0" w:tplc="A7142522">
      <w:start w:val="1"/>
      <w:numFmt w:val="decimal"/>
      <w:lvlText w:val="%1."/>
      <w:lvlJc w:val="left"/>
      <w:pPr>
        <w:ind w:left="720" w:hanging="360"/>
      </w:pPr>
    </w:lvl>
    <w:lvl w:ilvl="1" w:tplc="F7367D88" w:tentative="1">
      <w:start w:val="1"/>
      <w:numFmt w:val="lowerLetter"/>
      <w:lvlText w:val="%2."/>
      <w:lvlJc w:val="left"/>
      <w:pPr>
        <w:ind w:left="1440" w:hanging="360"/>
      </w:pPr>
    </w:lvl>
    <w:lvl w:ilvl="2" w:tplc="518E2A9C" w:tentative="1">
      <w:start w:val="1"/>
      <w:numFmt w:val="lowerRoman"/>
      <w:lvlText w:val="%3."/>
      <w:lvlJc w:val="right"/>
      <w:pPr>
        <w:ind w:left="2160" w:hanging="180"/>
      </w:pPr>
    </w:lvl>
    <w:lvl w:ilvl="3" w:tplc="0E6E0FF4" w:tentative="1">
      <w:start w:val="1"/>
      <w:numFmt w:val="decimal"/>
      <w:lvlText w:val="%4."/>
      <w:lvlJc w:val="left"/>
      <w:pPr>
        <w:ind w:left="2880" w:hanging="360"/>
      </w:pPr>
    </w:lvl>
    <w:lvl w:ilvl="4" w:tplc="68842BD6" w:tentative="1">
      <w:start w:val="1"/>
      <w:numFmt w:val="lowerLetter"/>
      <w:lvlText w:val="%5."/>
      <w:lvlJc w:val="left"/>
      <w:pPr>
        <w:ind w:left="3600" w:hanging="360"/>
      </w:pPr>
    </w:lvl>
    <w:lvl w:ilvl="5" w:tplc="FD069C8C" w:tentative="1">
      <w:start w:val="1"/>
      <w:numFmt w:val="lowerRoman"/>
      <w:lvlText w:val="%6."/>
      <w:lvlJc w:val="right"/>
      <w:pPr>
        <w:ind w:left="4320" w:hanging="180"/>
      </w:pPr>
    </w:lvl>
    <w:lvl w:ilvl="6" w:tplc="453EB1E4" w:tentative="1">
      <w:start w:val="1"/>
      <w:numFmt w:val="decimal"/>
      <w:lvlText w:val="%7."/>
      <w:lvlJc w:val="left"/>
      <w:pPr>
        <w:ind w:left="5040" w:hanging="360"/>
      </w:pPr>
    </w:lvl>
    <w:lvl w:ilvl="7" w:tplc="11C63F72" w:tentative="1">
      <w:start w:val="1"/>
      <w:numFmt w:val="lowerLetter"/>
      <w:lvlText w:val="%8."/>
      <w:lvlJc w:val="left"/>
      <w:pPr>
        <w:ind w:left="5760" w:hanging="360"/>
      </w:pPr>
    </w:lvl>
    <w:lvl w:ilvl="8" w:tplc="7F56969E" w:tentative="1">
      <w:start w:val="1"/>
      <w:numFmt w:val="lowerRoman"/>
      <w:lvlText w:val="%9."/>
      <w:lvlJc w:val="right"/>
      <w:pPr>
        <w:ind w:left="6480" w:hanging="180"/>
      </w:pPr>
    </w:lvl>
  </w:abstractNum>
  <w:abstractNum w:abstractNumId="1">
    <w:nsid w:val="46EE5F98"/>
    <w:multiLevelType w:val="hybridMultilevel"/>
    <w:tmpl w:val="0AAA903C"/>
    <w:lvl w:ilvl="0" w:tplc="C1A66F56">
      <w:start w:val="1"/>
      <w:numFmt w:val="bullet"/>
      <w:lvlText w:val="●"/>
      <w:lvlJc w:val="left"/>
      <w:pPr>
        <w:ind w:left="720" w:hanging="360"/>
      </w:pPr>
    </w:lvl>
    <w:lvl w:ilvl="1" w:tplc="A2F63272">
      <w:start w:val="1"/>
      <w:numFmt w:val="bullet"/>
      <w:lvlText w:val="○"/>
      <w:lvlJc w:val="left"/>
      <w:pPr>
        <w:ind w:left="1440" w:hanging="360"/>
      </w:pPr>
    </w:lvl>
    <w:lvl w:ilvl="2" w:tplc="9280E372">
      <w:start w:val="1"/>
      <w:numFmt w:val="bullet"/>
      <w:lvlText w:val="■"/>
      <w:lvlJc w:val="left"/>
      <w:pPr>
        <w:ind w:left="2160" w:hanging="360"/>
      </w:pPr>
    </w:lvl>
    <w:lvl w:ilvl="3" w:tplc="126E8542">
      <w:start w:val="1"/>
      <w:numFmt w:val="bullet"/>
      <w:lvlText w:val="●"/>
      <w:lvlJc w:val="left"/>
      <w:pPr>
        <w:ind w:left="2880" w:hanging="360"/>
      </w:pPr>
    </w:lvl>
    <w:lvl w:ilvl="4" w:tplc="B8981050">
      <w:start w:val="1"/>
      <w:numFmt w:val="bullet"/>
      <w:lvlText w:val="○"/>
      <w:lvlJc w:val="left"/>
      <w:pPr>
        <w:ind w:left="3600" w:hanging="360"/>
      </w:pPr>
    </w:lvl>
    <w:lvl w:ilvl="5" w:tplc="1CE269E8">
      <w:start w:val="1"/>
      <w:numFmt w:val="bullet"/>
      <w:lvlText w:val="■"/>
      <w:lvlJc w:val="left"/>
      <w:pPr>
        <w:ind w:left="4320" w:hanging="360"/>
      </w:pPr>
    </w:lvl>
    <w:lvl w:ilvl="6" w:tplc="5E86C396">
      <w:start w:val="1"/>
      <w:numFmt w:val="bullet"/>
      <w:lvlText w:val="●"/>
      <w:lvlJc w:val="left"/>
      <w:pPr>
        <w:ind w:left="5040" w:hanging="360"/>
      </w:pPr>
    </w:lvl>
    <w:lvl w:ilvl="7" w:tplc="DE5898FE">
      <w:start w:val="1"/>
      <w:numFmt w:val="bullet"/>
      <w:lvlText w:val="●"/>
      <w:lvlJc w:val="left"/>
      <w:pPr>
        <w:ind w:left="5760" w:hanging="360"/>
      </w:pPr>
    </w:lvl>
    <w:lvl w:ilvl="8" w:tplc="AD9CACEA">
      <w:start w:val="1"/>
      <w:numFmt w:val="bullet"/>
      <w:lvlText w:val="●"/>
      <w:lvlJc w:val="left"/>
      <w:pPr>
        <w:ind w:left="6480" w:hanging="360"/>
      </w:pPr>
    </w:lvl>
  </w:abstractNum>
  <w:abstractNum w:abstractNumId="2">
    <w:nsid w:val="70400E01"/>
    <w:multiLevelType w:val="hybridMultilevel"/>
    <w:tmpl w:val="E2B626D4"/>
    <w:lvl w:ilvl="0" w:tplc="44FE437C">
      <w:start w:val="1"/>
      <w:numFmt w:val="decimal"/>
      <w:lvlText w:val="%1."/>
      <w:lvlJc w:val="left"/>
      <w:pPr>
        <w:ind w:left="720" w:hanging="360"/>
      </w:pPr>
    </w:lvl>
    <w:lvl w:ilvl="1" w:tplc="63260810" w:tentative="1">
      <w:start w:val="1"/>
      <w:numFmt w:val="lowerLetter"/>
      <w:lvlText w:val="%2."/>
      <w:lvlJc w:val="left"/>
      <w:pPr>
        <w:ind w:left="1440" w:hanging="360"/>
      </w:pPr>
    </w:lvl>
    <w:lvl w:ilvl="2" w:tplc="9976F38A" w:tentative="1">
      <w:start w:val="1"/>
      <w:numFmt w:val="lowerRoman"/>
      <w:lvlText w:val="%3."/>
      <w:lvlJc w:val="right"/>
      <w:pPr>
        <w:ind w:left="2160" w:hanging="180"/>
      </w:pPr>
    </w:lvl>
    <w:lvl w:ilvl="3" w:tplc="87E60A60" w:tentative="1">
      <w:start w:val="1"/>
      <w:numFmt w:val="decimal"/>
      <w:lvlText w:val="%4."/>
      <w:lvlJc w:val="left"/>
      <w:pPr>
        <w:ind w:left="2880" w:hanging="360"/>
      </w:pPr>
    </w:lvl>
    <w:lvl w:ilvl="4" w:tplc="441C68B4" w:tentative="1">
      <w:start w:val="1"/>
      <w:numFmt w:val="lowerLetter"/>
      <w:lvlText w:val="%5."/>
      <w:lvlJc w:val="left"/>
      <w:pPr>
        <w:ind w:left="3600" w:hanging="360"/>
      </w:pPr>
    </w:lvl>
    <w:lvl w:ilvl="5" w:tplc="5D841FB4" w:tentative="1">
      <w:start w:val="1"/>
      <w:numFmt w:val="lowerRoman"/>
      <w:lvlText w:val="%6."/>
      <w:lvlJc w:val="right"/>
      <w:pPr>
        <w:ind w:left="4320" w:hanging="180"/>
      </w:pPr>
    </w:lvl>
    <w:lvl w:ilvl="6" w:tplc="A9C806D8" w:tentative="1">
      <w:start w:val="1"/>
      <w:numFmt w:val="decimal"/>
      <w:lvlText w:val="%7."/>
      <w:lvlJc w:val="left"/>
      <w:pPr>
        <w:ind w:left="5040" w:hanging="360"/>
      </w:pPr>
    </w:lvl>
    <w:lvl w:ilvl="7" w:tplc="FE687BBA" w:tentative="1">
      <w:start w:val="1"/>
      <w:numFmt w:val="lowerLetter"/>
      <w:lvlText w:val="%8."/>
      <w:lvlJc w:val="left"/>
      <w:pPr>
        <w:ind w:left="5760" w:hanging="360"/>
      </w:pPr>
    </w:lvl>
    <w:lvl w:ilvl="8" w:tplc="21668EC4" w:tentative="1">
      <w:start w:val="1"/>
      <w:numFmt w:val="lowerRoman"/>
      <w:lvlText w:val="%9."/>
      <w:lvlJc w:val="right"/>
      <w:pPr>
        <w:ind w:left="6480" w:hanging="180"/>
      </w:pPr>
    </w:lvl>
  </w:abstractNum>
  <w:num w:numId="1">
    <w:abstractNumId w:val="1"/>
    <w:lvlOverride w:ilvl="0">
      <w:startOverride w:val="1"/>
    </w:lvlOverride>
  </w:num>
  <w:num w:numId="2">
    <w:abstractNumId w:val="0"/>
  </w:num>
  <w:num w:numId="3">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removePersonalInformation/>
  <w:removeDateAndTime/>
  <w:displayBackgroundShape/>
  <w:defaultTabStop w:val="720"/>
  <w:characterSpacingControl w:val="doNotCompress"/>
  <w:hdrShapeDefaults>
    <o:shapedefaults v:ext="edit" spidmax="4098"/>
  </w:hdrShapeDefaults>
  <w:footnotePr>
    <w:footnote w:id="0"/>
    <w:footnote w:id="1"/>
  </w:footnotePr>
  <w:endnotePr>
    <w:endnote w:id="0"/>
    <w:endnote w:id="1"/>
  </w:endnotePr>
  <w:compat/>
  <w:rsids>
    <w:rsidRoot w:val="007F36BB"/>
    <w:rsid w:val="000E7F6A"/>
    <w:rsid w:val="00130284"/>
    <w:rsid w:val="0013164D"/>
    <w:rsid w:val="00172861"/>
    <w:rsid w:val="002D669B"/>
    <w:rsid w:val="004B410E"/>
    <w:rsid w:val="004C0C2D"/>
    <w:rsid w:val="004E53B2"/>
    <w:rsid w:val="00504A88"/>
    <w:rsid w:val="00555438"/>
    <w:rsid w:val="00584EC5"/>
    <w:rsid w:val="005A430D"/>
    <w:rsid w:val="006A2CA2"/>
    <w:rsid w:val="0071121D"/>
    <w:rsid w:val="00740A32"/>
    <w:rsid w:val="007F36BB"/>
    <w:rsid w:val="008C2348"/>
    <w:rsid w:val="009717F2"/>
    <w:rsid w:val="00996AC0"/>
    <w:rsid w:val="00A76A2D"/>
    <w:rsid w:val="00A86339"/>
    <w:rsid w:val="00AB4AC9"/>
    <w:rsid w:val="00C2422E"/>
    <w:rsid w:val="00C362E5"/>
    <w:rsid w:val="00CD3641"/>
    <w:rsid w:val="00CF0E15"/>
    <w:rsid w:val="00CF2058"/>
    <w:rsid w:val="00DD73E1"/>
    <w:rsid w:val="00DE3CAD"/>
    <w:rsid w:val="00EA28C6"/>
    <w:rsid w:val="00F229C0"/>
    <w:rsid w:val="00F96D2F"/>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8"/>
    <o:shapelayout v:ext="edit">
      <o:idmap v:ext="edit" data="2"/>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US"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1121D"/>
    <w:pPr>
      <w:spacing w:line="360" w:lineRule="auto"/>
      <w:jc w:val="both"/>
    </w:pPr>
    <w:rPr>
      <w:rFonts w:ascii="Arial" w:hAnsi="Arial"/>
      <w:sz w:val="24"/>
    </w:rPr>
  </w:style>
  <w:style w:type="paragraph" w:styleId="Heading1">
    <w:name w:val="heading 1"/>
    <w:qFormat/>
    <w:rsid w:val="004E53B2"/>
    <w:pPr>
      <w:spacing w:line="360" w:lineRule="auto"/>
      <w:jc w:val="both"/>
      <w:outlineLvl w:val="0"/>
    </w:pPr>
    <w:rPr>
      <w:rFonts w:ascii="Arial" w:hAnsi="Arial"/>
      <w:b/>
      <w:color w:val="000000" w:themeColor="text1"/>
      <w:sz w:val="36"/>
      <w:szCs w:val="32"/>
    </w:rPr>
  </w:style>
  <w:style w:type="paragraph" w:styleId="Heading2">
    <w:name w:val="heading 2"/>
    <w:qFormat/>
    <w:rsid w:val="00F96D2F"/>
    <w:pPr>
      <w:outlineLvl w:val="1"/>
    </w:pPr>
    <w:rPr>
      <w:color w:val="2E74B5"/>
      <w:sz w:val="26"/>
      <w:szCs w:val="26"/>
    </w:rPr>
  </w:style>
  <w:style w:type="paragraph" w:styleId="Heading3">
    <w:name w:val="heading 3"/>
    <w:qFormat/>
    <w:rsid w:val="00F96D2F"/>
    <w:pPr>
      <w:outlineLvl w:val="2"/>
    </w:pPr>
    <w:rPr>
      <w:color w:val="1F4D78"/>
      <w:sz w:val="24"/>
      <w:szCs w:val="24"/>
    </w:rPr>
  </w:style>
  <w:style w:type="paragraph" w:styleId="Heading4">
    <w:name w:val="heading 4"/>
    <w:qFormat/>
    <w:rsid w:val="00F96D2F"/>
    <w:pPr>
      <w:outlineLvl w:val="3"/>
    </w:pPr>
    <w:rPr>
      <w:i/>
      <w:iCs/>
      <w:color w:val="2E74B5"/>
    </w:rPr>
  </w:style>
  <w:style w:type="paragraph" w:styleId="Heading5">
    <w:name w:val="heading 5"/>
    <w:qFormat/>
    <w:rsid w:val="00F96D2F"/>
    <w:pPr>
      <w:outlineLvl w:val="4"/>
    </w:pPr>
    <w:rPr>
      <w:color w:val="2E74B5"/>
    </w:rPr>
  </w:style>
  <w:style w:type="paragraph" w:styleId="Heading6">
    <w:name w:val="heading 6"/>
    <w:qFormat/>
    <w:rsid w:val="00F96D2F"/>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qFormat/>
    <w:rsid w:val="00F96D2F"/>
    <w:rPr>
      <w:sz w:val="56"/>
      <w:szCs w:val="56"/>
    </w:rPr>
  </w:style>
  <w:style w:type="paragraph" w:customStyle="1" w:styleId="Strong1">
    <w:name w:val="Strong1"/>
    <w:qFormat/>
    <w:rsid w:val="00F96D2F"/>
    <w:rPr>
      <w:b/>
      <w:bCs/>
    </w:rPr>
  </w:style>
  <w:style w:type="paragraph" w:styleId="ListParagraph">
    <w:name w:val="List Paragraph"/>
    <w:qFormat/>
    <w:rsid w:val="00F96D2F"/>
  </w:style>
  <w:style w:type="character" w:styleId="Hyperlink">
    <w:name w:val="Hyperlink"/>
    <w:uiPriority w:val="99"/>
    <w:unhideWhenUsed/>
    <w:rsid w:val="00F96D2F"/>
    <w:rPr>
      <w:color w:val="0563C1"/>
      <w:u w:val="single"/>
    </w:rPr>
  </w:style>
  <w:style w:type="character" w:styleId="FootnoteReference">
    <w:name w:val="footnote reference"/>
    <w:uiPriority w:val="99"/>
    <w:semiHidden/>
    <w:unhideWhenUsed/>
    <w:rsid w:val="00F96D2F"/>
    <w:rPr>
      <w:vertAlign w:val="superscript"/>
    </w:rPr>
  </w:style>
  <w:style w:type="paragraph" w:styleId="FootnoteText">
    <w:name w:val="footnote text"/>
    <w:link w:val="FootnoteTextChar"/>
    <w:uiPriority w:val="99"/>
    <w:semiHidden/>
    <w:unhideWhenUsed/>
    <w:rsid w:val="00F96D2F"/>
  </w:style>
  <w:style w:type="character" w:customStyle="1" w:styleId="FootnoteTextChar">
    <w:name w:val="Footnote Text Char"/>
    <w:link w:val="FootnoteText"/>
    <w:uiPriority w:val="99"/>
    <w:semiHidden/>
    <w:unhideWhenUsed/>
    <w:rsid w:val="00F96D2F"/>
    <w:rPr>
      <w:sz w:val="20"/>
      <w:szCs w:val="20"/>
    </w:rPr>
  </w:style>
  <w:style w:type="paragraph" w:styleId="TOCHeading">
    <w:name w:val="TOC Heading"/>
    <w:basedOn w:val="Heading1"/>
    <w:next w:val="Normal"/>
    <w:uiPriority w:val="39"/>
    <w:unhideWhenUsed/>
    <w:qFormat/>
    <w:rsid w:val="00EA28C6"/>
    <w:pPr>
      <w:keepNext/>
      <w:keepLines/>
      <w:spacing w:before="240" w:line="259" w:lineRule="auto"/>
      <w:jc w:val="left"/>
      <w:outlineLvl w:val="9"/>
    </w:pPr>
    <w:rPr>
      <w:rFonts w:asciiTheme="majorHAnsi" w:eastAsiaTheme="majorEastAsia" w:hAnsiTheme="majorHAnsi" w:cstheme="majorBidi"/>
      <w:b w:val="0"/>
      <w:color w:val="2E74B5" w:themeColor="accent1" w:themeShade="BF"/>
      <w:sz w:val="32"/>
    </w:rPr>
  </w:style>
  <w:style w:type="paragraph" w:styleId="TOC1">
    <w:name w:val="toc 1"/>
    <w:basedOn w:val="Normal"/>
    <w:next w:val="Normal"/>
    <w:autoRedefine/>
    <w:uiPriority w:val="39"/>
    <w:unhideWhenUsed/>
    <w:rsid w:val="00EA28C6"/>
    <w:pPr>
      <w:spacing w:after="100"/>
    </w:pPr>
  </w:style>
  <w:style w:type="paragraph" w:styleId="Header">
    <w:name w:val="header"/>
    <w:basedOn w:val="Normal"/>
    <w:link w:val="HeaderChar"/>
    <w:uiPriority w:val="99"/>
    <w:unhideWhenUsed/>
    <w:rsid w:val="00DD73E1"/>
    <w:pPr>
      <w:tabs>
        <w:tab w:val="center" w:pos="4680"/>
        <w:tab w:val="right" w:pos="9360"/>
      </w:tabs>
      <w:spacing w:line="240" w:lineRule="auto"/>
    </w:pPr>
  </w:style>
  <w:style w:type="character" w:customStyle="1" w:styleId="HeaderChar">
    <w:name w:val="Header Char"/>
    <w:basedOn w:val="DefaultParagraphFont"/>
    <w:link w:val="Header"/>
    <w:uiPriority w:val="99"/>
    <w:rsid w:val="00DD73E1"/>
    <w:rPr>
      <w:rFonts w:ascii="Arial" w:hAnsi="Arial"/>
      <w:sz w:val="24"/>
    </w:rPr>
  </w:style>
  <w:style w:type="paragraph" w:styleId="Footer">
    <w:name w:val="footer"/>
    <w:basedOn w:val="Normal"/>
    <w:link w:val="FooterChar"/>
    <w:uiPriority w:val="99"/>
    <w:unhideWhenUsed/>
    <w:rsid w:val="00DD73E1"/>
    <w:pPr>
      <w:tabs>
        <w:tab w:val="center" w:pos="4680"/>
        <w:tab w:val="right" w:pos="9360"/>
      </w:tabs>
      <w:spacing w:line="240" w:lineRule="auto"/>
    </w:pPr>
  </w:style>
  <w:style w:type="character" w:customStyle="1" w:styleId="FooterChar">
    <w:name w:val="Footer Char"/>
    <w:basedOn w:val="DefaultParagraphFont"/>
    <w:link w:val="Footer"/>
    <w:uiPriority w:val="99"/>
    <w:rsid w:val="00DD73E1"/>
    <w:rPr>
      <w:rFonts w:ascii="Arial" w:hAnsi="Arial"/>
      <w:sz w:val="24"/>
    </w:rPr>
  </w:style>
  <w:style w:type="paragraph" w:styleId="BalloonText">
    <w:name w:val="Balloon Text"/>
    <w:basedOn w:val="Normal"/>
    <w:link w:val="BalloonTextChar"/>
    <w:uiPriority w:val="99"/>
    <w:semiHidden/>
    <w:unhideWhenUsed/>
    <w:rsid w:val="008C2348"/>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C2348"/>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E1C52E2-2715-4167-A213-BF73122418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2764</Words>
  <Characters>15755</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18483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2023-10-13T07:56:00Z</dcterms:created>
  <dcterms:modified xsi:type="dcterms:W3CDTF">2023-10-23T17:29:00Z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a59dcd85f62a5e052b8ffc2be3f8e557828122c1068102ae98a14b3de5dea8e8</vt:lpwstr>
  </property>
</Properties>
</file>