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Attribution"/>
      </w:pPr>
      <w:r>
        <w:rPr>
          <w:rtl w:val="0"/>
        </w:rPr>
        <w:t>Graeme Guthrie</w:t>
      </w:r>
    </w:p>
    <w:p>
      <w:pPr>
        <w:pStyle w:val="Attribution"/>
      </w:pPr>
      <w:r>
        <w:rPr>
          <w:rtl w:val="0"/>
        </w:rPr>
        <w:t>Student  1805312</w:t>
      </w:r>
    </w:p>
    <w:p>
      <w:pPr>
        <w:pStyle w:val="Attribution"/>
      </w:pPr>
      <w:r>
        <w:rPr/>
        <w:fldChar w:fldCharType="begin" w:fldLock="0"/>
      </w:r>
      <w:r>
        <w:instrText xml:space="preserve"> DATE \@ "MMMM d, y" </w:instrText>
      </w:r>
      <w:r>
        <w:rPr/>
        <w:fldChar w:fldCharType="separate" w:fldLock="0"/>
      </w:r>
      <w:r>
        <w:rPr>
          <w:rtl w:val="0"/>
        </w:rPr>
        <w:t>26 July 2019</w:t>
      </w:r>
      <w:r>
        <w:rPr/>
        <w:fldChar w:fldCharType="end" w:fldLock="0"/>
      </w:r>
    </w:p>
    <w:p>
      <w:pPr>
        <w:pStyle w:val="Attribution"/>
      </w:pPr>
    </w:p>
    <w:p>
      <w:pPr>
        <w:pStyle w:val="Attribution"/>
      </w:pPr>
    </w:p>
    <w:p>
      <w:pPr>
        <w:pStyle w:val="Subheading"/>
        <w:rPr>
          <w:sz w:val="38"/>
          <w:szCs w:val="38"/>
        </w:rPr>
      </w:pPr>
      <w:r>
        <w:rPr>
          <w:sz w:val="38"/>
          <w:szCs w:val="38"/>
          <w:rtl w:val="0"/>
          <w:lang w:val="en-US"/>
        </w:rPr>
        <w:t>The Bible: Contemporary Approaches</w:t>
      </w:r>
    </w:p>
    <w:p>
      <w:pPr>
        <w:pStyle w:val="Body 2"/>
        <w:jc w:val="center"/>
        <w:rPr>
          <w:sz w:val="38"/>
          <w:szCs w:val="38"/>
        </w:rPr>
      </w:pPr>
      <w:r>
        <w:rPr>
          <w:sz w:val="38"/>
          <w:szCs w:val="38"/>
          <w:rtl w:val="0"/>
          <w:lang w:val="en-US"/>
        </w:rPr>
        <w:t>Interpretation of Genesis 12:1-3 from a Jewish Perspective</w:t>
      </w:r>
    </w:p>
    <w:p>
      <w:pPr>
        <w:pStyle w:val="Body A"/>
      </w:pPr>
    </w:p>
    <w:p>
      <w:pPr>
        <w:pStyle w:val="Body A"/>
        <w:spacing w:line="240" w:lineRule="auto"/>
        <w:ind w:firstLine="0"/>
        <w:rPr>
          <w:sz w:val="22"/>
          <w:szCs w:val="22"/>
        </w:rPr>
      </w:pPr>
    </w:p>
    <w:p>
      <w:pPr>
        <w:pStyle w:val="Body A"/>
        <w:spacing w:line="240" w:lineRule="auto"/>
        <w:ind w:firstLine="0"/>
        <w:rPr>
          <w:sz w:val="22"/>
          <w:szCs w:val="22"/>
        </w:rPr>
      </w:pPr>
    </w:p>
    <w:p>
      <w:pPr>
        <w:pStyle w:val="Body A"/>
        <w:spacing w:line="240" w:lineRule="auto"/>
        <w:ind w:firstLine="0"/>
        <w:rPr>
          <w:sz w:val="22"/>
          <w:szCs w:val="22"/>
        </w:rPr>
      </w:pPr>
      <w:r>
        <w:rPr>
          <w:b w:val="1"/>
          <w:bCs w:val="1"/>
          <w:sz w:val="22"/>
          <w:szCs w:val="22"/>
          <w:rtl w:val="0"/>
          <w:lang w:val="en-US"/>
        </w:rPr>
        <w:t>12</w:t>
      </w:r>
      <w:r>
        <w:rPr>
          <w:b w:val="1"/>
          <w:bCs w:val="1"/>
          <w:sz w:val="22"/>
          <w:szCs w:val="22"/>
          <w:rtl w:val="0"/>
          <w:lang w:val="en-US"/>
        </w:rPr>
        <w:t> </w:t>
      </w:r>
      <w:r>
        <w:rPr>
          <w:sz w:val="22"/>
          <w:szCs w:val="22"/>
          <w:rtl w:val="0"/>
          <w:lang w:val="en-US"/>
        </w:rPr>
        <w:t xml:space="preserve">Now the Lord said to Abram, </w:t>
      </w:r>
      <w:r>
        <w:rPr>
          <w:sz w:val="22"/>
          <w:szCs w:val="22"/>
          <w:rtl w:val="0"/>
          <w:lang w:val="en-US"/>
        </w:rPr>
        <w:t>“</w:t>
      </w:r>
      <w:r>
        <w:rPr>
          <w:sz w:val="22"/>
          <w:szCs w:val="22"/>
          <w:rtl w:val="0"/>
          <w:lang w:val="en-US"/>
        </w:rPr>
        <w:t>Go from your country and your kindred and your father</w:t>
      </w:r>
      <w:r>
        <w:rPr>
          <w:sz w:val="22"/>
          <w:szCs w:val="22"/>
          <w:rtl w:val="0"/>
          <w:lang w:val="en-US"/>
        </w:rPr>
        <w:t>’</w:t>
      </w:r>
      <w:r>
        <w:rPr>
          <w:sz w:val="22"/>
          <w:szCs w:val="22"/>
          <w:rtl w:val="0"/>
          <w:lang w:val="en-US"/>
        </w:rPr>
        <w:t xml:space="preserve">s house to the land that I will show you. </w:t>
      </w:r>
      <w:r>
        <w:rPr>
          <w:b w:val="1"/>
          <w:bCs w:val="1"/>
          <w:sz w:val="22"/>
          <w:szCs w:val="22"/>
          <w:rtl w:val="0"/>
          <w:lang w:val="en-US"/>
        </w:rPr>
        <w:t>2</w:t>
      </w:r>
      <w:r>
        <w:rPr>
          <w:b w:val="1"/>
          <w:bCs w:val="1"/>
          <w:sz w:val="22"/>
          <w:szCs w:val="22"/>
          <w:rtl w:val="0"/>
          <w:lang w:val="en-US"/>
        </w:rPr>
        <w:t> </w:t>
      </w:r>
      <w:r>
        <w:rPr>
          <w:sz w:val="22"/>
          <w:szCs w:val="22"/>
          <w:rtl w:val="0"/>
          <w:lang w:val="en-US"/>
        </w:rPr>
        <w:t xml:space="preserve">I will make of you a great nation, and I will bless you, and make your name great, so that you will be a blessing. </w:t>
      </w:r>
      <w:r>
        <w:rPr>
          <w:b w:val="1"/>
          <w:bCs w:val="1"/>
          <w:sz w:val="22"/>
          <w:szCs w:val="22"/>
          <w:rtl w:val="0"/>
          <w:lang w:val="en-US"/>
        </w:rPr>
        <w:t>3</w:t>
      </w:r>
      <w:r>
        <w:rPr>
          <w:b w:val="1"/>
          <w:bCs w:val="1"/>
          <w:sz w:val="22"/>
          <w:szCs w:val="22"/>
          <w:rtl w:val="0"/>
          <w:lang w:val="en-US"/>
        </w:rPr>
        <w:t> </w:t>
      </w:r>
      <w:r>
        <w:rPr>
          <w:sz w:val="22"/>
          <w:szCs w:val="22"/>
          <w:rtl w:val="0"/>
          <w:lang w:val="en-US"/>
        </w:rPr>
        <w:t>I will bless those who bless you, and the one who curses you I will curse; and in you all the families of the earth shall be blessed.</w:t>
      </w:r>
      <w:r>
        <w:rPr>
          <w:sz w:val="22"/>
          <w:szCs w:val="22"/>
          <w:rtl w:val="0"/>
          <w:lang w:val="en-US"/>
        </w:rPr>
        <w:t>”</w:t>
      </w:r>
    </w:p>
    <w:p>
      <w:pPr>
        <w:pStyle w:val="Body A"/>
        <w:spacing w:line="240" w:lineRule="auto"/>
        <w:ind w:firstLine="0"/>
        <w:rPr>
          <w:sz w:val="22"/>
          <w:szCs w:val="22"/>
        </w:rPr>
      </w:pPr>
    </w:p>
    <w:p>
      <w:pPr>
        <w:pStyle w:val="Body A"/>
        <w:spacing w:line="240" w:lineRule="auto"/>
        <w:ind w:firstLine="0"/>
        <w:rPr>
          <w:i w:val="1"/>
          <w:iCs w:val="1"/>
          <w:sz w:val="22"/>
          <w:szCs w:val="22"/>
        </w:rPr>
      </w:pPr>
    </w:p>
    <w:p>
      <w:pPr>
        <w:pStyle w:val="Body A"/>
        <w:spacing w:line="240" w:lineRule="auto"/>
        <w:ind w:firstLine="0"/>
        <w:rPr>
          <w:i w:val="1"/>
          <w:iCs w:val="1"/>
          <w:sz w:val="22"/>
          <w:szCs w:val="22"/>
        </w:rPr>
      </w:pPr>
      <w:r>
        <w:rPr>
          <w:i w:val="1"/>
          <w:iCs w:val="1"/>
          <w:sz w:val="22"/>
          <w:szCs w:val="22"/>
          <w:rtl w:val="0"/>
          <w:lang w:val="en-US"/>
        </w:rPr>
        <w:t>Introduction:</w:t>
      </w:r>
    </w:p>
    <w:p>
      <w:pPr>
        <w:pStyle w:val="Body A"/>
        <w:spacing w:line="240" w:lineRule="auto"/>
        <w:ind w:firstLine="0"/>
        <w:rPr>
          <w:sz w:val="22"/>
          <w:szCs w:val="22"/>
        </w:rPr>
      </w:pPr>
    </w:p>
    <w:p>
      <w:pPr>
        <w:pStyle w:val="Body A"/>
        <w:spacing w:line="240" w:lineRule="auto"/>
        <w:ind w:firstLine="0"/>
        <w:rPr>
          <w:sz w:val="22"/>
          <w:szCs w:val="22"/>
        </w:rPr>
      </w:pPr>
      <w:r>
        <w:rPr>
          <w:sz w:val="22"/>
          <w:szCs w:val="22"/>
          <w:rtl w:val="0"/>
          <w:lang w:val="en-US"/>
        </w:rPr>
        <w:t xml:space="preserve">In choosing an exegesis of this passage from a Jewish perspective, I am well aware that a </w:t>
      </w:r>
      <w:r>
        <w:rPr>
          <w:sz w:val="22"/>
          <w:szCs w:val="22"/>
          <w:rtl w:val="0"/>
          <w:lang w:val="en-US"/>
        </w:rPr>
        <w:t>“</w:t>
      </w:r>
      <w:r>
        <w:rPr>
          <w:sz w:val="22"/>
          <w:szCs w:val="22"/>
          <w:rtl w:val="0"/>
          <w:lang w:val="en-US"/>
        </w:rPr>
        <w:t>Jewish perspective</w:t>
      </w:r>
      <w:r>
        <w:rPr>
          <w:sz w:val="22"/>
          <w:szCs w:val="22"/>
          <w:rtl w:val="0"/>
          <w:lang w:val="en-US"/>
        </w:rPr>
        <w:t xml:space="preserve">” </w:t>
      </w:r>
      <w:r>
        <w:rPr>
          <w:sz w:val="22"/>
          <w:szCs w:val="22"/>
          <w:rtl w:val="0"/>
          <w:lang w:val="en-US"/>
        </w:rPr>
        <w:t>is a very broad category. As Levine points out, 2000 years of Jewish history and faith cannot easily be encapsulated in a single approach.</w:t>
      </w:r>
      <w:r>
        <w:rPr>
          <w:sz w:val="22"/>
          <w:szCs w:val="22"/>
          <w:vertAlign w:val="superscript"/>
        </w:rPr>
        <w:footnoteReference w:id="1"/>
      </w:r>
      <w:r>
        <w:rPr>
          <w:sz w:val="22"/>
          <w:szCs w:val="22"/>
          <w:rtl w:val="0"/>
          <w:lang w:val="en-US"/>
        </w:rPr>
        <w:t xml:space="preserve"> This point stated, there are certain well described methods peculiar to certain aspects Jewish Biblical interpretation, such as the principles of </w:t>
      </w:r>
      <w:r>
        <w:rPr>
          <w:i w:val="1"/>
          <w:iCs w:val="1"/>
          <w:sz w:val="22"/>
          <w:szCs w:val="22"/>
          <w:rtl w:val="0"/>
          <w:lang w:val="en-US"/>
        </w:rPr>
        <w:t>Peshat</w:t>
      </w:r>
      <w:r>
        <w:rPr>
          <w:sz w:val="22"/>
          <w:szCs w:val="22"/>
          <w:rtl w:val="0"/>
          <w:lang w:val="en-US"/>
        </w:rPr>
        <w:t xml:space="preserve">, </w:t>
      </w:r>
      <w:r>
        <w:rPr>
          <w:i w:val="1"/>
          <w:iCs w:val="1"/>
          <w:sz w:val="22"/>
          <w:szCs w:val="22"/>
          <w:rtl w:val="0"/>
          <w:lang w:val="en-US"/>
        </w:rPr>
        <w:t>Remez</w:t>
      </w:r>
      <w:r>
        <w:rPr>
          <w:sz w:val="22"/>
          <w:szCs w:val="22"/>
          <w:rtl w:val="0"/>
          <w:lang w:val="en-US"/>
        </w:rPr>
        <w:t xml:space="preserve">, </w:t>
      </w:r>
      <w:r>
        <w:rPr>
          <w:i w:val="1"/>
          <w:iCs w:val="1"/>
          <w:sz w:val="22"/>
          <w:szCs w:val="22"/>
          <w:rtl w:val="0"/>
          <w:lang w:val="en-US"/>
        </w:rPr>
        <w:t>Derash</w:t>
      </w:r>
      <w:r>
        <w:rPr>
          <w:sz w:val="22"/>
          <w:szCs w:val="22"/>
          <w:rtl w:val="0"/>
          <w:lang w:val="en-US"/>
        </w:rPr>
        <w:t xml:space="preserve"> and </w:t>
      </w:r>
      <w:r>
        <w:rPr>
          <w:i w:val="1"/>
          <w:iCs w:val="1"/>
          <w:sz w:val="22"/>
          <w:szCs w:val="22"/>
          <w:rtl w:val="0"/>
          <w:lang w:val="en-US"/>
        </w:rPr>
        <w:t>Sod.</w:t>
      </w:r>
      <w:r>
        <w:rPr>
          <w:i w:val="1"/>
          <w:iCs w:val="1"/>
          <w:sz w:val="22"/>
          <w:szCs w:val="22"/>
          <w:vertAlign w:val="superscript"/>
        </w:rPr>
        <w:footnoteReference w:id="2"/>
      </w:r>
    </w:p>
    <w:p>
      <w:pPr>
        <w:pStyle w:val="Body A"/>
        <w:spacing w:line="240" w:lineRule="auto"/>
        <w:ind w:firstLine="0"/>
        <w:rPr>
          <w:sz w:val="22"/>
          <w:szCs w:val="22"/>
        </w:rPr>
      </w:pPr>
    </w:p>
    <w:p>
      <w:pPr>
        <w:pStyle w:val="Body A"/>
        <w:spacing w:line="240" w:lineRule="auto"/>
        <w:ind w:firstLine="0"/>
        <w:rPr>
          <w:sz w:val="22"/>
          <w:szCs w:val="22"/>
        </w:rPr>
      </w:pPr>
      <w:r>
        <w:rPr>
          <w:sz w:val="22"/>
          <w:szCs w:val="22"/>
          <w:rtl w:val="0"/>
          <w:lang w:val="en-US"/>
        </w:rPr>
        <w:t xml:space="preserve">I have decided to focus on the Midrash interpretation (the </w:t>
      </w:r>
      <w:r>
        <w:rPr>
          <w:i w:val="1"/>
          <w:iCs w:val="1"/>
          <w:sz w:val="22"/>
          <w:szCs w:val="22"/>
          <w:rtl w:val="0"/>
          <w:lang w:val="en-US"/>
        </w:rPr>
        <w:t xml:space="preserve">Derash </w:t>
      </w:r>
      <w:r>
        <w:rPr>
          <w:sz w:val="22"/>
          <w:szCs w:val="22"/>
          <w:rtl w:val="0"/>
          <w:lang w:val="en-US"/>
        </w:rPr>
        <w:t>mode) by working through the relevant section found in Genesis Rabbah, the Rabbinic commentary on Genesis from around 200-500 AD,</w:t>
      </w:r>
      <w:r>
        <w:rPr>
          <w:sz w:val="22"/>
          <w:szCs w:val="22"/>
          <w:vertAlign w:val="superscript"/>
        </w:rPr>
        <w:footnoteReference w:id="3"/>
      </w:r>
      <w:r>
        <w:rPr>
          <w:sz w:val="22"/>
          <w:szCs w:val="22"/>
          <w:rtl w:val="0"/>
          <w:lang w:val="en-US"/>
        </w:rPr>
        <w:t xml:space="preserve"> and an example of Midrash aggadah (or non-legal midrash).</w:t>
      </w:r>
      <w:r>
        <w:rPr>
          <w:sz w:val="22"/>
          <w:szCs w:val="22"/>
          <w:vertAlign w:val="superscript"/>
        </w:rPr>
        <w:footnoteReference w:id="4"/>
      </w:r>
    </w:p>
    <w:p>
      <w:pPr>
        <w:pStyle w:val="Body A"/>
        <w:spacing w:line="240" w:lineRule="auto"/>
        <w:ind w:firstLine="0"/>
        <w:rPr>
          <w:sz w:val="22"/>
          <w:szCs w:val="22"/>
        </w:rPr>
      </w:pPr>
    </w:p>
    <w:p>
      <w:pPr>
        <w:pStyle w:val="Body A"/>
        <w:spacing w:line="240" w:lineRule="auto"/>
        <w:ind w:firstLine="0"/>
        <w:rPr>
          <w:sz w:val="22"/>
          <w:szCs w:val="22"/>
        </w:rPr>
      </w:pPr>
      <w:r>
        <w:rPr>
          <w:sz w:val="22"/>
          <w:szCs w:val="22"/>
          <w:rtl w:val="0"/>
          <w:lang w:val="en-US"/>
        </w:rPr>
        <w:t>Whilst an examination of the entire section is beyond the scope of this essay, I hope to highlight some key features of Rabbinic interpretation on display in this section, in particular ways in which the Rabbis use scripture with imagination and creativity that can at times seem unusual to the modern reader.</w:t>
      </w:r>
    </w:p>
    <w:p>
      <w:pPr>
        <w:pStyle w:val="Body A"/>
        <w:spacing w:line="240" w:lineRule="auto"/>
        <w:ind w:firstLine="0"/>
        <w:rPr>
          <w:sz w:val="22"/>
          <w:szCs w:val="22"/>
        </w:rPr>
      </w:pPr>
    </w:p>
    <w:p>
      <w:pPr>
        <w:pStyle w:val="Body A"/>
        <w:spacing w:line="240" w:lineRule="auto"/>
        <w:ind w:firstLine="0"/>
        <w:rPr>
          <w:sz w:val="22"/>
          <w:szCs w:val="22"/>
        </w:rPr>
      </w:pPr>
      <w:r>
        <w:rPr>
          <w:sz w:val="22"/>
          <w:szCs w:val="22"/>
          <w:rtl w:val="0"/>
          <w:lang w:val="en-US"/>
        </w:rPr>
        <w:t>Briefly, in this passage God speaks to Abram and commands him to leave his homeland. Despite being old with no children as yet, he is promised blessing and many descendants, with the assurance that the world will be blessed through him, whilst those that oppose him will likewise be cursed.</w:t>
      </w:r>
    </w:p>
    <w:p>
      <w:pPr>
        <w:pStyle w:val="Body A"/>
        <w:spacing w:line="240" w:lineRule="auto"/>
        <w:ind w:firstLine="0"/>
        <w:rPr>
          <w:i w:val="1"/>
          <w:iCs w:val="1"/>
          <w:sz w:val="22"/>
          <w:szCs w:val="22"/>
        </w:rPr>
      </w:pPr>
    </w:p>
    <w:p>
      <w:pPr>
        <w:pStyle w:val="Body A"/>
        <w:spacing w:line="240" w:lineRule="auto"/>
        <w:ind w:firstLine="0"/>
        <w:rPr>
          <w:i w:val="1"/>
          <w:iCs w:val="1"/>
          <w:sz w:val="22"/>
          <w:szCs w:val="22"/>
        </w:rPr>
      </w:pPr>
      <w:r>
        <w:rPr>
          <w:i w:val="1"/>
          <w:iCs w:val="1"/>
          <w:sz w:val="22"/>
          <w:szCs w:val="22"/>
          <w:rtl w:val="0"/>
          <w:lang w:val="en-US"/>
        </w:rPr>
        <w:t>Exegesis:</w:t>
      </w:r>
    </w:p>
    <w:p>
      <w:pPr>
        <w:pStyle w:val="Body A"/>
        <w:spacing w:line="240" w:lineRule="auto"/>
        <w:ind w:firstLine="0"/>
        <w:rPr>
          <w:sz w:val="22"/>
          <w:szCs w:val="22"/>
        </w:rPr>
      </w:pPr>
    </w:p>
    <w:p>
      <w:pPr>
        <w:pStyle w:val="Body A"/>
        <w:spacing w:line="240" w:lineRule="auto"/>
        <w:ind w:firstLine="0"/>
        <w:rPr>
          <w:i w:val="1"/>
          <w:iCs w:val="1"/>
          <w:sz w:val="22"/>
          <w:szCs w:val="22"/>
        </w:rPr>
      </w:pPr>
      <w:r>
        <w:rPr>
          <w:i w:val="1"/>
          <w:iCs w:val="1"/>
          <w:sz w:val="22"/>
          <w:szCs w:val="22"/>
          <w:rtl w:val="0"/>
          <w:lang w:val="en-US"/>
        </w:rPr>
        <w:t xml:space="preserve">Verse 1: Now the Lord said to Abram, </w:t>
      </w:r>
      <w:r>
        <w:rPr>
          <w:i w:val="1"/>
          <w:iCs w:val="1"/>
          <w:sz w:val="22"/>
          <w:szCs w:val="22"/>
          <w:rtl w:val="0"/>
        </w:rPr>
        <w:t>“</w:t>
      </w:r>
      <w:r>
        <w:rPr>
          <w:i w:val="1"/>
          <w:iCs w:val="1"/>
          <w:sz w:val="22"/>
          <w:szCs w:val="22"/>
          <w:rtl w:val="0"/>
          <w:lang w:val="en-US"/>
        </w:rPr>
        <w:t>Go from your country and your kindred and your father</w:t>
      </w:r>
      <w:r>
        <w:rPr>
          <w:i w:val="1"/>
          <w:iCs w:val="1"/>
          <w:sz w:val="22"/>
          <w:szCs w:val="22"/>
          <w:rtl w:val="0"/>
        </w:rPr>
        <w:t>’</w:t>
      </w:r>
      <w:r>
        <w:rPr>
          <w:i w:val="1"/>
          <w:iCs w:val="1"/>
          <w:sz w:val="22"/>
          <w:szCs w:val="22"/>
          <w:rtl w:val="0"/>
          <w:lang w:val="en-US"/>
        </w:rPr>
        <w:t>s house to the land that I will show you.</w:t>
      </w:r>
    </w:p>
    <w:p>
      <w:pPr>
        <w:pStyle w:val="Body A"/>
        <w:spacing w:line="240" w:lineRule="auto"/>
        <w:ind w:firstLine="0"/>
        <w:rPr>
          <w:sz w:val="22"/>
          <w:szCs w:val="22"/>
        </w:rPr>
      </w:pPr>
    </w:p>
    <w:p>
      <w:pPr>
        <w:pStyle w:val="Body A"/>
        <w:spacing w:line="240" w:lineRule="auto"/>
        <w:ind w:firstLine="0"/>
        <w:rPr>
          <w:sz w:val="22"/>
          <w:szCs w:val="22"/>
        </w:rPr>
      </w:pPr>
      <w:r>
        <w:rPr>
          <w:sz w:val="22"/>
          <w:szCs w:val="22"/>
          <w:rtl w:val="0"/>
          <w:lang w:val="en-US"/>
        </w:rPr>
        <w:t>The Rabbinic discourse on these opening words demonstrates the varied and imaginative methodology of the Midrash. The key question is why did God speak to Abraham</w:t>
      </w:r>
      <w:r>
        <w:rPr>
          <w:sz w:val="22"/>
          <w:szCs w:val="22"/>
          <w:vertAlign w:val="superscript"/>
        </w:rPr>
        <w:footnoteReference w:id="5"/>
      </w:r>
      <w:r>
        <w:rPr>
          <w:sz w:val="22"/>
          <w:szCs w:val="22"/>
          <w:rtl w:val="0"/>
          <w:lang w:val="en-US"/>
        </w:rPr>
        <w:t xml:space="preserve"> in the first place? The Midrash seeks to provide and answer not found directly in Scripture.</w:t>
      </w:r>
      <w:r>
        <w:rPr>
          <w:sz w:val="22"/>
          <w:szCs w:val="22"/>
          <w:vertAlign w:val="superscript"/>
        </w:rPr>
        <w:footnoteReference w:id="6"/>
      </w:r>
      <w:r>
        <w:rPr>
          <w:sz w:val="22"/>
          <w:szCs w:val="22"/>
          <w:rtl w:val="0"/>
          <w:lang w:val="en-US"/>
        </w:rPr>
        <w:t xml:space="preserve"> R. Isaac, quoting from Psalm 45:10,11, likens Abraham to the (female) character in the Psalm, as well as one who could not conceive of the world being without a guide, much like a burning house that surely must have an owner.</w:t>
      </w:r>
      <w:r>
        <w:rPr>
          <w:sz w:val="22"/>
          <w:szCs w:val="22"/>
          <w:vertAlign w:val="superscript"/>
        </w:rPr>
        <w:footnoteReference w:id="7"/>
      </w:r>
    </w:p>
    <w:p>
      <w:pPr>
        <w:pStyle w:val="Body A"/>
        <w:spacing w:line="240" w:lineRule="auto"/>
        <w:ind w:firstLine="0"/>
        <w:rPr>
          <w:sz w:val="22"/>
          <w:szCs w:val="22"/>
        </w:rPr>
      </w:pPr>
    </w:p>
    <w:p>
      <w:pPr>
        <w:pStyle w:val="Body A"/>
        <w:spacing w:line="240" w:lineRule="auto"/>
        <w:ind w:firstLine="0"/>
        <w:rPr>
          <w:sz w:val="22"/>
          <w:szCs w:val="22"/>
        </w:rPr>
      </w:pPr>
      <w:r>
        <w:rPr>
          <w:sz w:val="22"/>
          <w:szCs w:val="22"/>
          <w:rtl w:val="0"/>
          <w:lang w:val="en-US"/>
        </w:rPr>
        <w:t>In response R. Berekiah quotes Song of Songs 1:3, likening Abraham to a container of myrrh, which, if left in the same place, cannot spread its fragrance. Thus the divine call, for Abraham</w:t>
      </w:r>
      <w:r>
        <w:rPr>
          <w:sz w:val="22"/>
          <w:szCs w:val="22"/>
          <w:rtl w:val="0"/>
          <w:lang w:val="en-US"/>
        </w:rPr>
        <w:t>’</w:t>
      </w:r>
      <w:r>
        <w:rPr>
          <w:sz w:val="22"/>
          <w:szCs w:val="22"/>
          <w:rtl w:val="0"/>
          <w:lang w:val="en-US"/>
        </w:rPr>
        <w:t xml:space="preserve">s name to </w:t>
      </w:r>
      <w:r>
        <w:rPr>
          <w:sz w:val="22"/>
          <w:szCs w:val="22"/>
          <w:rtl w:val="0"/>
          <w:lang w:val="en-US"/>
        </w:rPr>
        <w:t>“</w:t>
      </w:r>
      <w:r>
        <w:rPr>
          <w:sz w:val="22"/>
          <w:szCs w:val="22"/>
          <w:rtl w:val="0"/>
          <w:lang w:val="en-US"/>
        </w:rPr>
        <w:t>become great</w:t>
      </w:r>
      <w:r>
        <w:rPr>
          <w:sz w:val="22"/>
          <w:szCs w:val="22"/>
          <w:rtl w:val="0"/>
          <w:lang w:val="en-US"/>
        </w:rPr>
        <w:t>”</w:t>
      </w:r>
      <w:r>
        <w:rPr>
          <w:sz w:val="22"/>
          <w:szCs w:val="22"/>
          <w:rtl w:val="0"/>
          <w:lang w:val="en-US"/>
        </w:rPr>
        <w:t>, the analogy being his greatness, like the fragrant myrrh, must not be kept in one location.</w:t>
      </w:r>
      <w:r>
        <w:rPr>
          <w:sz w:val="22"/>
          <w:szCs w:val="22"/>
          <w:vertAlign w:val="superscript"/>
        </w:rPr>
        <w:footnoteReference w:id="8"/>
      </w:r>
    </w:p>
    <w:p>
      <w:pPr>
        <w:pStyle w:val="Body A"/>
        <w:spacing w:line="240" w:lineRule="auto"/>
        <w:ind w:firstLine="0"/>
        <w:rPr>
          <w:sz w:val="22"/>
          <w:szCs w:val="22"/>
        </w:rPr>
      </w:pPr>
    </w:p>
    <w:p>
      <w:pPr>
        <w:pStyle w:val="Body A"/>
        <w:spacing w:line="240" w:lineRule="auto"/>
        <w:ind w:firstLine="0"/>
        <w:rPr>
          <w:sz w:val="22"/>
          <w:szCs w:val="22"/>
        </w:rPr>
      </w:pPr>
      <w:r>
        <w:rPr>
          <w:sz w:val="22"/>
          <w:szCs w:val="22"/>
          <w:rtl w:val="0"/>
          <w:lang w:val="en-US"/>
        </w:rPr>
        <w:t>Further justification for Abraham</w:t>
      </w:r>
      <w:r>
        <w:rPr>
          <w:sz w:val="22"/>
          <w:szCs w:val="22"/>
          <w:rtl w:val="0"/>
          <w:lang w:val="en-US"/>
        </w:rPr>
        <w:t>’</w:t>
      </w:r>
      <w:r>
        <w:rPr>
          <w:sz w:val="22"/>
          <w:szCs w:val="22"/>
          <w:rtl w:val="0"/>
          <w:lang w:val="en-US"/>
        </w:rPr>
        <w:t xml:space="preserve">s call is given in that the ten generations from Noah to Abraham are likened to the ten rulers of Ecclesiastes 7:19, with Abraham being the </w:t>
      </w:r>
      <w:r>
        <w:rPr>
          <w:sz w:val="22"/>
          <w:szCs w:val="22"/>
          <w:rtl w:val="0"/>
          <w:lang w:val="en-US"/>
        </w:rPr>
        <w:t>“</w:t>
      </w:r>
      <w:r>
        <w:rPr>
          <w:sz w:val="22"/>
          <w:szCs w:val="22"/>
          <w:rtl w:val="0"/>
          <w:lang w:val="en-US"/>
        </w:rPr>
        <w:t>wise man</w:t>
      </w:r>
      <w:r>
        <w:rPr>
          <w:sz w:val="22"/>
          <w:szCs w:val="22"/>
          <w:rtl w:val="0"/>
          <w:lang w:val="en-US"/>
        </w:rPr>
        <w:t xml:space="preserve">” </w:t>
      </w:r>
      <w:r>
        <w:rPr>
          <w:sz w:val="22"/>
          <w:szCs w:val="22"/>
          <w:rtl w:val="0"/>
          <w:lang w:val="en-US"/>
        </w:rPr>
        <w:t>that stands apart from them.</w:t>
      </w:r>
      <w:r>
        <w:rPr>
          <w:sz w:val="22"/>
          <w:szCs w:val="22"/>
          <w:vertAlign w:val="superscript"/>
        </w:rPr>
        <w:footnoteReference w:id="9"/>
      </w:r>
    </w:p>
    <w:p>
      <w:pPr>
        <w:pStyle w:val="Body A"/>
        <w:spacing w:line="240" w:lineRule="auto"/>
        <w:ind w:firstLine="0"/>
        <w:rPr>
          <w:sz w:val="22"/>
          <w:szCs w:val="22"/>
        </w:rPr>
      </w:pPr>
    </w:p>
    <w:p>
      <w:pPr>
        <w:pStyle w:val="Body A"/>
        <w:spacing w:line="240" w:lineRule="auto"/>
        <w:ind w:firstLine="0"/>
        <w:rPr>
          <w:sz w:val="22"/>
          <w:szCs w:val="22"/>
        </w:rPr>
      </w:pPr>
      <w:r>
        <w:rPr>
          <w:sz w:val="22"/>
          <w:szCs w:val="22"/>
          <w:rtl w:val="0"/>
          <w:lang w:val="en-US"/>
        </w:rPr>
        <w:t xml:space="preserve">Finally, R. Azariah, alluding to the Genesis 18 episode where Abraham intercedes for Sodom and quoting Psalm 45:7, casts Abraham as the one who </w:t>
      </w:r>
      <w:r>
        <w:rPr>
          <w:sz w:val="22"/>
          <w:szCs w:val="22"/>
          <w:rtl w:val="0"/>
          <w:lang w:val="en-US"/>
        </w:rPr>
        <w:t>“</w:t>
      </w:r>
      <w:r>
        <w:rPr>
          <w:sz w:val="22"/>
          <w:szCs w:val="22"/>
          <w:rtl w:val="0"/>
          <w:lang w:val="en-US"/>
        </w:rPr>
        <w:t>loves righteousness</w:t>
      </w:r>
      <w:r>
        <w:rPr>
          <w:sz w:val="22"/>
          <w:szCs w:val="22"/>
          <w:rtl w:val="0"/>
          <w:lang w:val="en-US"/>
        </w:rPr>
        <w:t>”</w:t>
      </w:r>
      <w:r>
        <w:rPr>
          <w:sz w:val="22"/>
          <w:szCs w:val="22"/>
          <w:rtl w:val="0"/>
          <w:lang w:val="en-US"/>
        </w:rPr>
        <w:t>, displayed in his concern for the world, specifically Lot and the people of Sodom.</w:t>
      </w:r>
      <w:r>
        <w:rPr>
          <w:sz w:val="22"/>
          <w:szCs w:val="22"/>
          <w:vertAlign w:val="superscript"/>
        </w:rPr>
        <w:footnoteReference w:id="10"/>
      </w:r>
      <w:r>
        <w:rPr>
          <w:sz w:val="22"/>
          <w:szCs w:val="22"/>
          <w:rtl w:val="0"/>
          <w:lang w:val="en-US"/>
        </w:rPr>
        <w:t xml:space="preserve"> This trait makes him worthy of God</w:t>
      </w:r>
      <w:r>
        <w:rPr>
          <w:sz w:val="22"/>
          <w:szCs w:val="22"/>
          <w:rtl w:val="0"/>
          <w:lang w:val="en-US"/>
        </w:rPr>
        <w:t>’</w:t>
      </w:r>
      <w:r>
        <w:rPr>
          <w:sz w:val="22"/>
          <w:szCs w:val="22"/>
          <w:rtl w:val="0"/>
          <w:lang w:val="en-US"/>
        </w:rPr>
        <w:t>s call.</w:t>
      </w:r>
    </w:p>
    <w:p>
      <w:pPr>
        <w:pStyle w:val="Body A"/>
        <w:spacing w:line="240" w:lineRule="auto"/>
        <w:ind w:firstLine="0"/>
        <w:rPr>
          <w:sz w:val="22"/>
          <w:szCs w:val="22"/>
        </w:rPr>
      </w:pPr>
    </w:p>
    <w:p>
      <w:pPr>
        <w:pStyle w:val="Body A"/>
        <w:spacing w:line="240" w:lineRule="auto"/>
        <w:ind w:firstLine="0"/>
        <w:rPr>
          <w:sz w:val="22"/>
          <w:szCs w:val="22"/>
        </w:rPr>
      </w:pPr>
      <w:r>
        <w:rPr>
          <w:sz w:val="22"/>
          <w:szCs w:val="22"/>
          <w:rtl w:val="0"/>
          <w:lang w:val="en-US"/>
        </w:rPr>
        <w:t xml:space="preserve">Already one can see the creativity and freedom of Rabbinic interpretation. Several verses have been quoted to support an argument from a variety scriptural sources, some of which do not have an obvious textual link (e.g. Abraham and the woman of Psalm 45). To quote Fishbane: </w:t>
      </w:r>
      <w:r>
        <w:rPr>
          <w:sz w:val="22"/>
          <w:szCs w:val="22"/>
          <w:rtl w:val="0"/>
          <w:lang w:val="en-US"/>
        </w:rPr>
        <w:t>“</w:t>
      </w:r>
      <w:r>
        <w:rPr>
          <w:sz w:val="22"/>
          <w:szCs w:val="22"/>
          <w:rtl w:val="0"/>
          <w:lang w:val="en-US"/>
        </w:rPr>
        <w:t>(Rabbinic) theological teachings freely utilise any phrase from anywhere across the canonical spectrum and often delight in showing how different parts of Scripture can interrelate</w:t>
      </w:r>
      <w:r>
        <w:rPr>
          <w:sz w:val="22"/>
          <w:szCs w:val="22"/>
          <w:rtl w:val="0"/>
          <w:lang w:val="en-US"/>
        </w:rPr>
        <w:t>”</w:t>
      </w:r>
      <w:r>
        <w:rPr>
          <w:sz w:val="22"/>
          <w:szCs w:val="22"/>
          <w:rtl w:val="0"/>
          <w:lang w:val="en-US"/>
        </w:rPr>
        <w:t>.</w:t>
      </w:r>
      <w:r>
        <w:rPr>
          <w:sz w:val="22"/>
          <w:szCs w:val="22"/>
          <w:vertAlign w:val="superscript"/>
        </w:rPr>
        <w:footnoteReference w:id="11"/>
      </w:r>
    </w:p>
    <w:p>
      <w:pPr>
        <w:pStyle w:val="Body A"/>
        <w:spacing w:line="240" w:lineRule="auto"/>
        <w:ind w:firstLine="0"/>
        <w:rPr>
          <w:sz w:val="22"/>
          <w:szCs w:val="22"/>
        </w:rPr>
      </w:pPr>
    </w:p>
    <w:p>
      <w:pPr>
        <w:pStyle w:val="Body A"/>
        <w:spacing w:line="240" w:lineRule="auto"/>
        <w:ind w:firstLine="0"/>
        <w:rPr>
          <w:sz w:val="22"/>
          <w:szCs w:val="22"/>
        </w:rPr>
      </w:pPr>
      <w:r>
        <w:rPr>
          <w:sz w:val="22"/>
          <w:szCs w:val="22"/>
          <w:rtl w:val="0"/>
          <w:lang w:val="en-US"/>
        </w:rPr>
        <w:t xml:space="preserve">The word </w:t>
      </w:r>
      <w:r>
        <w:rPr>
          <w:sz w:val="22"/>
          <w:szCs w:val="22"/>
          <w:rtl w:val="0"/>
          <w:lang w:val="en-US"/>
        </w:rPr>
        <w:t>“</w:t>
      </w:r>
      <w:r>
        <w:rPr>
          <w:sz w:val="22"/>
          <w:szCs w:val="22"/>
          <w:rtl w:val="0"/>
          <w:lang w:val="en-US"/>
        </w:rPr>
        <w:t>Go</w:t>
      </w:r>
      <w:r>
        <w:rPr>
          <w:sz w:val="22"/>
          <w:szCs w:val="22"/>
          <w:rtl w:val="0"/>
          <w:lang w:val="en-US"/>
        </w:rPr>
        <w:t xml:space="preserve">” </w:t>
      </w:r>
      <w:r>
        <w:rPr>
          <w:sz w:val="22"/>
          <w:szCs w:val="22"/>
          <w:rtl w:val="0"/>
          <w:lang w:val="en-US"/>
        </w:rPr>
        <w:t xml:space="preserve">(Hebrew </w:t>
      </w:r>
      <w:r>
        <w:rPr>
          <w:i w:val="1"/>
          <w:iCs w:val="1"/>
          <w:sz w:val="22"/>
          <w:szCs w:val="22"/>
          <w:rtl w:val="0"/>
          <w:lang w:val="en-US"/>
        </w:rPr>
        <w:t>Lech Lecha</w:t>
      </w:r>
      <w:r>
        <w:rPr>
          <w:sz w:val="22"/>
          <w:szCs w:val="22"/>
          <w:rtl w:val="0"/>
          <w:lang w:val="en-US"/>
        </w:rPr>
        <w:t xml:space="preserve"> literally </w:t>
      </w:r>
      <w:r>
        <w:rPr>
          <w:sz w:val="22"/>
          <w:szCs w:val="22"/>
          <w:rtl w:val="0"/>
          <w:lang w:val="en-US"/>
        </w:rPr>
        <w:t>“</w:t>
      </w:r>
      <w:r>
        <w:rPr>
          <w:sz w:val="22"/>
          <w:szCs w:val="22"/>
          <w:rtl w:val="0"/>
          <w:lang w:val="en-US"/>
        </w:rPr>
        <w:t>go you</w:t>
      </w:r>
      <w:r>
        <w:rPr>
          <w:sz w:val="22"/>
          <w:szCs w:val="22"/>
          <w:rtl w:val="0"/>
          <w:lang w:val="en-US"/>
        </w:rPr>
        <w:t xml:space="preserve">” </w:t>
      </w:r>
      <w:r>
        <w:rPr>
          <w:sz w:val="22"/>
          <w:szCs w:val="22"/>
          <w:rtl w:val="0"/>
          <w:lang w:val="en-US"/>
        </w:rPr>
        <w:t xml:space="preserve">or </w:t>
      </w:r>
      <w:r>
        <w:rPr>
          <w:sz w:val="22"/>
          <w:szCs w:val="22"/>
          <w:rtl w:val="0"/>
          <w:lang w:val="en-US"/>
        </w:rPr>
        <w:t>“</w:t>
      </w:r>
      <w:r>
        <w:rPr>
          <w:sz w:val="22"/>
          <w:szCs w:val="22"/>
          <w:rtl w:val="0"/>
          <w:lang w:val="en-US"/>
        </w:rPr>
        <w:t>get thee</w:t>
      </w:r>
      <w:r>
        <w:rPr>
          <w:sz w:val="22"/>
          <w:szCs w:val="22"/>
          <w:rtl w:val="0"/>
          <w:lang w:val="en-US"/>
        </w:rPr>
        <w:t>”</w:t>
      </w:r>
      <w:r>
        <w:rPr>
          <w:sz w:val="22"/>
          <w:szCs w:val="22"/>
          <w:rtl w:val="0"/>
          <w:lang w:val="en-US"/>
        </w:rPr>
        <w:t xml:space="preserve">, elsewhere translated </w:t>
      </w:r>
      <w:r>
        <w:rPr>
          <w:sz w:val="22"/>
          <w:szCs w:val="22"/>
          <w:rtl w:val="0"/>
          <w:lang w:val="en-US"/>
        </w:rPr>
        <w:t>“</w:t>
      </w:r>
      <w:r>
        <w:rPr>
          <w:sz w:val="22"/>
          <w:szCs w:val="22"/>
          <w:rtl w:val="0"/>
          <w:lang w:val="en-US"/>
        </w:rPr>
        <w:t>go forth</w:t>
      </w:r>
      <w:r>
        <w:rPr>
          <w:sz w:val="22"/>
          <w:szCs w:val="22"/>
          <w:rtl w:val="0"/>
          <w:lang w:val="en-US"/>
        </w:rPr>
        <w:t>”</w:t>
      </w:r>
      <w:r>
        <w:rPr>
          <w:sz w:val="22"/>
          <w:szCs w:val="22"/>
          <w:rtl w:val="0"/>
          <w:lang w:val="en-US"/>
        </w:rPr>
        <w:t>)</w:t>
      </w:r>
      <w:r>
        <w:rPr>
          <w:sz w:val="22"/>
          <w:szCs w:val="22"/>
          <w:vertAlign w:val="superscript"/>
        </w:rPr>
        <w:footnoteReference w:id="12"/>
      </w:r>
      <w:r>
        <w:rPr>
          <w:sz w:val="22"/>
          <w:szCs w:val="22"/>
          <w:rtl w:val="0"/>
          <w:lang w:val="en-US"/>
        </w:rPr>
        <w:t xml:space="preserve"> has a creative explanation offered by R. Isaac.</w:t>
      </w:r>
      <w:r>
        <w:rPr>
          <w:sz w:val="22"/>
          <w:szCs w:val="22"/>
          <w:vertAlign w:val="superscript"/>
        </w:rPr>
        <w:footnoteReference w:id="13"/>
      </w:r>
      <w:r>
        <w:rPr>
          <w:sz w:val="22"/>
          <w:szCs w:val="22"/>
          <w:rtl w:val="0"/>
          <w:lang w:val="en-US"/>
        </w:rPr>
        <w:t xml:space="preserve"> The chronology of Genesis (11:26; 11:32 and 12:4) necessitates the death of Abraham</w:t>
      </w:r>
      <w:r>
        <w:rPr>
          <w:sz w:val="22"/>
          <w:szCs w:val="22"/>
          <w:rtl w:val="0"/>
          <w:lang w:val="en-US"/>
        </w:rPr>
        <w:t>’</w:t>
      </w:r>
      <w:r>
        <w:rPr>
          <w:sz w:val="22"/>
          <w:szCs w:val="22"/>
          <w:rtl w:val="0"/>
          <w:lang w:val="en-US"/>
        </w:rPr>
        <w:t xml:space="preserve">s father Terah to be 65 years after Abraham has departed. Would this abandonment of his still living father not bring disgrace on God? R. Isaac circumvents this by having God tell Abraham </w:t>
      </w:r>
      <w:r>
        <w:rPr>
          <w:sz w:val="22"/>
          <w:szCs w:val="22"/>
          <w:rtl w:val="0"/>
          <w:lang w:val="en-US"/>
        </w:rPr>
        <w:t>“</w:t>
      </w:r>
      <w:r>
        <w:rPr>
          <w:sz w:val="22"/>
          <w:szCs w:val="22"/>
          <w:rtl w:val="0"/>
          <w:lang w:val="en-US"/>
        </w:rPr>
        <w:t xml:space="preserve">I exempt </w:t>
      </w:r>
      <w:r>
        <w:rPr>
          <w:sz w:val="22"/>
          <w:szCs w:val="22"/>
          <w:rtl w:val="0"/>
          <w:lang w:val="en-US"/>
        </w:rPr>
        <w:t>“</w:t>
      </w:r>
      <w:r>
        <w:rPr>
          <w:sz w:val="22"/>
          <w:szCs w:val="22"/>
          <w:rtl w:val="0"/>
          <w:lang w:val="en-US"/>
        </w:rPr>
        <w:t>thee</w:t>
      </w:r>
      <w:r>
        <w:rPr>
          <w:sz w:val="22"/>
          <w:szCs w:val="22"/>
          <w:rtl w:val="0"/>
          <w:lang w:val="en-US"/>
        </w:rPr>
        <w:t xml:space="preserve">” </w:t>
      </w:r>
      <w:r>
        <w:rPr>
          <w:sz w:val="22"/>
          <w:szCs w:val="22"/>
          <w:rtl w:val="0"/>
          <w:lang w:val="en-US"/>
        </w:rPr>
        <w:t>(leka) from the duty of honouring thy parents</w:t>
      </w:r>
      <w:r>
        <w:rPr>
          <w:sz w:val="22"/>
          <w:szCs w:val="22"/>
          <w:rtl w:val="0"/>
          <w:lang w:val="en-US"/>
        </w:rPr>
        <w:t>”</w:t>
      </w:r>
      <w:r>
        <w:rPr>
          <w:sz w:val="22"/>
          <w:szCs w:val="22"/>
          <w:rtl w:val="0"/>
          <w:lang w:val="en-US"/>
        </w:rPr>
        <w:t>. As a further assurance, Terah</w:t>
      </w:r>
      <w:r>
        <w:rPr>
          <w:sz w:val="22"/>
          <w:szCs w:val="22"/>
          <w:rtl w:val="0"/>
          <w:lang w:val="en-US"/>
        </w:rPr>
        <w:t>’</w:t>
      </w:r>
      <w:r>
        <w:rPr>
          <w:sz w:val="22"/>
          <w:szCs w:val="22"/>
          <w:rtl w:val="0"/>
          <w:lang w:val="en-US"/>
        </w:rPr>
        <w:t>s death is recorded before Abraham</w:t>
      </w:r>
      <w:r>
        <w:rPr>
          <w:sz w:val="22"/>
          <w:szCs w:val="22"/>
          <w:rtl w:val="0"/>
          <w:lang w:val="en-US"/>
        </w:rPr>
        <w:t>’</w:t>
      </w:r>
      <w:r>
        <w:rPr>
          <w:sz w:val="22"/>
          <w:szCs w:val="22"/>
          <w:rtl w:val="0"/>
          <w:lang w:val="en-US"/>
        </w:rPr>
        <w:t xml:space="preserve">s departure (Gen 11:32). The logic here seems to be that, firstly, the (redundant) word </w:t>
      </w:r>
      <w:r>
        <w:rPr>
          <w:sz w:val="22"/>
          <w:szCs w:val="22"/>
          <w:rtl w:val="0"/>
          <w:lang w:val="en-US"/>
        </w:rPr>
        <w:t>“</w:t>
      </w:r>
      <w:r>
        <w:rPr>
          <w:sz w:val="22"/>
          <w:szCs w:val="22"/>
          <w:rtl w:val="0"/>
          <w:lang w:val="en-US"/>
        </w:rPr>
        <w:t>leka</w:t>
      </w:r>
      <w:r>
        <w:rPr>
          <w:sz w:val="22"/>
          <w:szCs w:val="22"/>
          <w:rtl w:val="0"/>
          <w:lang w:val="en-US"/>
        </w:rPr>
        <w:t xml:space="preserve">” </w:t>
      </w:r>
      <w:r>
        <w:rPr>
          <w:sz w:val="22"/>
          <w:szCs w:val="22"/>
          <w:rtl w:val="0"/>
          <w:lang w:val="en-US"/>
        </w:rPr>
        <w:t>is used as an argument that God has made allowance for Abraham</w:t>
      </w:r>
      <w:r>
        <w:rPr>
          <w:sz w:val="22"/>
          <w:szCs w:val="22"/>
          <w:rtl w:val="0"/>
          <w:lang w:val="en-US"/>
        </w:rPr>
        <w:t>’</w:t>
      </w:r>
      <w:r>
        <w:rPr>
          <w:sz w:val="22"/>
          <w:szCs w:val="22"/>
          <w:rtl w:val="0"/>
          <w:lang w:val="en-US"/>
        </w:rPr>
        <w:t>s departure from his (still living) father; secondly, due to the fact that Terah</w:t>
      </w:r>
      <w:r>
        <w:rPr>
          <w:sz w:val="22"/>
          <w:szCs w:val="22"/>
          <w:rtl w:val="0"/>
          <w:lang w:val="en-US"/>
        </w:rPr>
        <w:t>’</w:t>
      </w:r>
      <w:r>
        <w:rPr>
          <w:sz w:val="22"/>
          <w:szCs w:val="22"/>
          <w:rtl w:val="0"/>
          <w:lang w:val="en-US"/>
        </w:rPr>
        <w:t xml:space="preserve">s death is recorded in Gen 11 and prior to the call of Abraham in the next chapter, Terah is in some sense already reckoned as dead during his lifetime, which once more absolves Abraham from any wrongdoing. </w:t>
      </w:r>
    </w:p>
    <w:p>
      <w:pPr>
        <w:pStyle w:val="Body A"/>
        <w:spacing w:line="240" w:lineRule="auto"/>
        <w:ind w:firstLine="0"/>
        <w:rPr>
          <w:sz w:val="22"/>
          <w:szCs w:val="22"/>
        </w:rPr>
      </w:pPr>
    </w:p>
    <w:p>
      <w:pPr>
        <w:pStyle w:val="Body A"/>
        <w:spacing w:line="240" w:lineRule="auto"/>
        <w:ind w:firstLine="0"/>
        <w:rPr>
          <w:sz w:val="22"/>
          <w:szCs w:val="22"/>
        </w:rPr>
      </w:pPr>
      <w:r>
        <w:rPr>
          <w:sz w:val="22"/>
          <w:szCs w:val="22"/>
          <w:rtl w:val="0"/>
          <w:lang w:val="en-US"/>
        </w:rPr>
        <w:t>Here we have an example of a specific Hebrew word (leka) taken out of the context of the present verse to argue the point, something which to the modern reader may seem a rather cavalier approach to the text.</w:t>
      </w:r>
    </w:p>
    <w:p>
      <w:pPr>
        <w:pStyle w:val="Body A"/>
        <w:spacing w:line="240" w:lineRule="auto"/>
        <w:ind w:firstLine="0"/>
        <w:rPr>
          <w:sz w:val="22"/>
          <w:szCs w:val="22"/>
        </w:rPr>
      </w:pPr>
    </w:p>
    <w:p>
      <w:pPr>
        <w:pStyle w:val="Body A"/>
        <w:spacing w:line="240" w:lineRule="auto"/>
        <w:ind w:firstLine="0"/>
        <w:rPr>
          <w:sz w:val="22"/>
          <w:szCs w:val="22"/>
        </w:rPr>
      </w:pPr>
      <w:r>
        <w:rPr>
          <w:i w:val="1"/>
          <w:iCs w:val="1"/>
          <w:sz w:val="22"/>
          <w:szCs w:val="22"/>
          <w:rtl w:val="0"/>
          <w:lang w:val="en-US"/>
        </w:rPr>
        <w:t>“</w:t>
      </w:r>
      <w:r>
        <w:rPr>
          <w:i w:val="1"/>
          <w:iCs w:val="1"/>
          <w:sz w:val="22"/>
          <w:szCs w:val="22"/>
          <w:rtl w:val="0"/>
          <w:lang w:val="en-US"/>
        </w:rPr>
        <w:t>Your country</w:t>
      </w:r>
      <w:r>
        <w:rPr>
          <w:i w:val="1"/>
          <w:iCs w:val="1"/>
          <w:sz w:val="22"/>
          <w:szCs w:val="22"/>
          <w:rtl w:val="0"/>
          <w:lang w:val="en-US"/>
        </w:rPr>
        <w:t>…</w:t>
      </w:r>
      <w:r>
        <w:rPr>
          <w:i w:val="1"/>
          <w:iCs w:val="1"/>
          <w:sz w:val="22"/>
          <w:szCs w:val="22"/>
          <w:rtl w:val="0"/>
          <w:lang w:val="en-US"/>
        </w:rPr>
        <w:t>your kindred</w:t>
      </w:r>
      <w:r>
        <w:rPr>
          <w:i w:val="1"/>
          <w:iCs w:val="1"/>
          <w:sz w:val="22"/>
          <w:szCs w:val="22"/>
          <w:rtl w:val="0"/>
          <w:lang w:val="en-US"/>
        </w:rPr>
        <w:t>…</w:t>
      </w:r>
      <w:r>
        <w:rPr>
          <w:i w:val="1"/>
          <w:iCs w:val="1"/>
          <w:sz w:val="22"/>
          <w:szCs w:val="22"/>
          <w:rtl w:val="0"/>
          <w:lang w:val="en-US"/>
        </w:rPr>
        <w:t>your father</w:t>
      </w:r>
      <w:r>
        <w:rPr>
          <w:i w:val="1"/>
          <w:iCs w:val="1"/>
          <w:sz w:val="22"/>
          <w:szCs w:val="22"/>
          <w:rtl w:val="0"/>
          <w:lang w:val="en-US"/>
        </w:rPr>
        <w:t>’</w:t>
      </w:r>
      <w:r>
        <w:rPr>
          <w:i w:val="1"/>
          <w:iCs w:val="1"/>
          <w:sz w:val="22"/>
          <w:szCs w:val="22"/>
          <w:rtl w:val="0"/>
          <w:lang w:val="en-US"/>
        </w:rPr>
        <w:t>s house</w:t>
      </w:r>
      <w:r>
        <w:rPr>
          <w:i w:val="1"/>
          <w:iCs w:val="1"/>
          <w:sz w:val="22"/>
          <w:szCs w:val="22"/>
          <w:rtl w:val="0"/>
          <w:lang w:val="en-US"/>
        </w:rPr>
        <w:t>”</w:t>
      </w:r>
      <w:r>
        <w:rPr>
          <w:i w:val="1"/>
          <w:iCs w:val="1"/>
          <w:sz w:val="22"/>
          <w:szCs w:val="22"/>
          <w:rtl w:val="0"/>
          <w:lang w:val="en-US"/>
        </w:rPr>
        <w:t xml:space="preserve">. </w:t>
      </w:r>
      <w:r>
        <w:rPr>
          <w:sz w:val="22"/>
          <w:szCs w:val="22"/>
          <w:rtl w:val="0"/>
          <w:lang w:val="en-US"/>
        </w:rPr>
        <w:t>The question is posed: why did God not reveal to Abraham there and then his intended destination?</w:t>
      </w:r>
      <w:r>
        <w:rPr>
          <w:sz w:val="22"/>
          <w:szCs w:val="22"/>
          <w:vertAlign w:val="superscript"/>
        </w:rPr>
        <w:footnoteReference w:id="14"/>
      </w:r>
      <w:r>
        <w:rPr>
          <w:sz w:val="22"/>
          <w:szCs w:val="22"/>
          <w:rtl w:val="0"/>
          <w:lang w:val="en-US"/>
        </w:rPr>
        <w:t xml:space="preserve"> The answer is found in a comparison with Gen 22:2, where Abraham is commanded to sacrifice Isaac. There, as noted by the later medieval commentator Rashi, we read the corresponding triplet: </w:t>
      </w:r>
      <w:r>
        <w:rPr>
          <w:sz w:val="22"/>
          <w:szCs w:val="22"/>
          <w:rtl w:val="0"/>
        </w:rPr>
        <w:t>“</w:t>
      </w:r>
      <w:r>
        <w:rPr>
          <w:sz w:val="22"/>
          <w:szCs w:val="22"/>
          <w:rtl w:val="0"/>
          <w:lang w:val="en-US"/>
        </w:rPr>
        <w:t>Your son</w:t>
      </w:r>
      <w:r>
        <w:rPr>
          <w:sz w:val="22"/>
          <w:szCs w:val="22"/>
          <w:rtl w:val="0"/>
        </w:rPr>
        <w:t>…</w:t>
      </w:r>
      <w:r>
        <w:rPr>
          <w:sz w:val="22"/>
          <w:szCs w:val="22"/>
          <w:rtl w:val="0"/>
          <w:lang w:val="en-US"/>
        </w:rPr>
        <w:t>your only one</w:t>
      </w:r>
      <w:r>
        <w:rPr>
          <w:sz w:val="22"/>
          <w:szCs w:val="22"/>
          <w:rtl w:val="0"/>
        </w:rPr>
        <w:t>…</w:t>
      </w:r>
      <w:r>
        <w:rPr>
          <w:sz w:val="22"/>
          <w:szCs w:val="22"/>
          <w:rtl w:val="0"/>
          <w:lang w:val="en-US"/>
        </w:rPr>
        <w:t>the one you love</w:t>
      </w:r>
      <w:r>
        <w:rPr>
          <w:sz w:val="22"/>
          <w:szCs w:val="22"/>
          <w:rtl w:val="0"/>
        </w:rPr>
        <w:t>”</w:t>
      </w:r>
      <w:r>
        <w:rPr>
          <w:sz w:val="22"/>
          <w:szCs w:val="22"/>
          <w:rtl w:val="0"/>
          <w:lang w:val="en-US"/>
        </w:rPr>
        <w:t>.</w:t>
      </w:r>
      <w:r>
        <w:rPr>
          <w:sz w:val="22"/>
          <w:szCs w:val="22"/>
          <w:vertAlign w:val="superscript"/>
        </w:rPr>
        <w:footnoteReference w:id="15"/>
      </w:r>
      <w:r>
        <w:rPr>
          <w:sz w:val="22"/>
          <w:szCs w:val="22"/>
          <w:rtl w:val="0"/>
          <w:lang w:val="en-US"/>
        </w:rPr>
        <w:t xml:space="preserve"> In this case, why was there a delay (in the narrative) in revealing to Abraham the identity of the one to be slain? Because it would </w:t>
      </w:r>
      <w:r>
        <w:rPr>
          <w:sz w:val="22"/>
          <w:szCs w:val="22"/>
          <w:rtl w:val="0"/>
          <w:lang w:val="en-US"/>
        </w:rPr>
        <w:t>“</w:t>
      </w:r>
      <w:r>
        <w:rPr>
          <w:sz w:val="22"/>
          <w:szCs w:val="22"/>
          <w:rtl w:val="0"/>
          <w:lang w:val="en-US"/>
        </w:rPr>
        <w:t>make it more beloved in his eyes and to reward him for every step he took</w:t>
      </w:r>
      <w:r>
        <w:rPr>
          <w:sz w:val="22"/>
          <w:szCs w:val="22"/>
          <w:rtl w:val="0"/>
          <w:lang w:val="en-US"/>
        </w:rPr>
        <w:t>”</w:t>
      </w:r>
      <w:r>
        <w:rPr>
          <w:sz w:val="22"/>
          <w:szCs w:val="22"/>
          <w:rtl w:val="0"/>
          <w:lang w:val="en-US"/>
        </w:rPr>
        <w:t xml:space="preserve">, and </w:t>
      </w:r>
      <w:r>
        <w:rPr>
          <w:sz w:val="22"/>
          <w:szCs w:val="22"/>
          <w:rtl w:val="0"/>
          <w:lang w:val="en-US"/>
        </w:rPr>
        <w:t>“</w:t>
      </w:r>
      <w:r>
        <w:rPr>
          <w:sz w:val="22"/>
          <w:szCs w:val="22"/>
          <w:rtl w:val="0"/>
          <w:lang w:val="en-US"/>
        </w:rPr>
        <w:t>The Holy One, blessed be He, first places the righteous in doubt and suspense, and then He reveals to them the meaning of the matter</w:t>
      </w:r>
      <w:r>
        <w:rPr>
          <w:sz w:val="22"/>
          <w:szCs w:val="22"/>
          <w:rtl w:val="0"/>
          <w:lang w:val="en-US"/>
        </w:rPr>
        <w:t xml:space="preserve">” </w:t>
      </w:r>
      <w:r>
        <w:rPr>
          <w:sz w:val="22"/>
          <w:szCs w:val="22"/>
          <w:rtl w:val="0"/>
          <w:lang w:val="en-US"/>
        </w:rPr>
        <w:t>(quoting R. Huna).</w:t>
      </w:r>
      <w:r>
        <w:rPr>
          <w:sz w:val="22"/>
          <w:szCs w:val="22"/>
          <w:vertAlign w:val="superscript"/>
        </w:rPr>
        <w:footnoteReference w:id="16"/>
      </w:r>
      <w:r>
        <w:rPr>
          <w:sz w:val="22"/>
          <w:szCs w:val="22"/>
          <w:rtl w:val="0"/>
          <w:lang w:val="en-US"/>
        </w:rPr>
        <w:t xml:space="preserve"> For the Rabbis, the withholding of the destination from Abraham is explained to be for his benefit. Further examples of a gradual revelation of divine purposes are, again, provided by quoting other Scriptural texts (Jonah 3:2 and Ezekiel 3:22).</w:t>
      </w:r>
    </w:p>
    <w:p>
      <w:pPr>
        <w:pStyle w:val="Body A"/>
        <w:spacing w:line="240" w:lineRule="auto"/>
        <w:ind w:firstLine="0"/>
        <w:rPr>
          <w:sz w:val="22"/>
          <w:szCs w:val="22"/>
        </w:rPr>
      </w:pPr>
    </w:p>
    <w:p>
      <w:pPr>
        <w:pStyle w:val="Body A"/>
        <w:spacing w:line="240" w:lineRule="auto"/>
        <w:ind w:firstLine="0"/>
        <w:rPr>
          <w:i w:val="1"/>
          <w:iCs w:val="1"/>
          <w:sz w:val="22"/>
          <w:szCs w:val="22"/>
        </w:rPr>
      </w:pPr>
      <w:r>
        <w:rPr>
          <w:i w:val="1"/>
          <w:iCs w:val="1"/>
          <w:sz w:val="22"/>
          <w:szCs w:val="22"/>
          <w:rtl w:val="0"/>
          <w:lang w:val="en-US"/>
        </w:rPr>
        <w:t xml:space="preserve">Verse 2: </w:t>
      </w:r>
      <w:r>
        <w:rPr>
          <w:i w:val="1"/>
          <w:iCs w:val="1"/>
          <w:sz w:val="22"/>
          <w:szCs w:val="22"/>
          <w:rtl w:val="0"/>
          <w:lang w:val="en-US"/>
        </w:rPr>
        <w:t>“</w:t>
      </w:r>
      <w:r>
        <w:rPr>
          <w:i w:val="1"/>
          <w:iCs w:val="1"/>
          <w:sz w:val="22"/>
          <w:szCs w:val="22"/>
          <w:rtl w:val="0"/>
          <w:lang w:val="en-US"/>
        </w:rPr>
        <w:t xml:space="preserve">I will make of you a great nation, and I will bless you, and make your name great, so that you will be a blessing. </w:t>
      </w:r>
    </w:p>
    <w:p>
      <w:pPr>
        <w:pStyle w:val="Body A"/>
        <w:spacing w:line="240" w:lineRule="auto"/>
        <w:ind w:firstLine="0"/>
        <w:rPr>
          <w:i w:val="1"/>
          <w:iCs w:val="1"/>
          <w:sz w:val="22"/>
          <w:szCs w:val="22"/>
        </w:rPr>
      </w:pPr>
    </w:p>
    <w:p>
      <w:pPr>
        <w:pStyle w:val="Body A"/>
        <w:spacing w:line="240" w:lineRule="auto"/>
        <w:ind w:firstLine="0"/>
        <w:rPr>
          <w:sz w:val="22"/>
          <w:szCs w:val="22"/>
        </w:rPr>
      </w:pPr>
      <w:r>
        <w:rPr>
          <w:sz w:val="22"/>
          <w:szCs w:val="22"/>
          <w:rtl w:val="0"/>
          <w:lang w:val="en-US"/>
        </w:rPr>
        <w:t>The question is now posed to God: which nation could possibly come from Abraham when seventy nations have already come from Noah?</w:t>
      </w:r>
      <w:r>
        <w:rPr>
          <w:sz w:val="22"/>
          <w:szCs w:val="22"/>
          <w:vertAlign w:val="superscript"/>
        </w:rPr>
        <w:footnoteReference w:id="17"/>
      </w:r>
      <w:r>
        <w:rPr>
          <w:sz w:val="22"/>
          <w:szCs w:val="22"/>
          <w:rtl w:val="0"/>
          <w:lang w:val="en-US"/>
        </w:rPr>
        <w:t xml:space="preserve"> God responds that he will rise up the nation spoken of in Deuteronomy 4:7. It hardly needs pointing out that, from a narrative perspective, this nation referred to (post-Exodus Israel) is yet to come into existence, and God is referring Abraham to an as yet unwritten text! Yet the Rabbis creatively interpret this verse as being spoken to Abraham in the present tense. It seems transcendence of time and place is no obstacle for Rabbinical interpretation.</w:t>
      </w:r>
    </w:p>
    <w:p>
      <w:pPr>
        <w:pStyle w:val="Body A"/>
        <w:spacing w:line="240" w:lineRule="auto"/>
        <w:ind w:firstLine="0"/>
        <w:rPr>
          <w:sz w:val="22"/>
          <w:szCs w:val="22"/>
        </w:rPr>
      </w:pPr>
    </w:p>
    <w:p>
      <w:pPr>
        <w:pStyle w:val="Body A"/>
        <w:spacing w:line="240" w:lineRule="auto"/>
        <w:ind w:firstLine="0"/>
        <w:rPr>
          <w:sz w:val="22"/>
          <w:szCs w:val="22"/>
        </w:rPr>
      </w:pPr>
      <w:r>
        <w:rPr>
          <w:sz w:val="22"/>
          <w:szCs w:val="22"/>
          <w:rtl w:val="0"/>
          <w:lang w:val="en-US"/>
        </w:rPr>
        <w:t>With regards to the three-fold promise, R. Berekiah provides a logical explanation for each individual clause: distant traveling (of the sort Abraham was to undertake) would be expected to diminish one</w:t>
      </w:r>
      <w:r>
        <w:rPr>
          <w:sz w:val="22"/>
          <w:szCs w:val="22"/>
          <w:rtl w:val="0"/>
          <w:lang w:val="en-US"/>
        </w:rPr>
        <w:t>’</w:t>
      </w:r>
      <w:r>
        <w:rPr>
          <w:sz w:val="22"/>
          <w:szCs w:val="22"/>
          <w:rtl w:val="0"/>
          <w:lang w:val="en-US"/>
        </w:rPr>
        <w:t>s family, as well as reducing one</w:t>
      </w:r>
      <w:r>
        <w:rPr>
          <w:sz w:val="22"/>
          <w:szCs w:val="22"/>
          <w:rtl w:val="0"/>
          <w:lang w:val="en-US"/>
        </w:rPr>
        <w:t>’</w:t>
      </w:r>
      <w:r>
        <w:rPr>
          <w:sz w:val="22"/>
          <w:szCs w:val="22"/>
          <w:rtl w:val="0"/>
          <w:lang w:val="en-US"/>
        </w:rPr>
        <w:t xml:space="preserve">s wealth and fame. Hence each divine promise counters these: the promise of a </w:t>
      </w:r>
      <w:r>
        <w:rPr>
          <w:sz w:val="22"/>
          <w:szCs w:val="22"/>
          <w:rtl w:val="0"/>
          <w:lang w:val="en-US"/>
        </w:rPr>
        <w:t>“</w:t>
      </w:r>
      <w:r>
        <w:rPr>
          <w:sz w:val="22"/>
          <w:szCs w:val="22"/>
          <w:rtl w:val="0"/>
          <w:lang w:val="en-US"/>
        </w:rPr>
        <w:t>great nation</w:t>
      </w:r>
      <w:r>
        <w:rPr>
          <w:sz w:val="22"/>
          <w:szCs w:val="22"/>
          <w:rtl w:val="0"/>
          <w:lang w:val="en-US"/>
        </w:rPr>
        <w:t xml:space="preserve">” </w:t>
      </w:r>
      <w:r>
        <w:rPr>
          <w:sz w:val="22"/>
          <w:szCs w:val="22"/>
          <w:rtl w:val="0"/>
          <w:lang w:val="en-US"/>
        </w:rPr>
        <w:t xml:space="preserve">instead of a shrinking family; (material) blessing to oppose loss of wealth; and a </w:t>
      </w:r>
      <w:r>
        <w:rPr>
          <w:sz w:val="22"/>
          <w:szCs w:val="22"/>
          <w:rtl w:val="0"/>
          <w:lang w:val="en-US"/>
        </w:rPr>
        <w:t>“</w:t>
      </w:r>
      <w:r>
        <w:rPr>
          <w:sz w:val="22"/>
          <w:szCs w:val="22"/>
          <w:rtl w:val="0"/>
          <w:lang w:val="en-US"/>
        </w:rPr>
        <w:t>great name</w:t>
      </w:r>
      <w:r>
        <w:rPr>
          <w:sz w:val="22"/>
          <w:szCs w:val="22"/>
          <w:rtl w:val="0"/>
          <w:lang w:val="en-US"/>
        </w:rPr>
        <w:t xml:space="preserve">” </w:t>
      </w:r>
      <w:r>
        <w:rPr>
          <w:sz w:val="22"/>
          <w:szCs w:val="22"/>
          <w:rtl w:val="0"/>
          <w:lang w:val="en-US"/>
        </w:rPr>
        <w:t>to counter loss of fame.</w:t>
      </w:r>
    </w:p>
    <w:p>
      <w:pPr>
        <w:pStyle w:val="Body A"/>
        <w:spacing w:line="240" w:lineRule="auto"/>
        <w:ind w:firstLine="0"/>
        <w:rPr>
          <w:sz w:val="22"/>
          <w:szCs w:val="22"/>
        </w:rPr>
      </w:pPr>
    </w:p>
    <w:p>
      <w:pPr>
        <w:pStyle w:val="Body A"/>
        <w:spacing w:line="240" w:lineRule="auto"/>
        <w:ind w:firstLine="0"/>
        <w:rPr>
          <w:sz w:val="22"/>
          <w:szCs w:val="22"/>
        </w:rPr>
      </w:pPr>
      <w:r>
        <w:rPr>
          <w:sz w:val="22"/>
          <w:szCs w:val="22"/>
          <w:rtl w:val="0"/>
          <w:lang w:val="en-US"/>
        </w:rPr>
        <w:t xml:space="preserve">R. Judan then provides an example of a Rabbinic interpretative method not utilised thus far, that of numerical value for Hebrew words. </w:t>
      </w:r>
      <w:r>
        <w:rPr>
          <w:sz w:val="22"/>
          <w:szCs w:val="22"/>
          <w:rtl w:val="0"/>
          <w:lang w:val="en-US"/>
        </w:rPr>
        <w:t>“</w:t>
      </w:r>
      <w:r>
        <w:rPr>
          <w:sz w:val="22"/>
          <w:szCs w:val="22"/>
          <w:rtl w:val="0"/>
          <w:lang w:val="en-US"/>
        </w:rPr>
        <w:t>I will bless thee</w:t>
      </w:r>
      <w:r>
        <w:rPr>
          <w:sz w:val="22"/>
          <w:szCs w:val="22"/>
          <w:rtl w:val="0"/>
          <w:lang w:val="en-US"/>
        </w:rPr>
        <w:t xml:space="preserve">” </w:t>
      </w:r>
      <w:r>
        <w:rPr>
          <w:sz w:val="22"/>
          <w:szCs w:val="22"/>
          <w:rtl w:val="0"/>
          <w:lang w:val="en-US"/>
        </w:rPr>
        <w:t xml:space="preserve">(Hebrew, </w:t>
      </w:r>
      <w:r>
        <w:rPr>
          <w:i w:val="1"/>
          <w:iCs w:val="1"/>
          <w:sz w:val="22"/>
          <w:szCs w:val="22"/>
          <w:rtl w:val="0"/>
          <w:lang w:val="en-US"/>
        </w:rPr>
        <w:t>Abarekeka</w:t>
      </w:r>
      <w:r>
        <w:rPr>
          <w:sz w:val="22"/>
          <w:szCs w:val="22"/>
          <w:rtl w:val="0"/>
          <w:lang w:val="en-US"/>
        </w:rPr>
        <w:t xml:space="preserve">) has the numerical value of 248. </w:t>
      </w:r>
      <w:r>
        <w:rPr>
          <w:sz w:val="22"/>
          <w:szCs w:val="22"/>
          <w:rtl w:val="0"/>
          <w:lang w:val="en-US"/>
        </w:rPr>
        <w:t>“</w:t>
      </w:r>
      <w:r>
        <w:rPr>
          <w:sz w:val="22"/>
          <w:szCs w:val="22"/>
          <w:rtl w:val="0"/>
          <w:lang w:val="en-US"/>
        </w:rPr>
        <w:t>Abraham</w:t>
      </w:r>
      <w:r>
        <w:rPr>
          <w:sz w:val="22"/>
          <w:szCs w:val="22"/>
          <w:rtl w:val="0"/>
          <w:lang w:val="en-US"/>
        </w:rPr>
        <w:t xml:space="preserve">” </w:t>
      </w:r>
      <w:r>
        <w:rPr>
          <w:sz w:val="22"/>
          <w:szCs w:val="22"/>
          <w:rtl w:val="0"/>
          <w:lang w:val="en-US"/>
        </w:rPr>
        <w:t xml:space="preserve">is also calculated as 248, after </w:t>
      </w:r>
      <w:r>
        <w:rPr>
          <w:sz w:val="22"/>
          <w:szCs w:val="22"/>
          <w:rtl w:val="0"/>
          <w:lang w:val="en-US"/>
        </w:rPr>
        <w:t>“</w:t>
      </w:r>
      <w:r>
        <w:rPr>
          <w:sz w:val="22"/>
          <w:szCs w:val="22"/>
          <w:rtl w:val="0"/>
          <w:lang w:val="en-US"/>
        </w:rPr>
        <w:t>Abram</w:t>
      </w:r>
      <w:r>
        <w:rPr>
          <w:sz w:val="22"/>
          <w:szCs w:val="22"/>
          <w:rtl w:val="0"/>
          <w:lang w:val="en-US"/>
        </w:rPr>
        <w:t xml:space="preserve">” </w:t>
      </w:r>
      <w:r>
        <w:rPr>
          <w:sz w:val="22"/>
          <w:szCs w:val="22"/>
          <w:rtl w:val="0"/>
          <w:lang w:val="en-US"/>
        </w:rPr>
        <w:t xml:space="preserve">(243) has had the Hebrew letter </w:t>
      </w:r>
      <w:r>
        <w:rPr>
          <w:i w:val="1"/>
          <w:iCs w:val="1"/>
          <w:sz w:val="22"/>
          <w:szCs w:val="22"/>
          <w:rtl w:val="0"/>
          <w:lang w:val="en-US"/>
        </w:rPr>
        <w:t xml:space="preserve">he </w:t>
      </w:r>
      <w:r>
        <w:rPr>
          <w:sz w:val="22"/>
          <w:szCs w:val="22"/>
          <w:rtl w:val="0"/>
          <w:lang w:val="en-US"/>
        </w:rPr>
        <w:t>(5) added to it. In an earlier passage of the midrash,</w:t>
      </w:r>
      <w:r>
        <w:rPr>
          <w:sz w:val="22"/>
          <w:szCs w:val="22"/>
          <w:vertAlign w:val="superscript"/>
        </w:rPr>
        <w:footnoteReference w:id="18"/>
      </w:r>
      <w:r>
        <w:rPr>
          <w:sz w:val="22"/>
          <w:szCs w:val="22"/>
          <w:rtl w:val="0"/>
          <w:lang w:val="en-US"/>
        </w:rPr>
        <w:t xml:space="preserve"> there is a complex Rabbinical dialogue reasoning that God created the world through the letter </w:t>
      </w:r>
      <w:r>
        <w:rPr>
          <w:i w:val="1"/>
          <w:iCs w:val="1"/>
          <w:sz w:val="22"/>
          <w:szCs w:val="22"/>
          <w:rtl w:val="0"/>
          <w:lang w:val="en-US"/>
        </w:rPr>
        <w:t>he</w:t>
      </w:r>
      <w:r>
        <w:rPr>
          <w:sz w:val="22"/>
          <w:szCs w:val="22"/>
          <w:rtl w:val="0"/>
          <w:lang w:val="en-US"/>
        </w:rPr>
        <w:t>, with even the shape of the letter on the page being used to qualify the argument.</w:t>
      </w:r>
      <w:r>
        <w:rPr>
          <w:sz w:val="22"/>
          <w:szCs w:val="22"/>
          <w:vertAlign w:val="superscript"/>
        </w:rPr>
        <w:footnoteReference w:id="19"/>
      </w:r>
      <w:r>
        <w:rPr>
          <w:sz w:val="22"/>
          <w:szCs w:val="22"/>
          <w:rtl w:val="0"/>
          <w:lang w:val="en-US"/>
        </w:rPr>
        <w:t xml:space="preserve"> The creative power of </w:t>
      </w:r>
      <w:r>
        <w:rPr>
          <w:i w:val="1"/>
          <w:iCs w:val="1"/>
          <w:sz w:val="22"/>
          <w:szCs w:val="22"/>
          <w:rtl w:val="0"/>
          <w:lang w:val="en-US"/>
        </w:rPr>
        <w:t>he</w:t>
      </w:r>
      <w:r>
        <w:rPr>
          <w:sz w:val="22"/>
          <w:szCs w:val="22"/>
          <w:rtl w:val="0"/>
          <w:lang w:val="en-US"/>
        </w:rPr>
        <w:t xml:space="preserve"> then, when added to </w:t>
      </w:r>
      <w:r>
        <w:rPr>
          <w:sz w:val="22"/>
          <w:szCs w:val="22"/>
          <w:rtl w:val="0"/>
          <w:lang w:val="en-US"/>
        </w:rPr>
        <w:t>“</w:t>
      </w:r>
      <w:r>
        <w:rPr>
          <w:sz w:val="22"/>
          <w:szCs w:val="22"/>
          <w:rtl w:val="0"/>
          <w:lang w:val="en-US"/>
        </w:rPr>
        <w:t>Abram</w:t>
      </w:r>
      <w:r>
        <w:rPr>
          <w:sz w:val="22"/>
          <w:szCs w:val="22"/>
          <w:rtl w:val="0"/>
          <w:lang w:val="en-US"/>
        </w:rPr>
        <w:t>”</w:t>
      </w:r>
      <w:r>
        <w:rPr>
          <w:sz w:val="22"/>
          <w:szCs w:val="22"/>
          <w:rtl w:val="0"/>
          <w:lang w:val="en-US"/>
        </w:rPr>
        <w:t xml:space="preserve">, is the reason that </w:t>
      </w:r>
      <w:r>
        <w:rPr>
          <w:sz w:val="22"/>
          <w:szCs w:val="22"/>
          <w:rtl w:val="0"/>
          <w:lang w:val="en-US"/>
        </w:rPr>
        <w:t>“</w:t>
      </w:r>
      <w:r>
        <w:rPr>
          <w:sz w:val="22"/>
          <w:szCs w:val="22"/>
          <w:rtl w:val="0"/>
          <w:lang w:val="en-US"/>
        </w:rPr>
        <w:t>Abraham</w:t>
      </w:r>
      <w:r>
        <w:rPr>
          <w:sz w:val="22"/>
          <w:szCs w:val="22"/>
          <w:rtl w:val="0"/>
          <w:lang w:val="en-US"/>
        </w:rPr>
        <w:t xml:space="preserve">” </w:t>
      </w:r>
      <w:r>
        <w:rPr>
          <w:sz w:val="22"/>
          <w:szCs w:val="22"/>
          <w:rtl w:val="0"/>
          <w:lang w:val="en-US"/>
        </w:rPr>
        <w:t xml:space="preserve">will be fruitful. </w:t>
      </w:r>
    </w:p>
    <w:p>
      <w:pPr>
        <w:pStyle w:val="Body A"/>
        <w:spacing w:line="240" w:lineRule="auto"/>
        <w:ind w:firstLine="0"/>
        <w:rPr>
          <w:sz w:val="22"/>
          <w:szCs w:val="22"/>
        </w:rPr>
      </w:pPr>
    </w:p>
    <w:p>
      <w:pPr>
        <w:pStyle w:val="Body A"/>
        <w:spacing w:line="240" w:lineRule="auto"/>
        <w:ind w:firstLine="0"/>
        <w:rPr>
          <w:sz w:val="22"/>
          <w:szCs w:val="22"/>
        </w:rPr>
      </w:pPr>
      <w:r>
        <w:rPr>
          <w:sz w:val="22"/>
          <w:szCs w:val="22"/>
          <w:rtl w:val="0"/>
          <w:lang w:val="en-US"/>
        </w:rPr>
        <w:t xml:space="preserve">An explanatory link is then made between the Hebrew </w:t>
      </w:r>
      <w:r>
        <w:rPr>
          <w:i w:val="1"/>
          <w:iCs w:val="1"/>
          <w:sz w:val="22"/>
          <w:szCs w:val="22"/>
          <w:rtl w:val="0"/>
          <w:lang w:val="en-US"/>
        </w:rPr>
        <w:t xml:space="preserve">berakah </w:t>
      </w:r>
      <w:r>
        <w:rPr>
          <w:sz w:val="22"/>
          <w:szCs w:val="22"/>
          <w:rtl w:val="0"/>
          <w:lang w:val="en-US"/>
        </w:rPr>
        <w:t xml:space="preserve">(blessing) and </w:t>
      </w:r>
      <w:r>
        <w:rPr>
          <w:i w:val="1"/>
          <w:iCs w:val="1"/>
          <w:sz w:val="22"/>
          <w:szCs w:val="22"/>
          <w:rtl w:val="0"/>
          <w:lang w:val="en-US"/>
        </w:rPr>
        <w:t xml:space="preserve">berekah </w:t>
      </w:r>
      <w:r>
        <w:rPr>
          <w:sz w:val="22"/>
          <w:szCs w:val="22"/>
          <w:rtl w:val="0"/>
          <w:lang w:val="en-US"/>
        </w:rPr>
        <w:t xml:space="preserve">(pool), a word not present in the Genesis text but with obvious aural similarity. The link is used as interpretation: as a pool purifies the unclean, so too will Abraham purify </w:t>
      </w:r>
      <w:r>
        <w:rPr>
          <w:sz w:val="22"/>
          <w:szCs w:val="22"/>
          <w:rtl w:val="0"/>
          <w:lang w:val="en-US"/>
        </w:rPr>
        <w:t>“</w:t>
      </w:r>
      <w:r>
        <w:rPr>
          <w:sz w:val="22"/>
          <w:szCs w:val="22"/>
          <w:rtl w:val="0"/>
          <w:lang w:val="en-US"/>
        </w:rPr>
        <w:t>those who are afar</w:t>
      </w:r>
      <w:r>
        <w:rPr>
          <w:sz w:val="22"/>
          <w:szCs w:val="22"/>
          <w:rtl w:val="0"/>
          <w:lang w:val="en-US"/>
        </w:rPr>
        <w:t>”</w:t>
      </w:r>
      <w:r>
        <w:rPr>
          <w:sz w:val="22"/>
          <w:szCs w:val="22"/>
          <w:rtl w:val="0"/>
          <w:lang w:val="en-US"/>
        </w:rPr>
        <w:t>.</w:t>
      </w:r>
      <w:r>
        <w:rPr>
          <w:sz w:val="22"/>
          <w:szCs w:val="22"/>
          <w:vertAlign w:val="superscript"/>
        </w:rPr>
        <w:footnoteReference w:id="20"/>
      </w:r>
    </w:p>
    <w:p>
      <w:pPr>
        <w:pStyle w:val="Body A"/>
        <w:spacing w:line="240" w:lineRule="auto"/>
        <w:ind w:firstLine="0"/>
        <w:rPr>
          <w:sz w:val="22"/>
          <w:szCs w:val="22"/>
        </w:rPr>
      </w:pPr>
    </w:p>
    <w:p>
      <w:pPr>
        <w:pStyle w:val="Body A"/>
        <w:spacing w:line="240" w:lineRule="auto"/>
        <w:ind w:firstLine="0"/>
        <w:rPr>
          <w:sz w:val="22"/>
          <w:szCs w:val="22"/>
        </w:rPr>
      </w:pPr>
      <w:r>
        <w:rPr>
          <w:sz w:val="22"/>
          <w:szCs w:val="22"/>
          <w:rtl w:val="0"/>
          <w:lang w:val="en-US"/>
        </w:rPr>
        <w:t>Finally, by appealing to a constellation of texts in which Jews have blessed pagans (Est 2:22; Ps 119:100; Gen 47:7), the blessing of Abraham is likened to these various examples, in which wise counsel is sought from those in times of trouble. Interestingly R. Nehemiah acknowledges that those around them are more wealthy than they (which does not appear in the midrash to contradict the Abrahamic promises), yet it is advice with which they can primarily be a blessing, not wealth.</w:t>
      </w:r>
      <w:r>
        <w:rPr>
          <w:sz w:val="22"/>
          <w:szCs w:val="22"/>
          <w:vertAlign w:val="superscript"/>
        </w:rPr>
        <w:footnoteReference w:id="21"/>
      </w:r>
      <w:r>
        <w:rPr>
          <w:sz w:val="22"/>
          <w:szCs w:val="22"/>
          <w:rtl w:val="0"/>
          <w:lang w:val="en-US"/>
        </w:rPr>
        <w:t xml:space="preserve"> </w:t>
      </w:r>
    </w:p>
    <w:p>
      <w:pPr>
        <w:pStyle w:val="Body A"/>
        <w:spacing w:line="240" w:lineRule="auto"/>
        <w:ind w:firstLine="0"/>
        <w:rPr>
          <w:sz w:val="22"/>
          <w:szCs w:val="22"/>
        </w:rPr>
      </w:pPr>
    </w:p>
    <w:p>
      <w:pPr>
        <w:pStyle w:val="Body A"/>
        <w:spacing w:line="240" w:lineRule="auto"/>
        <w:ind w:firstLine="0"/>
        <w:rPr>
          <w:sz w:val="22"/>
          <w:szCs w:val="22"/>
        </w:rPr>
      </w:pPr>
      <w:r>
        <w:rPr>
          <w:sz w:val="22"/>
          <w:szCs w:val="22"/>
          <w:rtl w:val="0"/>
          <w:lang w:val="en-US"/>
        </w:rPr>
        <w:t xml:space="preserve">It is interesting to note that, given the length of dialogue devoted to interpreting these verses, there is relatively little said concerning the verse </w:t>
      </w:r>
      <w:r>
        <w:rPr>
          <w:sz w:val="22"/>
          <w:szCs w:val="22"/>
          <w:rtl w:val="0"/>
          <w:lang w:val="en-US"/>
        </w:rPr>
        <w:t>“</w:t>
      </w:r>
      <w:r>
        <w:rPr>
          <w:sz w:val="22"/>
          <w:szCs w:val="22"/>
          <w:rtl w:val="0"/>
          <w:lang w:val="en-US"/>
        </w:rPr>
        <w:t>those who curse you</w:t>
      </w:r>
      <w:r>
        <w:rPr>
          <w:sz w:val="22"/>
          <w:szCs w:val="22"/>
          <w:rtl w:val="0"/>
          <w:lang w:val="en-US"/>
        </w:rPr>
        <w:t>”</w:t>
      </w:r>
      <w:r>
        <w:rPr>
          <w:sz w:val="22"/>
          <w:szCs w:val="22"/>
          <w:rtl w:val="0"/>
          <w:lang w:val="en-US"/>
        </w:rPr>
        <w:t>, other than a short excursus on improper ritual during the benedictions.</w:t>
      </w:r>
      <w:r>
        <w:rPr>
          <w:sz w:val="22"/>
          <w:szCs w:val="22"/>
          <w:vertAlign w:val="superscript"/>
        </w:rPr>
        <w:footnoteReference w:id="22"/>
      </w:r>
      <w:r>
        <w:rPr>
          <w:sz w:val="22"/>
          <w:szCs w:val="22"/>
          <w:rtl w:val="0"/>
          <w:lang w:val="en-US"/>
        </w:rPr>
        <w:t xml:space="preserve"> The Rabbinic discourse occurred in history, and one of the features was to interpret the text for the present context of the community.</w:t>
      </w:r>
      <w:r>
        <w:rPr>
          <w:sz w:val="22"/>
          <w:szCs w:val="22"/>
          <w:vertAlign w:val="superscript"/>
        </w:rPr>
        <w:footnoteReference w:id="23"/>
      </w:r>
      <w:r>
        <w:rPr>
          <w:sz w:val="22"/>
          <w:szCs w:val="22"/>
          <w:rtl w:val="0"/>
          <w:lang w:val="en-US"/>
        </w:rPr>
        <w:t xml:space="preserve"> One wonders if, given the reality of exile, oppression and destruction of Jerusalem under the Roman Empire, little explanation was deemed necessary regarding how the descendants of Abraham would be cursed.</w:t>
      </w:r>
    </w:p>
    <w:p>
      <w:pPr>
        <w:pStyle w:val="Body A"/>
        <w:spacing w:line="240" w:lineRule="auto"/>
        <w:ind w:firstLine="0"/>
        <w:rPr>
          <w:sz w:val="22"/>
          <w:szCs w:val="22"/>
        </w:rPr>
      </w:pPr>
    </w:p>
    <w:p>
      <w:pPr>
        <w:pStyle w:val="Body A"/>
        <w:spacing w:line="240" w:lineRule="auto"/>
        <w:ind w:firstLine="0"/>
        <w:rPr>
          <w:sz w:val="22"/>
          <w:szCs w:val="22"/>
        </w:rPr>
      </w:pPr>
    </w:p>
    <w:p>
      <w:pPr>
        <w:pStyle w:val="Body A"/>
        <w:spacing w:line="240" w:lineRule="auto"/>
        <w:ind w:firstLine="0"/>
        <w:rPr>
          <w:i w:val="1"/>
          <w:iCs w:val="1"/>
          <w:sz w:val="22"/>
          <w:szCs w:val="22"/>
        </w:rPr>
      </w:pPr>
      <w:r>
        <w:rPr>
          <w:i w:val="1"/>
          <w:iCs w:val="1"/>
          <w:sz w:val="22"/>
          <w:szCs w:val="22"/>
          <w:rtl w:val="0"/>
          <w:lang w:val="en-US"/>
        </w:rPr>
        <w:t>Conclusion:</w:t>
      </w:r>
    </w:p>
    <w:p>
      <w:pPr>
        <w:pStyle w:val="Body A"/>
        <w:spacing w:line="240" w:lineRule="auto"/>
        <w:ind w:firstLine="0"/>
        <w:rPr>
          <w:sz w:val="22"/>
          <w:szCs w:val="22"/>
        </w:rPr>
      </w:pPr>
    </w:p>
    <w:p>
      <w:pPr>
        <w:pStyle w:val="Body A"/>
        <w:spacing w:line="240" w:lineRule="auto"/>
        <w:ind w:firstLine="0"/>
        <w:rPr>
          <w:sz w:val="22"/>
          <w:szCs w:val="22"/>
        </w:rPr>
      </w:pPr>
      <w:r>
        <w:rPr>
          <w:sz w:val="22"/>
          <w:szCs w:val="22"/>
          <w:rtl w:val="0"/>
          <w:lang w:val="en-US"/>
        </w:rPr>
        <w:t>The commentary of Genesis Rabbah highlights several of the features peculiar to Jewish (Rabbinic) interpretation, such as a plurality of interpretation, fluid and creative use of other Scriptures and a readiness to make textual links where the modern reader would see none (such as similar sounding Hebrew words).</w:t>
      </w:r>
    </w:p>
    <w:p>
      <w:pPr>
        <w:pStyle w:val="Body A"/>
        <w:spacing w:line="240" w:lineRule="auto"/>
        <w:ind w:firstLine="0"/>
        <w:rPr>
          <w:sz w:val="22"/>
          <w:szCs w:val="22"/>
        </w:rPr>
      </w:pPr>
    </w:p>
    <w:p>
      <w:pPr>
        <w:pStyle w:val="Body A"/>
        <w:spacing w:line="240" w:lineRule="auto"/>
        <w:ind w:firstLine="0"/>
        <w:rPr>
          <w:sz w:val="22"/>
          <w:szCs w:val="22"/>
        </w:rPr>
      </w:pPr>
      <w:r>
        <w:rPr>
          <w:sz w:val="22"/>
          <w:szCs w:val="22"/>
          <w:rtl w:val="0"/>
          <w:lang w:val="en-US"/>
        </w:rPr>
        <w:t>Many of these examples are not readily used in modern critical scholarship (I am certainly unaware of theological arguments being based on the physical shape of the lettering of the text in other traditions), yet, at a time when the dominant position of the modern historical-critical approach to Biblical studies is shifting, we cannot disregard Midrash or any other forms of Jewish approaches to the text as irrelevant, as they offer a diverse approach which challenges the modern interpreter with fresh and unfamiliar ways of approaching the text.</w:t>
      </w:r>
    </w:p>
    <w:p>
      <w:pPr>
        <w:pStyle w:val="Body A"/>
        <w:spacing w:line="240" w:lineRule="auto"/>
        <w:ind w:firstLine="0"/>
        <w:rPr>
          <w:sz w:val="22"/>
          <w:szCs w:val="22"/>
        </w:rPr>
      </w:pPr>
    </w:p>
    <w:p>
      <w:pPr>
        <w:pStyle w:val="Body A"/>
        <w:spacing w:line="240" w:lineRule="auto"/>
        <w:ind w:firstLine="0"/>
        <w:rPr>
          <w:sz w:val="22"/>
          <w:szCs w:val="22"/>
        </w:rPr>
      </w:pPr>
    </w:p>
    <w:p>
      <w:pPr>
        <w:pStyle w:val="Body A"/>
        <w:spacing w:line="240" w:lineRule="auto"/>
        <w:ind w:firstLine="0"/>
        <w:rPr>
          <w:sz w:val="22"/>
          <w:szCs w:val="22"/>
        </w:rPr>
      </w:pPr>
    </w:p>
    <w:p>
      <w:pPr>
        <w:pStyle w:val="Body A"/>
        <w:spacing w:line="240" w:lineRule="auto"/>
        <w:ind w:firstLine="0"/>
        <w:rPr>
          <w:sz w:val="22"/>
          <w:szCs w:val="22"/>
        </w:rPr>
      </w:pPr>
    </w:p>
    <w:p>
      <w:pPr>
        <w:pStyle w:val="Body A"/>
        <w:spacing w:line="240" w:lineRule="auto"/>
        <w:ind w:firstLine="0"/>
        <w:rPr>
          <w:sz w:val="22"/>
          <w:szCs w:val="22"/>
        </w:rPr>
      </w:pPr>
    </w:p>
    <w:p>
      <w:pPr>
        <w:pStyle w:val="Body A"/>
        <w:spacing w:line="240" w:lineRule="auto"/>
        <w:ind w:firstLine="0"/>
        <w:rPr>
          <w:sz w:val="22"/>
          <w:szCs w:val="22"/>
        </w:rPr>
      </w:pPr>
    </w:p>
    <w:p>
      <w:pPr>
        <w:pStyle w:val="Body A"/>
        <w:spacing w:line="240" w:lineRule="auto"/>
        <w:ind w:firstLine="0"/>
      </w:pPr>
    </w:p>
    <w:p>
      <w:pPr>
        <w:pStyle w:val="Body A"/>
        <w:spacing w:line="240" w:lineRule="auto"/>
        <w:ind w:firstLine="0"/>
        <w:rPr>
          <w:i w:val="1"/>
          <w:iCs w:val="1"/>
          <w:sz w:val="22"/>
          <w:szCs w:val="22"/>
        </w:rPr>
      </w:pPr>
      <w:r>
        <w:rPr>
          <w:i w:val="1"/>
          <w:iCs w:val="1"/>
          <w:sz w:val="22"/>
          <w:szCs w:val="22"/>
          <w:rtl w:val="0"/>
          <w:lang w:val="en-US"/>
        </w:rPr>
        <w:t>Bibliography:</w:t>
      </w:r>
    </w:p>
    <w:p>
      <w:pPr>
        <w:pStyle w:val="Body A"/>
        <w:spacing w:line="240" w:lineRule="auto"/>
        <w:ind w:firstLine="0"/>
        <w:rPr>
          <w:sz w:val="22"/>
          <w:szCs w:val="22"/>
        </w:rPr>
      </w:pPr>
    </w:p>
    <w:p>
      <w:pPr>
        <w:pStyle w:val="Body A"/>
        <w:spacing w:line="240" w:lineRule="auto"/>
        <w:ind w:firstLine="0"/>
        <w:rPr>
          <w:sz w:val="22"/>
          <w:szCs w:val="22"/>
        </w:rPr>
      </w:pPr>
      <w:r>
        <w:rPr>
          <w:sz w:val="22"/>
          <w:szCs w:val="22"/>
          <w:rtl w:val="0"/>
          <w:lang w:val="en-US"/>
        </w:rPr>
        <w:t xml:space="preserve">Alexander, P.S., </w:t>
      </w:r>
      <w:r>
        <w:rPr>
          <w:sz w:val="22"/>
          <w:szCs w:val="22"/>
          <w:rtl w:val="0"/>
          <w:lang w:val="en-US"/>
        </w:rPr>
        <w:t>“</w:t>
      </w:r>
      <w:r>
        <w:rPr>
          <w:sz w:val="22"/>
          <w:szCs w:val="22"/>
          <w:rtl w:val="0"/>
          <w:lang w:val="en-US"/>
        </w:rPr>
        <w:t>Jewish Interpretation</w:t>
      </w:r>
      <w:r>
        <w:rPr>
          <w:sz w:val="22"/>
          <w:szCs w:val="22"/>
          <w:rtl w:val="0"/>
          <w:lang w:val="en-US"/>
        </w:rPr>
        <w:t>”</w:t>
      </w:r>
      <w:r>
        <w:rPr>
          <w:sz w:val="22"/>
          <w:szCs w:val="22"/>
          <w:rtl w:val="0"/>
          <w:lang w:val="en-US"/>
        </w:rPr>
        <w:t xml:space="preserve">, in Metzger, B.M. and Coogan, M.D. (eds.), </w:t>
      </w:r>
      <w:r>
        <w:rPr>
          <w:i w:val="1"/>
          <w:iCs w:val="1"/>
          <w:sz w:val="22"/>
          <w:szCs w:val="22"/>
          <w:rtl w:val="0"/>
          <w:lang w:val="en-US"/>
        </w:rPr>
        <w:t>The Oxford Companion to the Bible</w:t>
      </w:r>
      <w:r>
        <w:rPr>
          <w:sz w:val="22"/>
          <w:szCs w:val="22"/>
          <w:rtl w:val="0"/>
          <w:lang w:val="en-US"/>
        </w:rPr>
        <w:t xml:space="preserve"> (Oxford: Oxford university Press, 1993), pp. 305-310.</w:t>
      </w:r>
    </w:p>
    <w:p>
      <w:pPr>
        <w:pStyle w:val="Body A"/>
        <w:spacing w:line="240" w:lineRule="auto"/>
        <w:ind w:firstLine="0"/>
        <w:rPr>
          <w:sz w:val="22"/>
          <w:szCs w:val="22"/>
        </w:rPr>
      </w:pPr>
    </w:p>
    <w:p>
      <w:pPr>
        <w:pStyle w:val="Body A"/>
        <w:spacing w:line="240" w:lineRule="auto"/>
        <w:ind w:firstLine="0"/>
        <w:rPr>
          <w:sz w:val="22"/>
          <w:szCs w:val="22"/>
        </w:rPr>
      </w:pPr>
      <w:r>
        <w:rPr>
          <w:sz w:val="22"/>
          <w:szCs w:val="22"/>
          <w:rtl w:val="0"/>
          <w:lang w:val="en-US"/>
        </w:rPr>
        <w:t xml:space="preserve">Alter, R., </w:t>
      </w:r>
      <w:r>
        <w:rPr>
          <w:i w:val="1"/>
          <w:iCs w:val="1"/>
          <w:sz w:val="22"/>
          <w:szCs w:val="22"/>
          <w:rtl w:val="0"/>
          <w:lang w:val="en-US"/>
        </w:rPr>
        <w:t>Genesis</w:t>
      </w:r>
      <w:r>
        <w:rPr>
          <w:sz w:val="22"/>
          <w:szCs w:val="22"/>
          <w:rtl w:val="0"/>
          <w:lang w:val="en-US"/>
        </w:rPr>
        <w:t xml:space="preserve"> (New York: W.W. Norton and Co, 1996).</w:t>
      </w:r>
    </w:p>
    <w:p>
      <w:pPr>
        <w:pStyle w:val="Body A"/>
        <w:spacing w:line="240" w:lineRule="auto"/>
        <w:ind w:firstLine="0"/>
        <w:rPr>
          <w:sz w:val="22"/>
          <w:szCs w:val="22"/>
        </w:rPr>
      </w:pPr>
    </w:p>
    <w:p>
      <w:pPr>
        <w:pStyle w:val="Body A"/>
        <w:spacing w:line="240" w:lineRule="auto"/>
        <w:ind w:firstLine="0"/>
        <w:rPr>
          <w:sz w:val="22"/>
          <w:szCs w:val="22"/>
        </w:rPr>
      </w:pPr>
      <w:r>
        <w:rPr>
          <w:sz w:val="22"/>
          <w:szCs w:val="22"/>
          <w:rtl w:val="0"/>
          <w:lang w:val="en-US"/>
        </w:rPr>
        <w:t xml:space="preserve">Fishbane, M., </w:t>
      </w:r>
      <w:r>
        <w:rPr>
          <w:i w:val="1"/>
          <w:iCs w:val="1"/>
          <w:sz w:val="22"/>
          <w:szCs w:val="22"/>
          <w:rtl w:val="0"/>
          <w:lang w:val="en-US"/>
        </w:rPr>
        <w:t>The Exegetical Imagination: On Jewish Thought and Theology</w:t>
      </w:r>
      <w:r>
        <w:rPr>
          <w:sz w:val="22"/>
          <w:szCs w:val="22"/>
          <w:rtl w:val="0"/>
          <w:lang w:val="en-US"/>
        </w:rPr>
        <w:t xml:space="preserve"> (London: Harvard University Press, 1998).</w:t>
      </w:r>
    </w:p>
    <w:p>
      <w:pPr>
        <w:pStyle w:val="Body A"/>
        <w:spacing w:line="240" w:lineRule="auto"/>
        <w:ind w:firstLine="0"/>
        <w:rPr>
          <w:sz w:val="22"/>
          <w:szCs w:val="22"/>
        </w:rPr>
      </w:pPr>
    </w:p>
    <w:p>
      <w:pPr>
        <w:pStyle w:val="Body A"/>
        <w:spacing w:line="240" w:lineRule="auto"/>
        <w:ind w:firstLine="0"/>
        <w:rPr>
          <w:sz w:val="22"/>
          <w:szCs w:val="22"/>
        </w:rPr>
      </w:pPr>
      <w:r>
        <w:rPr>
          <w:sz w:val="22"/>
          <w:szCs w:val="22"/>
          <w:rtl w:val="0"/>
          <w:lang w:val="en-US"/>
        </w:rPr>
        <w:t xml:space="preserve">Fishbane, M., </w:t>
      </w:r>
      <w:r>
        <w:rPr>
          <w:sz w:val="22"/>
          <w:szCs w:val="22"/>
          <w:rtl w:val="0"/>
          <w:lang w:val="en-US"/>
        </w:rPr>
        <w:t>“</w:t>
      </w:r>
      <w:r>
        <w:rPr>
          <w:sz w:val="22"/>
          <w:szCs w:val="22"/>
          <w:rtl w:val="0"/>
          <w:lang w:val="en-US"/>
        </w:rPr>
        <w:t>Modern Jewish Theology and Traditional Hermeneutics</w:t>
      </w:r>
      <w:r>
        <w:rPr>
          <w:sz w:val="22"/>
          <w:szCs w:val="22"/>
          <w:rtl w:val="0"/>
          <w:lang w:val="en-US"/>
        </w:rPr>
        <w:t>”</w:t>
      </w:r>
      <w:r>
        <w:rPr>
          <w:sz w:val="22"/>
          <w:szCs w:val="22"/>
          <w:rtl w:val="0"/>
          <w:lang w:val="en-US"/>
        </w:rPr>
        <w:t xml:space="preserve">, in Tirosh-Samuelson, H. and Hughes, A.W. (eds.), </w:t>
      </w:r>
      <w:r>
        <w:rPr>
          <w:i w:val="1"/>
          <w:iCs w:val="1"/>
          <w:sz w:val="22"/>
          <w:szCs w:val="22"/>
          <w:rtl w:val="0"/>
          <w:lang w:val="en-US"/>
        </w:rPr>
        <w:t>Michael Fishbane: Jewish Hermeneutical Theology</w:t>
      </w:r>
      <w:r>
        <w:rPr>
          <w:sz w:val="22"/>
          <w:szCs w:val="22"/>
          <w:rtl w:val="0"/>
          <w:lang w:val="en-US"/>
        </w:rPr>
        <w:t xml:space="preserve"> (Leiden: Brill, 2015), pp.53-80.</w:t>
      </w:r>
    </w:p>
    <w:p>
      <w:pPr>
        <w:pStyle w:val="Body A"/>
        <w:spacing w:line="240" w:lineRule="auto"/>
        <w:ind w:firstLine="0"/>
        <w:rPr>
          <w:sz w:val="22"/>
          <w:szCs w:val="22"/>
        </w:rPr>
      </w:pPr>
    </w:p>
    <w:p>
      <w:pPr>
        <w:pStyle w:val="Body A"/>
        <w:spacing w:line="240" w:lineRule="auto"/>
        <w:ind w:firstLine="0"/>
        <w:rPr>
          <w:sz w:val="22"/>
          <w:szCs w:val="22"/>
        </w:rPr>
      </w:pPr>
      <w:r>
        <w:rPr>
          <w:sz w:val="22"/>
          <w:szCs w:val="22"/>
          <w:rtl w:val="0"/>
          <w:lang w:val="en-US"/>
        </w:rPr>
        <w:t xml:space="preserve">Fishbane, M., </w:t>
      </w:r>
      <w:r>
        <w:rPr>
          <w:sz w:val="22"/>
          <w:szCs w:val="22"/>
          <w:rtl w:val="0"/>
          <w:lang w:val="en-US"/>
        </w:rPr>
        <w:t>“</w:t>
      </w:r>
      <w:r>
        <w:rPr>
          <w:sz w:val="22"/>
          <w:szCs w:val="22"/>
          <w:rtl w:val="0"/>
          <w:lang w:val="en-US"/>
        </w:rPr>
        <w:t>Midrash and the Nature of Scripture</w:t>
      </w:r>
      <w:r>
        <w:rPr>
          <w:sz w:val="22"/>
          <w:szCs w:val="22"/>
          <w:rtl w:val="0"/>
          <w:lang w:val="en-US"/>
        </w:rPr>
        <w:t>”</w:t>
      </w:r>
      <w:r>
        <w:rPr>
          <w:sz w:val="22"/>
          <w:szCs w:val="22"/>
          <w:rtl w:val="0"/>
          <w:lang w:val="en-US"/>
        </w:rPr>
        <w:t xml:space="preserve">, in Tirosh-Samuelson, H. and Hughes, A.W. (eds.), </w:t>
      </w:r>
      <w:r>
        <w:rPr>
          <w:i w:val="1"/>
          <w:iCs w:val="1"/>
          <w:sz w:val="22"/>
          <w:szCs w:val="22"/>
          <w:rtl w:val="0"/>
          <w:lang w:val="en-US"/>
        </w:rPr>
        <w:t>Michael Fishbane: Jewish Hermeneutical Theology</w:t>
      </w:r>
      <w:r>
        <w:rPr>
          <w:sz w:val="22"/>
          <w:szCs w:val="22"/>
          <w:rtl w:val="0"/>
          <w:lang w:val="en-US"/>
        </w:rPr>
        <w:t xml:space="preserve"> (Leiden: Brill, 2015), pp.81-94.</w:t>
      </w:r>
    </w:p>
    <w:p>
      <w:pPr>
        <w:pStyle w:val="Body A"/>
        <w:spacing w:line="240" w:lineRule="auto"/>
        <w:ind w:firstLine="0"/>
        <w:rPr>
          <w:sz w:val="22"/>
          <w:szCs w:val="22"/>
        </w:rPr>
      </w:pPr>
    </w:p>
    <w:p>
      <w:pPr>
        <w:pStyle w:val="Body A"/>
        <w:spacing w:line="240" w:lineRule="auto"/>
        <w:ind w:firstLine="0"/>
        <w:rPr>
          <w:sz w:val="22"/>
          <w:szCs w:val="22"/>
        </w:rPr>
      </w:pPr>
      <w:r>
        <w:rPr>
          <w:sz w:val="22"/>
          <w:szCs w:val="22"/>
          <w:rtl w:val="0"/>
          <w:lang w:val="en-US"/>
        </w:rPr>
        <w:t xml:space="preserve">Fox, E., </w:t>
      </w:r>
      <w:r>
        <w:rPr>
          <w:i w:val="1"/>
          <w:iCs w:val="1"/>
          <w:sz w:val="22"/>
          <w:szCs w:val="22"/>
          <w:rtl w:val="0"/>
          <w:lang w:val="en-US"/>
        </w:rPr>
        <w:t>The Five Books of Moses</w:t>
      </w:r>
      <w:r>
        <w:rPr>
          <w:sz w:val="22"/>
          <w:szCs w:val="22"/>
          <w:rtl w:val="0"/>
          <w:lang w:val="en-US"/>
        </w:rPr>
        <w:t xml:space="preserve"> (New York: Schocken Books, 1997).</w:t>
      </w:r>
    </w:p>
    <w:p>
      <w:pPr>
        <w:pStyle w:val="Body A"/>
        <w:spacing w:line="240" w:lineRule="auto"/>
        <w:ind w:firstLine="0"/>
        <w:rPr>
          <w:sz w:val="22"/>
          <w:szCs w:val="22"/>
        </w:rPr>
      </w:pPr>
    </w:p>
    <w:p>
      <w:pPr>
        <w:pStyle w:val="Body A"/>
        <w:spacing w:line="240" w:lineRule="auto"/>
        <w:ind w:firstLine="0"/>
        <w:rPr>
          <w:sz w:val="22"/>
          <w:szCs w:val="22"/>
        </w:rPr>
      </w:pPr>
      <w:r>
        <w:rPr>
          <w:sz w:val="22"/>
          <w:szCs w:val="22"/>
          <w:rtl w:val="0"/>
          <w:lang w:val="en-US"/>
        </w:rPr>
        <w:t xml:space="preserve">Freedman, H. And Simon. M., (eds.) </w:t>
      </w:r>
      <w:r>
        <w:rPr>
          <w:i w:val="1"/>
          <w:iCs w:val="1"/>
          <w:sz w:val="22"/>
          <w:szCs w:val="22"/>
          <w:rtl w:val="0"/>
          <w:lang w:val="en-US"/>
        </w:rPr>
        <w:t xml:space="preserve">Midrash Rabbah: Genesis </w:t>
      </w:r>
      <w:r>
        <w:rPr>
          <w:sz w:val="22"/>
          <w:szCs w:val="22"/>
          <w:rtl w:val="0"/>
          <w:lang w:val="en-US"/>
        </w:rPr>
        <w:t>(London: Soncino Press, 1939).</w:t>
      </w:r>
    </w:p>
    <w:p>
      <w:pPr>
        <w:pStyle w:val="Body A"/>
        <w:spacing w:line="240" w:lineRule="auto"/>
        <w:ind w:firstLine="0"/>
        <w:rPr>
          <w:sz w:val="22"/>
          <w:szCs w:val="22"/>
        </w:rPr>
      </w:pPr>
    </w:p>
    <w:p>
      <w:pPr>
        <w:pStyle w:val="Body A"/>
        <w:spacing w:line="240" w:lineRule="auto"/>
        <w:ind w:firstLine="0"/>
        <w:rPr>
          <w:sz w:val="22"/>
          <w:szCs w:val="22"/>
        </w:rPr>
      </w:pPr>
      <w:r>
        <w:rPr>
          <w:sz w:val="22"/>
          <w:szCs w:val="22"/>
          <w:rtl w:val="0"/>
        </w:rPr>
        <w:t>Levine,</w:t>
      </w:r>
      <w:r>
        <w:rPr>
          <w:sz w:val="22"/>
          <w:szCs w:val="22"/>
          <w:rtl w:val="0"/>
          <w:lang w:val="en-US"/>
        </w:rPr>
        <w:t xml:space="preserve"> A.,</w:t>
      </w:r>
      <w:r>
        <w:rPr>
          <w:sz w:val="22"/>
          <w:szCs w:val="22"/>
          <w:rtl w:val="0"/>
        </w:rPr>
        <w:t xml:space="preserve"> ‘“</w:t>
      </w:r>
      <w:r>
        <w:rPr>
          <w:sz w:val="22"/>
          <w:szCs w:val="22"/>
          <w:rtl w:val="0"/>
          <w:lang w:val="en-US"/>
        </w:rPr>
        <w:t>To All the Gentiles</w:t>
      </w:r>
      <w:r>
        <w:rPr>
          <w:sz w:val="22"/>
          <w:szCs w:val="22"/>
          <w:rtl w:val="0"/>
        </w:rPr>
        <w:t>”</w:t>
      </w:r>
      <w:r>
        <w:rPr>
          <w:sz w:val="22"/>
          <w:szCs w:val="22"/>
          <w:rtl w:val="0"/>
          <w:lang w:val="en-US"/>
        </w:rPr>
        <w:t>: A Jewish Perspective on the Great Commission</w:t>
      </w:r>
      <w:r>
        <w:rPr>
          <w:sz w:val="22"/>
          <w:szCs w:val="22"/>
          <w:rtl w:val="0"/>
        </w:rPr>
        <w:t>’</w:t>
      </w:r>
      <w:r>
        <w:rPr>
          <w:sz w:val="22"/>
          <w:szCs w:val="22"/>
          <w:rtl w:val="0"/>
        </w:rPr>
        <w:t xml:space="preserve">, </w:t>
      </w:r>
      <w:r>
        <w:rPr>
          <w:i w:val="1"/>
          <w:iCs w:val="1"/>
          <w:sz w:val="22"/>
          <w:szCs w:val="22"/>
          <w:rtl w:val="0"/>
          <w:lang w:val="en-US"/>
        </w:rPr>
        <w:t>Review and Expositor</w:t>
      </w:r>
      <w:r>
        <w:rPr>
          <w:sz w:val="22"/>
          <w:szCs w:val="22"/>
          <w:rtl w:val="0"/>
        </w:rPr>
        <w:t>, 103 (2006), pp. 139-58.</w:t>
      </w:r>
    </w:p>
    <w:p>
      <w:pPr>
        <w:pStyle w:val="Body A"/>
        <w:spacing w:line="240" w:lineRule="auto"/>
        <w:ind w:firstLine="0"/>
        <w:rPr>
          <w:sz w:val="22"/>
          <w:szCs w:val="22"/>
        </w:rPr>
      </w:pPr>
    </w:p>
    <w:p>
      <w:pPr>
        <w:pStyle w:val="Default"/>
        <w:spacing w:after="240" w:line="300" w:lineRule="atLeast"/>
        <w:rPr>
          <w:color w:val="000000"/>
          <w:sz w:val="22"/>
          <w:szCs w:val="22"/>
          <w:u w:color="000000"/>
        </w:rPr>
      </w:pPr>
      <w:r>
        <w:rPr>
          <w:color w:val="000000"/>
          <w:sz w:val="22"/>
          <w:szCs w:val="22"/>
          <w:u w:color="000000"/>
          <w:rtl w:val="0"/>
          <w:lang w:val="en-US"/>
        </w:rPr>
        <w:t xml:space="preserve">Magonet, J., </w:t>
      </w:r>
      <w:r>
        <w:rPr>
          <w:color w:val="000000"/>
          <w:sz w:val="22"/>
          <w:szCs w:val="22"/>
          <w:u w:color="000000"/>
          <w:rtl w:val="0"/>
          <w:lang w:val="en-US"/>
        </w:rPr>
        <w:t>“</w:t>
      </w:r>
      <w:r>
        <w:rPr>
          <w:color w:val="000000"/>
          <w:sz w:val="22"/>
          <w:szCs w:val="22"/>
          <w:u w:color="000000"/>
          <w:rtl w:val="0"/>
          <w:lang w:val="en-US"/>
        </w:rPr>
        <w:t>Jewish Interpretation and the Bible</w:t>
      </w:r>
      <w:r>
        <w:rPr>
          <w:color w:val="000000"/>
          <w:sz w:val="22"/>
          <w:szCs w:val="22"/>
          <w:u w:color="000000"/>
          <w:rtl w:val="0"/>
          <w:lang w:val="en-US"/>
        </w:rPr>
        <w:t>”</w:t>
      </w:r>
      <w:r>
        <w:rPr>
          <w:color w:val="000000"/>
          <w:sz w:val="22"/>
          <w:szCs w:val="22"/>
          <w:u w:color="000000"/>
          <w:rtl w:val="0"/>
          <w:lang w:val="en-US"/>
        </w:rPr>
        <w:t xml:space="preserve">, in Rogerson, J.W. and Lieu, J.M. (eds.), </w:t>
      </w:r>
      <w:r>
        <w:rPr>
          <w:i w:val="1"/>
          <w:iCs w:val="1"/>
          <w:color w:val="000000"/>
          <w:sz w:val="22"/>
          <w:szCs w:val="22"/>
          <w:u w:color="000000"/>
          <w:rtl w:val="0"/>
          <w:lang w:val="en-US"/>
        </w:rPr>
        <w:t>The Oxford Handbook of Biblical Studies</w:t>
      </w:r>
      <w:r>
        <w:rPr>
          <w:color w:val="000000"/>
          <w:sz w:val="22"/>
          <w:szCs w:val="22"/>
          <w:u w:color="000000"/>
          <w:rtl w:val="0"/>
          <w:lang w:val="en-US"/>
        </w:rPr>
        <w:t xml:space="preserve"> (Oxford: Oxford university Press, 2010), pp. 754-774.</w:t>
      </w:r>
    </w:p>
    <w:p>
      <w:pPr>
        <w:pStyle w:val="Default"/>
        <w:spacing w:after="240" w:line="300" w:lineRule="atLeast"/>
        <w:rPr>
          <w:color w:val="000000"/>
          <w:sz w:val="22"/>
          <w:szCs w:val="22"/>
          <w:u w:color="000000"/>
        </w:rPr>
      </w:pPr>
      <w:r>
        <w:rPr>
          <w:color w:val="000000"/>
          <w:sz w:val="22"/>
          <w:szCs w:val="22"/>
          <w:u w:color="000000"/>
          <w:rtl w:val="0"/>
          <w:lang w:val="en-US"/>
        </w:rPr>
        <w:t xml:space="preserve">Telushkin, J., </w:t>
      </w:r>
      <w:r>
        <w:rPr>
          <w:i w:val="1"/>
          <w:iCs w:val="1"/>
          <w:color w:val="000000"/>
          <w:sz w:val="22"/>
          <w:szCs w:val="22"/>
          <w:u w:color="000000"/>
          <w:rtl w:val="0"/>
          <w:lang w:val="en-US"/>
        </w:rPr>
        <w:t xml:space="preserve">Biblical Literacy: The Most Important People, Events, and Ideas of the Hebrew Bible </w:t>
      </w:r>
      <w:r>
        <w:rPr>
          <w:color w:val="000000"/>
          <w:sz w:val="22"/>
          <w:szCs w:val="22"/>
          <w:u w:color="000000"/>
          <w:rtl w:val="0"/>
          <w:lang w:val="en-US"/>
        </w:rPr>
        <w:t>(New York: Morrow, 1997).</w:t>
      </w:r>
    </w:p>
    <w:p>
      <w:pPr>
        <w:pStyle w:val="Body A"/>
        <w:spacing w:line="240" w:lineRule="auto"/>
        <w:ind w:firstLine="0"/>
        <w:rPr>
          <w:sz w:val="22"/>
          <w:szCs w:val="22"/>
        </w:rPr>
      </w:pPr>
    </w:p>
    <w:p>
      <w:pPr>
        <w:pStyle w:val="Body A"/>
        <w:spacing w:line="240" w:lineRule="auto"/>
        <w:ind w:firstLine="0"/>
        <w:rPr>
          <w:sz w:val="22"/>
          <w:szCs w:val="22"/>
        </w:rPr>
      </w:pPr>
    </w:p>
    <w:p>
      <w:pPr>
        <w:pStyle w:val="Body A"/>
        <w:spacing w:line="240" w:lineRule="auto"/>
        <w:ind w:firstLine="0"/>
        <w:rPr>
          <w:sz w:val="22"/>
          <w:szCs w:val="22"/>
        </w:rPr>
      </w:pPr>
    </w:p>
    <w:p>
      <w:pPr>
        <w:pStyle w:val="Body A"/>
        <w:spacing w:line="240" w:lineRule="auto"/>
        <w:ind w:firstLine="0"/>
        <w:rPr>
          <w:sz w:val="22"/>
          <w:szCs w:val="22"/>
        </w:rPr>
      </w:pPr>
    </w:p>
    <w:p>
      <w:pPr>
        <w:pStyle w:val="Body A"/>
        <w:spacing w:line="240" w:lineRule="auto"/>
        <w:ind w:firstLine="0"/>
        <w:rPr>
          <w:sz w:val="22"/>
          <w:szCs w:val="22"/>
        </w:rPr>
      </w:pPr>
    </w:p>
    <w:p>
      <w:pPr>
        <w:pStyle w:val="Body A"/>
        <w:spacing w:line="240" w:lineRule="auto"/>
        <w:ind w:firstLine="0"/>
        <w:rPr>
          <w:sz w:val="22"/>
          <w:szCs w:val="22"/>
        </w:rPr>
      </w:pPr>
    </w:p>
    <w:p>
      <w:pPr>
        <w:pStyle w:val="Body A"/>
        <w:spacing w:line="240" w:lineRule="auto"/>
        <w:ind w:firstLine="0"/>
        <w:rPr>
          <w:sz w:val="22"/>
          <w:szCs w:val="22"/>
        </w:rPr>
      </w:pPr>
    </w:p>
    <w:p>
      <w:pPr>
        <w:pStyle w:val="Body A"/>
        <w:spacing w:line="240" w:lineRule="auto"/>
        <w:ind w:firstLine="0"/>
        <w:rPr>
          <w:sz w:val="22"/>
          <w:szCs w:val="22"/>
        </w:rPr>
      </w:pPr>
    </w:p>
    <w:p>
      <w:pPr>
        <w:pStyle w:val="Body A"/>
        <w:spacing w:line="240" w:lineRule="auto"/>
        <w:ind w:firstLine="0"/>
        <w:rPr>
          <w:sz w:val="22"/>
          <w:szCs w:val="22"/>
        </w:rPr>
      </w:pPr>
    </w:p>
    <w:p>
      <w:pPr>
        <w:pStyle w:val="Body A"/>
        <w:spacing w:line="240" w:lineRule="auto"/>
        <w:ind w:firstLine="0"/>
        <w:rPr>
          <w:sz w:val="22"/>
          <w:szCs w:val="22"/>
        </w:rPr>
      </w:pPr>
    </w:p>
    <w:p>
      <w:pPr>
        <w:pStyle w:val="Body A"/>
        <w:spacing w:line="240" w:lineRule="auto"/>
        <w:ind w:firstLine="0"/>
        <w:rPr>
          <w:sz w:val="22"/>
          <w:szCs w:val="22"/>
        </w:rPr>
      </w:pPr>
    </w:p>
    <w:p>
      <w:pPr>
        <w:pStyle w:val="Body A"/>
        <w:spacing w:line="240" w:lineRule="auto"/>
        <w:ind w:firstLine="0"/>
        <w:rPr>
          <w:sz w:val="22"/>
          <w:szCs w:val="22"/>
        </w:rPr>
      </w:pPr>
    </w:p>
    <w:p>
      <w:pPr>
        <w:pStyle w:val="Body A"/>
        <w:spacing w:line="240" w:lineRule="auto"/>
        <w:ind w:firstLine="0"/>
        <w:rPr>
          <w:sz w:val="22"/>
          <w:szCs w:val="22"/>
        </w:rPr>
      </w:pPr>
    </w:p>
    <w:p>
      <w:pPr>
        <w:pStyle w:val="Body A"/>
        <w:spacing w:line="240" w:lineRule="auto"/>
        <w:ind w:firstLine="0"/>
        <w:rPr>
          <w:sz w:val="22"/>
          <w:szCs w:val="22"/>
        </w:rPr>
      </w:pPr>
    </w:p>
    <w:p>
      <w:pPr>
        <w:pStyle w:val="Body A"/>
        <w:spacing w:line="240" w:lineRule="auto"/>
        <w:ind w:firstLine="0"/>
        <w:rPr>
          <w:sz w:val="22"/>
          <w:szCs w:val="22"/>
        </w:rPr>
      </w:pPr>
    </w:p>
    <w:p>
      <w:pPr>
        <w:pStyle w:val="Body A"/>
        <w:spacing w:line="240" w:lineRule="auto"/>
        <w:ind w:firstLine="0"/>
        <w:rPr>
          <w:sz w:val="22"/>
          <w:szCs w:val="22"/>
        </w:rPr>
      </w:pPr>
    </w:p>
    <w:p>
      <w:pPr>
        <w:pStyle w:val="Body A"/>
        <w:spacing w:line="240" w:lineRule="auto"/>
        <w:ind w:firstLine="0"/>
        <w:rPr>
          <w:sz w:val="22"/>
          <w:szCs w:val="22"/>
        </w:rPr>
      </w:pPr>
    </w:p>
    <w:p>
      <w:pPr>
        <w:pStyle w:val="Body A"/>
        <w:spacing w:line="240" w:lineRule="auto"/>
        <w:ind w:firstLine="0"/>
        <w:rPr>
          <w:sz w:val="22"/>
          <w:szCs w:val="22"/>
        </w:rPr>
      </w:pPr>
    </w:p>
    <w:p>
      <w:pPr>
        <w:pStyle w:val="Body A"/>
        <w:spacing w:line="240" w:lineRule="auto"/>
        <w:ind w:firstLine="0"/>
        <w:rPr>
          <w:sz w:val="22"/>
          <w:szCs w:val="22"/>
        </w:rPr>
      </w:pPr>
    </w:p>
    <w:p>
      <w:pPr>
        <w:pStyle w:val="Body A"/>
        <w:spacing w:line="240" w:lineRule="auto"/>
        <w:ind w:firstLine="0"/>
        <w:rPr>
          <w:sz w:val="22"/>
          <w:szCs w:val="22"/>
        </w:rPr>
      </w:pPr>
    </w:p>
    <w:p>
      <w:pPr>
        <w:pStyle w:val="Body A"/>
        <w:spacing w:line="240" w:lineRule="auto"/>
        <w:ind w:firstLine="0"/>
        <w:rPr>
          <w:sz w:val="22"/>
          <w:szCs w:val="22"/>
        </w:rPr>
      </w:pPr>
    </w:p>
    <w:p>
      <w:pPr>
        <w:pStyle w:val="Body A"/>
        <w:spacing w:line="240" w:lineRule="auto"/>
        <w:ind w:firstLine="0"/>
        <w:rPr>
          <w:sz w:val="22"/>
          <w:szCs w:val="22"/>
        </w:rPr>
      </w:pPr>
    </w:p>
    <w:p>
      <w:pPr>
        <w:pStyle w:val="Body A"/>
        <w:spacing w:line="240" w:lineRule="auto"/>
        <w:ind w:firstLine="0"/>
        <w:rPr>
          <w:sz w:val="22"/>
          <w:szCs w:val="22"/>
        </w:rPr>
      </w:pPr>
    </w:p>
    <w:p>
      <w:pPr>
        <w:pStyle w:val="Body A"/>
        <w:spacing w:line="240" w:lineRule="auto"/>
        <w:ind w:firstLine="0"/>
        <w:rPr>
          <w:sz w:val="22"/>
          <w:szCs w:val="22"/>
        </w:rPr>
      </w:pPr>
    </w:p>
    <w:p>
      <w:pPr>
        <w:pStyle w:val="Body A"/>
        <w:spacing w:line="240" w:lineRule="auto"/>
        <w:ind w:firstLine="0"/>
        <w:rPr>
          <w:sz w:val="22"/>
          <w:szCs w:val="22"/>
        </w:rPr>
      </w:pPr>
    </w:p>
    <w:p>
      <w:pPr>
        <w:pStyle w:val="Body A"/>
        <w:spacing w:line="240" w:lineRule="auto"/>
        <w:ind w:firstLine="0"/>
        <w:rPr>
          <w:sz w:val="22"/>
          <w:szCs w:val="22"/>
        </w:rPr>
      </w:pPr>
    </w:p>
    <w:p>
      <w:pPr>
        <w:pStyle w:val="Body A"/>
        <w:spacing w:line="240" w:lineRule="auto"/>
        <w:ind w:firstLine="0"/>
        <w:rPr>
          <w:sz w:val="22"/>
          <w:szCs w:val="22"/>
        </w:rPr>
      </w:pPr>
    </w:p>
    <w:p>
      <w:pPr>
        <w:pStyle w:val="Default"/>
        <w:spacing w:after="240" w:line="300" w:lineRule="atLeast"/>
        <w:rPr>
          <w:color w:val="000000"/>
          <w:sz w:val="22"/>
          <w:szCs w:val="22"/>
          <w:u w:color="000000"/>
        </w:rPr>
      </w:pPr>
    </w:p>
    <w:p>
      <w:pPr>
        <w:pStyle w:val="Default"/>
        <w:spacing w:after="240" w:line="300" w:lineRule="atLeast"/>
        <w:rPr>
          <w:color w:val="000000"/>
          <w:sz w:val="22"/>
          <w:szCs w:val="22"/>
          <w:u w:color="000000"/>
        </w:rPr>
      </w:pPr>
    </w:p>
    <w:p>
      <w:pPr>
        <w:pStyle w:val="Default"/>
        <w:spacing w:after="240" w:line="300" w:lineRule="atLeast"/>
        <w:rPr>
          <w:color w:val="000000"/>
          <w:sz w:val="22"/>
          <w:szCs w:val="22"/>
          <w:u w:color="000000"/>
        </w:rPr>
      </w:pPr>
    </w:p>
    <w:p>
      <w:pPr>
        <w:pStyle w:val="Default"/>
        <w:spacing w:after="240" w:line="300" w:lineRule="atLeast"/>
        <w:rPr>
          <w:color w:val="000000"/>
          <w:sz w:val="22"/>
          <w:szCs w:val="22"/>
          <w:u w:color="000000"/>
        </w:rPr>
      </w:pPr>
    </w:p>
    <w:p>
      <w:pPr>
        <w:pStyle w:val="Default"/>
        <w:spacing w:after="240" w:line="300" w:lineRule="atLeast"/>
        <w:rPr>
          <w:color w:val="000000"/>
          <w:sz w:val="22"/>
          <w:szCs w:val="22"/>
          <w:u w:color="000000"/>
        </w:rPr>
      </w:pPr>
    </w:p>
    <w:p>
      <w:pPr>
        <w:pStyle w:val="Default"/>
        <w:spacing w:after="240" w:line="300" w:lineRule="atLeast"/>
        <w:rPr>
          <w:color w:val="000000"/>
          <w:sz w:val="22"/>
          <w:szCs w:val="22"/>
          <w:u w:color="000000"/>
        </w:rPr>
      </w:pPr>
    </w:p>
    <w:p>
      <w:pPr>
        <w:pStyle w:val="Default"/>
        <w:spacing w:after="240" w:line="300" w:lineRule="atLeast"/>
        <w:rPr>
          <w:color w:val="000000"/>
          <w:u w:color="000000"/>
        </w:rPr>
      </w:pPr>
    </w:p>
    <w:p>
      <w:pPr>
        <w:pStyle w:val="Body A"/>
        <w:spacing w:line="240" w:lineRule="auto"/>
        <w:ind w:firstLine="0"/>
        <w:rPr>
          <w:sz w:val="22"/>
          <w:szCs w:val="22"/>
        </w:rPr>
      </w:pPr>
    </w:p>
    <w:p>
      <w:pPr>
        <w:pStyle w:val="Body A"/>
        <w:spacing w:line="240" w:lineRule="auto"/>
        <w:ind w:firstLine="0"/>
        <w:rPr>
          <w:sz w:val="22"/>
          <w:szCs w:val="22"/>
        </w:rPr>
      </w:pPr>
    </w:p>
    <w:p>
      <w:pPr>
        <w:pStyle w:val="Body A"/>
        <w:spacing w:line="240" w:lineRule="auto"/>
        <w:ind w:firstLine="0"/>
        <w:rPr>
          <w:sz w:val="22"/>
          <w:szCs w:val="22"/>
        </w:rPr>
      </w:pPr>
    </w:p>
    <w:p>
      <w:pPr>
        <w:pStyle w:val="Body A"/>
        <w:spacing w:line="240" w:lineRule="auto"/>
        <w:ind w:firstLine="0"/>
        <w:rPr>
          <w:sz w:val="22"/>
          <w:szCs w:val="22"/>
        </w:rPr>
      </w:pPr>
    </w:p>
    <w:p>
      <w:pPr>
        <w:pStyle w:val="Body A"/>
        <w:spacing w:line="240" w:lineRule="auto"/>
        <w:ind w:firstLine="0"/>
        <w:rPr>
          <w:sz w:val="22"/>
          <w:szCs w:val="22"/>
        </w:rPr>
      </w:pPr>
    </w:p>
    <w:p>
      <w:pPr>
        <w:pStyle w:val="Body A"/>
        <w:spacing w:line="240" w:lineRule="auto"/>
        <w:ind w:firstLine="0"/>
      </w:pPr>
      <w:r>
        <w:rPr>
          <w:sz w:val="22"/>
          <w:szCs w:val="22"/>
        </w:rPr>
      </w:r>
    </w:p>
    <w:sectPr>
      <w:headerReference w:type="default" r:id="rId4"/>
      <w:footerReference w:type="default" r:id="rId5"/>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Baskervill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right" w:pos="9000"/>
        <w:tab w:val="clear" w:pos="9020"/>
      </w:tabs>
    </w:pPr>
    <w:r>
      <w:rPr>
        <w:rtl w:val="0"/>
        <w:lang w:val="en-US"/>
      </w:rPr>
      <w:t>Geology for Beginners Report</w:t>
    </w:r>
    <w:r>
      <w:tab/>
    </w:r>
    <w:r>
      <w:rPr/>
      <w:fldChar w:fldCharType="begin" w:fldLock="0"/>
    </w:r>
    <w:r>
      <w:instrText xml:space="preserve"> PAGE </w:instrText>
    </w:r>
    <w:r>
      <w:rPr/>
      <w:fldChar w:fldCharType="separate" w:fldLock="0"/>
    </w:r>
    <w:r>
      <w:t>6</w:t>
    </w:r>
    <w:r>
      <w:rPr/>
      <w:fldChar w:fldCharType="end" w:fldLock="0"/>
    </w:r>
  </w:p>
</w:ftr>
</file>

<file path=word/footnotes.xml><?xml version="1.0" encoding="utf-8"?>
<w:footnotes xmlns:w="http://schemas.openxmlformats.org/wordprocessingml/2006/main" xmlns:r="http://schemas.openxmlformats.org/officeDocument/2006/relationships" xmlns:w14="http://schemas.microsoft.com/office/word/2010/wordml">
  <w:footnote w:type="separator" w:id="-1">
    <w:p>
      <w:r>
        <w:separator/>
      </w:r>
    </w:p>
  </w:footnote>
  <w:footnote w:type="continuationSeparator" w:id="0">
    <w:p>
      <w:r>
        <w:continuationSeparator/>
      </w:r>
    </w:p>
  </w:footnote>
  <w:footnote w:type="continuationNotice" w:id="-2">
    <w:p>
      <w:r>
        <w:t/>
      </w:r>
    </w:p>
  </w:footnote>
  <w:footnote w:id="1">
    <w:p>
      <w:pPr>
        <w:pStyle w:val="Footnote"/>
      </w:pPr>
      <w:r>
        <w:rPr>
          <w:sz w:val="22"/>
          <w:szCs w:val="22"/>
          <w:vertAlign w:val="superscript"/>
        </w:rPr>
        <w:footnoteRef/>
      </w:r>
      <w:r>
        <w:rPr>
          <w:rFonts w:cs="Arial Unicode MS" w:eastAsia="Arial Unicode MS"/>
          <w:rtl w:val="0"/>
          <w:lang w:val="en-US"/>
        </w:rPr>
        <w:t xml:space="preserve"> A. Levine, </w:t>
      </w:r>
      <w:r>
        <w:rPr>
          <w:rFonts w:cs="Arial Unicode MS" w:eastAsia="Arial Unicode MS" w:hint="default"/>
          <w:rtl w:val="0"/>
          <w:lang w:val="en-US"/>
        </w:rPr>
        <w:t>‘</w:t>
      </w:r>
      <w:r>
        <w:rPr>
          <w:rFonts w:cs="Arial Unicode MS" w:eastAsia="Arial Unicode MS" w:hint="default"/>
          <w:rtl w:val="0"/>
        </w:rPr>
        <w:t>“</w:t>
      </w:r>
      <w:r>
        <w:rPr>
          <w:rFonts w:cs="Arial Unicode MS" w:eastAsia="Arial Unicode MS"/>
          <w:rtl w:val="0"/>
          <w:lang w:val="en-US"/>
        </w:rPr>
        <w:t>To All the Gentiles</w:t>
      </w:r>
      <w:r>
        <w:rPr>
          <w:rFonts w:cs="Arial Unicode MS" w:eastAsia="Arial Unicode MS" w:hint="default"/>
          <w:rtl w:val="0"/>
        </w:rPr>
        <w:t>”</w:t>
      </w:r>
      <w:r>
        <w:rPr>
          <w:rFonts w:cs="Arial Unicode MS" w:eastAsia="Arial Unicode MS"/>
          <w:rtl w:val="0"/>
          <w:lang w:val="en-US"/>
        </w:rPr>
        <w:t>: A Jewish Perspective on the Great Commission</w:t>
      </w:r>
      <w:r>
        <w:rPr>
          <w:rFonts w:cs="Arial Unicode MS" w:eastAsia="Arial Unicode MS" w:hint="default"/>
          <w:rtl w:val="0"/>
        </w:rPr>
        <w:t>’</w:t>
      </w:r>
      <w:r>
        <w:rPr>
          <w:rFonts w:cs="Arial Unicode MS" w:eastAsia="Arial Unicode MS"/>
          <w:rtl w:val="0"/>
        </w:rPr>
        <w:t xml:space="preserve">, </w:t>
      </w:r>
      <w:r>
        <w:rPr>
          <w:rFonts w:cs="Arial Unicode MS" w:eastAsia="Arial Unicode MS"/>
          <w:i w:val="1"/>
          <w:iCs w:val="1"/>
          <w:rtl w:val="0"/>
          <w:lang w:val="en-US"/>
        </w:rPr>
        <w:t>Review and Expositor</w:t>
      </w:r>
      <w:r>
        <w:rPr>
          <w:rFonts w:cs="Arial Unicode MS" w:eastAsia="Arial Unicode MS"/>
          <w:rtl w:val="0"/>
        </w:rPr>
        <w:t>, 103 (2006), pp. 139-</w:t>
      </w:r>
      <w:r>
        <w:rPr>
          <w:rFonts w:cs="Arial Unicode MS" w:eastAsia="Arial Unicode MS"/>
          <w:rtl w:val="0"/>
          <w:lang w:val="en-US"/>
        </w:rPr>
        <w:t>41</w:t>
      </w:r>
      <w:r>
        <w:rPr>
          <w:rFonts w:cs="Arial Unicode MS" w:eastAsia="Arial Unicode MS"/>
          <w:rtl w:val="0"/>
        </w:rPr>
        <w:t>.</w:t>
      </w:r>
    </w:p>
  </w:footnote>
  <w:footnote w:id="2">
    <w:p>
      <w:pPr>
        <w:pStyle w:val="Footnote"/>
      </w:pPr>
      <w:r>
        <w:rPr>
          <w:i w:val="1"/>
          <w:iCs w:val="1"/>
          <w:sz w:val="22"/>
          <w:szCs w:val="22"/>
          <w:vertAlign w:val="superscript"/>
        </w:rPr>
        <w:footnoteRef/>
      </w:r>
      <w:r>
        <w:rPr>
          <w:rFonts w:cs="Arial Unicode MS" w:eastAsia="Arial Unicode MS"/>
          <w:rtl w:val="0"/>
          <w:lang w:val="en-US"/>
        </w:rPr>
        <w:t xml:space="preserve"> M. Fishbane, </w:t>
      </w:r>
      <w:r>
        <w:rPr>
          <w:rFonts w:cs="Arial Unicode MS" w:eastAsia="Arial Unicode MS" w:hint="default"/>
          <w:rtl w:val="0"/>
          <w:lang w:val="en-US"/>
        </w:rPr>
        <w:t>“</w:t>
      </w:r>
      <w:r>
        <w:rPr>
          <w:rFonts w:cs="Arial Unicode MS" w:eastAsia="Arial Unicode MS"/>
          <w:rtl w:val="0"/>
          <w:lang w:val="en-US"/>
        </w:rPr>
        <w:t>Modern Jewish Theology and Traditional Hermeneutics</w:t>
      </w:r>
      <w:r>
        <w:rPr>
          <w:rFonts w:cs="Arial Unicode MS" w:eastAsia="Arial Unicode MS" w:hint="default"/>
          <w:rtl w:val="0"/>
          <w:lang w:val="en-US"/>
        </w:rPr>
        <w:t>”</w:t>
      </w:r>
      <w:r>
        <w:rPr>
          <w:rFonts w:cs="Arial Unicode MS" w:eastAsia="Arial Unicode MS"/>
          <w:rtl w:val="0"/>
          <w:lang w:val="en-US"/>
        </w:rPr>
        <w:t xml:space="preserve">, in H. Tirosh-Samuelson and A.W. Hughes, (eds.), </w:t>
      </w:r>
      <w:r>
        <w:rPr>
          <w:rFonts w:cs="Arial Unicode MS" w:eastAsia="Arial Unicode MS"/>
          <w:i w:val="1"/>
          <w:iCs w:val="1"/>
          <w:rtl w:val="0"/>
          <w:lang w:val="en-US"/>
        </w:rPr>
        <w:t>Michael Fishbane: Jewish Hermeneutical Theology</w:t>
      </w:r>
      <w:r>
        <w:rPr>
          <w:rFonts w:cs="Arial Unicode MS" w:eastAsia="Arial Unicode MS"/>
          <w:rtl w:val="0"/>
          <w:lang w:val="en-US"/>
        </w:rPr>
        <w:t xml:space="preserve"> (Leiden: Brill, 2015), pp.66-70.</w:t>
      </w:r>
    </w:p>
  </w:footnote>
  <w:footnote w:id="3">
    <w:p>
      <w:pPr>
        <w:pStyle w:val="Footnote"/>
      </w:pPr>
      <w:r>
        <w:rPr>
          <w:sz w:val="22"/>
          <w:szCs w:val="22"/>
          <w:vertAlign w:val="superscript"/>
        </w:rPr>
        <w:footnoteRef/>
      </w:r>
      <w:r>
        <w:rPr>
          <w:rFonts w:cs="Arial Unicode MS" w:eastAsia="Arial Unicode MS"/>
          <w:rtl w:val="0"/>
          <w:lang w:val="en-US"/>
        </w:rPr>
        <w:t xml:space="preserve"> P.S. Alexander, </w:t>
      </w:r>
      <w:r>
        <w:rPr>
          <w:rFonts w:cs="Arial Unicode MS" w:eastAsia="Arial Unicode MS" w:hint="default"/>
          <w:rtl w:val="0"/>
          <w:lang w:val="en-US"/>
        </w:rPr>
        <w:t>“</w:t>
      </w:r>
      <w:r>
        <w:rPr>
          <w:rFonts w:cs="Arial Unicode MS" w:eastAsia="Arial Unicode MS"/>
          <w:rtl w:val="0"/>
          <w:lang w:val="en-US"/>
        </w:rPr>
        <w:t>Jewish Interpretation</w:t>
      </w:r>
      <w:r>
        <w:rPr>
          <w:rFonts w:cs="Arial Unicode MS" w:eastAsia="Arial Unicode MS" w:hint="default"/>
          <w:rtl w:val="0"/>
          <w:lang w:val="en-US"/>
        </w:rPr>
        <w:t>”</w:t>
      </w:r>
      <w:r>
        <w:rPr>
          <w:rFonts w:cs="Arial Unicode MS" w:eastAsia="Arial Unicode MS"/>
          <w:rtl w:val="0"/>
          <w:lang w:val="en-US"/>
        </w:rPr>
        <w:t xml:space="preserve">, in B.M Metzger and M.D Coogan (eds.), </w:t>
      </w:r>
      <w:r>
        <w:rPr>
          <w:rFonts w:cs="Arial Unicode MS" w:eastAsia="Arial Unicode MS"/>
          <w:i w:val="1"/>
          <w:iCs w:val="1"/>
          <w:rtl w:val="0"/>
          <w:lang w:val="en-US"/>
        </w:rPr>
        <w:t>The Oxford Companion to the Bible</w:t>
      </w:r>
      <w:r>
        <w:rPr>
          <w:rFonts w:cs="Arial Unicode MS" w:eastAsia="Arial Unicode MS"/>
          <w:rtl w:val="0"/>
          <w:lang w:val="en-US"/>
        </w:rPr>
        <w:t xml:space="preserve"> (Oxford: Oxford university Press, 1993), p. 305.</w:t>
      </w:r>
    </w:p>
  </w:footnote>
  <w:footnote w:id="4">
    <w:p>
      <w:pPr>
        <w:pStyle w:val="Footnote"/>
      </w:pPr>
      <w:r>
        <w:rPr>
          <w:sz w:val="22"/>
          <w:szCs w:val="22"/>
          <w:vertAlign w:val="superscript"/>
        </w:rPr>
        <w:footnoteRef/>
      </w:r>
      <w:r>
        <w:rPr>
          <w:rFonts w:cs="Arial Unicode MS" w:eastAsia="Arial Unicode MS"/>
          <w:rtl w:val="0"/>
          <w:lang w:val="en-US"/>
        </w:rPr>
        <w:t xml:space="preserve"> J. Magonet, </w:t>
      </w:r>
      <w:r>
        <w:rPr>
          <w:rFonts w:cs="Arial Unicode MS" w:eastAsia="Arial Unicode MS" w:hint="default"/>
          <w:rtl w:val="0"/>
          <w:lang w:val="en-US"/>
        </w:rPr>
        <w:t>“</w:t>
      </w:r>
      <w:r>
        <w:rPr>
          <w:rFonts w:cs="Arial Unicode MS" w:eastAsia="Arial Unicode MS"/>
          <w:rtl w:val="0"/>
          <w:lang w:val="en-US"/>
        </w:rPr>
        <w:t>Jewish Interpretation and the Bible</w:t>
      </w:r>
      <w:r>
        <w:rPr>
          <w:rFonts w:cs="Arial Unicode MS" w:eastAsia="Arial Unicode MS" w:hint="default"/>
          <w:rtl w:val="0"/>
          <w:lang w:val="en-US"/>
        </w:rPr>
        <w:t>”</w:t>
      </w:r>
      <w:r>
        <w:rPr>
          <w:rFonts w:cs="Arial Unicode MS" w:eastAsia="Arial Unicode MS"/>
          <w:rtl w:val="0"/>
          <w:lang w:val="en-US"/>
        </w:rPr>
        <w:t xml:space="preserve">, in J.W. Rogerson and J.M. Lieu (eds.), </w:t>
      </w:r>
      <w:r>
        <w:rPr>
          <w:rFonts w:cs="Arial Unicode MS" w:eastAsia="Arial Unicode MS"/>
          <w:i w:val="1"/>
          <w:iCs w:val="1"/>
          <w:rtl w:val="0"/>
          <w:lang w:val="en-US"/>
        </w:rPr>
        <w:t>The Oxford Handbook of Biblical Studies</w:t>
      </w:r>
      <w:r>
        <w:rPr>
          <w:rFonts w:cs="Arial Unicode MS" w:eastAsia="Arial Unicode MS"/>
          <w:rtl w:val="0"/>
          <w:lang w:val="en-US"/>
        </w:rPr>
        <w:t xml:space="preserve"> (Oxford: Oxford university Press, 2010), p. 760.</w:t>
      </w:r>
    </w:p>
  </w:footnote>
  <w:footnote w:id="5">
    <w:p>
      <w:pPr>
        <w:pStyle w:val="Footnote"/>
      </w:pPr>
      <w:r>
        <w:rPr>
          <w:sz w:val="22"/>
          <w:szCs w:val="22"/>
          <w:vertAlign w:val="superscript"/>
        </w:rPr>
        <w:footnoteRef/>
      </w:r>
      <w:r>
        <w:rPr>
          <w:rFonts w:cs="Arial Unicode MS" w:eastAsia="Arial Unicode MS"/>
          <w:rtl w:val="0"/>
        </w:rPr>
        <w:t xml:space="preserve"> </w:t>
      </w:r>
      <w:r>
        <w:rPr>
          <w:rFonts w:cs="Arial Unicode MS" w:eastAsia="Arial Unicode MS"/>
          <w:rtl w:val="0"/>
          <w:lang w:val="en-US"/>
        </w:rPr>
        <w:t xml:space="preserve">I am aware the midrash refers to </w:t>
      </w:r>
      <w:r>
        <w:rPr>
          <w:rFonts w:cs="Arial Unicode MS" w:eastAsia="Arial Unicode MS" w:hint="default"/>
          <w:rtl w:val="0"/>
          <w:lang w:val="en-US"/>
        </w:rPr>
        <w:t>“</w:t>
      </w:r>
      <w:r>
        <w:rPr>
          <w:rFonts w:cs="Arial Unicode MS" w:eastAsia="Arial Unicode MS"/>
          <w:rtl w:val="0"/>
          <w:lang w:val="en-US"/>
        </w:rPr>
        <w:t>Abraham</w:t>
      </w:r>
      <w:r>
        <w:rPr>
          <w:rFonts w:cs="Arial Unicode MS" w:eastAsia="Arial Unicode MS" w:hint="default"/>
          <w:rtl w:val="0"/>
          <w:lang w:val="en-US"/>
        </w:rPr>
        <w:t xml:space="preserve">” </w:t>
      </w:r>
      <w:r>
        <w:rPr>
          <w:rFonts w:cs="Arial Unicode MS" w:eastAsia="Arial Unicode MS"/>
          <w:rtl w:val="0"/>
          <w:lang w:val="en-US"/>
        </w:rPr>
        <w:t xml:space="preserve">rather than </w:t>
      </w:r>
      <w:r>
        <w:rPr>
          <w:rFonts w:cs="Arial Unicode MS" w:eastAsia="Arial Unicode MS" w:hint="default"/>
          <w:rtl w:val="0"/>
          <w:lang w:val="en-US"/>
        </w:rPr>
        <w:t>“</w:t>
      </w:r>
      <w:r>
        <w:rPr>
          <w:rFonts w:cs="Arial Unicode MS" w:eastAsia="Arial Unicode MS"/>
          <w:rtl w:val="0"/>
          <w:lang w:val="en-US"/>
        </w:rPr>
        <w:t>Abram</w:t>
      </w:r>
      <w:r>
        <w:rPr>
          <w:rFonts w:cs="Arial Unicode MS" w:eastAsia="Arial Unicode MS" w:hint="default"/>
          <w:rtl w:val="0"/>
          <w:lang w:val="en-US"/>
        </w:rPr>
        <w:t xml:space="preserve">” </w:t>
      </w:r>
      <w:r>
        <w:rPr>
          <w:rFonts w:cs="Arial Unicode MS" w:eastAsia="Arial Unicode MS"/>
          <w:rtl w:val="0"/>
          <w:lang w:val="en-US"/>
        </w:rPr>
        <w:t xml:space="preserve">throughout most of what follows, and for the purpose of this essay I shall also refer to </w:t>
      </w:r>
      <w:r>
        <w:rPr>
          <w:rFonts w:cs="Arial Unicode MS" w:eastAsia="Arial Unicode MS" w:hint="default"/>
          <w:rtl w:val="0"/>
          <w:lang w:val="en-US"/>
        </w:rPr>
        <w:t>“</w:t>
      </w:r>
      <w:r>
        <w:rPr>
          <w:rFonts w:cs="Arial Unicode MS" w:eastAsia="Arial Unicode MS"/>
          <w:rtl w:val="0"/>
          <w:lang w:val="en-US"/>
        </w:rPr>
        <w:t>Abraham</w:t>
      </w:r>
      <w:r>
        <w:rPr>
          <w:rFonts w:cs="Arial Unicode MS" w:eastAsia="Arial Unicode MS" w:hint="default"/>
          <w:rtl w:val="0"/>
          <w:lang w:val="en-US"/>
        </w:rPr>
        <w:t>”</w:t>
      </w:r>
      <w:r>
        <w:rPr>
          <w:rFonts w:cs="Arial Unicode MS" w:eastAsia="Arial Unicode MS"/>
          <w:rtl w:val="0"/>
          <w:lang w:val="en-US"/>
        </w:rPr>
        <w:t xml:space="preserve">, apart from when the Midrash refers to the change in name explicitly in </w:t>
      </w:r>
      <w:r>
        <w:rPr>
          <w:rFonts w:cs="Arial Unicode MS" w:eastAsia="Arial Unicode MS"/>
          <w:i w:val="1"/>
          <w:iCs w:val="1"/>
          <w:rtl w:val="0"/>
          <w:lang w:val="en-US"/>
        </w:rPr>
        <w:t xml:space="preserve">Genesis Rabbah </w:t>
      </w:r>
      <w:r>
        <w:rPr>
          <w:rFonts w:cs="Arial Unicode MS" w:eastAsia="Arial Unicode MS"/>
          <w:rtl w:val="0"/>
          <w:lang w:val="en-US"/>
        </w:rPr>
        <w:t>39:11.</w:t>
      </w:r>
    </w:p>
  </w:footnote>
  <w:footnote w:id="6">
    <w:p>
      <w:pPr>
        <w:pStyle w:val="Footnote"/>
      </w:pPr>
      <w:r>
        <w:rPr>
          <w:sz w:val="22"/>
          <w:szCs w:val="22"/>
          <w:vertAlign w:val="superscript"/>
        </w:rPr>
        <w:footnoteRef/>
      </w:r>
      <w:r>
        <w:rPr>
          <w:rFonts w:cs="Arial Unicode MS" w:eastAsia="Arial Unicode MS"/>
          <w:rtl w:val="0"/>
          <w:lang w:val="en-US"/>
        </w:rPr>
        <w:t xml:space="preserve"> J. Telushkin, </w:t>
      </w:r>
      <w:r>
        <w:rPr>
          <w:rFonts w:cs="Arial Unicode MS" w:eastAsia="Arial Unicode MS"/>
          <w:i w:val="1"/>
          <w:iCs w:val="1"/>
          <w:rtl w:val="0"/>
          <w:lang w:val="en-US"/>
        </w:rPr>
        <w:t xml:space="preserve">Biblical Literacy: The Most Important People, Events, and Ideas of the Hebrew Bible </w:t>
      </w:r>
      <w:r>
        <w:rPr>
          <w:rFonts w:cs="Arial Unicode MS" w:eastAsia="Arial Unicode MS"/>
          <w:rtl w:val="0"/>
          <w:lang w:val="en-US"/>
        </w:rPr>
        <w:t>(New York: Morrow, 1997), p. 22.</w:t>
      </w:r>
    </w:p>
  </w:footnote>
  <w:footnote w:id="7">
    <w:p>
      <w:pPr>
        <w:pStyle w:val="Footnote"/>
      </w:pPr>
      <w:r>
        <w:rPr>
          <w:sz w:val="22"/>
          <w:szCs w:val="22"/>
          <w:vertAlign w:val="superscript"/>
        </w:rPr>
        <w:footnoteRef/>
      </w:r>
      <w:r>
        <w:rPr>
          <w:rFonts w:cs="Arial Unicode MS" w:eastAsia="Arial Unicode MS"/>
          <w:rtl w:val="0"/>
        </w:rPr>
        <w:t xml:space="preserve"> </w:t>
      </w:r>
      <w:r>
        <w:rPr>
          <w:rFonts w:cs="Arial Unicode MS" w:eastAsia="Arial Unicode MS"/>
          <w:i w:val="1"/>
          <w:iCs w:val="1"/>
          <w:rtl w:val="0"/>
          <w:lang w:val="en-US"/>
        </w:rPr>
        <w:t xml:space="preserve">Genesis Rabbah </w:t>
      </w:r>
      <w:r>
        <w:rPr>
          <w:rFonts w:cs="Arial Unicode MS" w:eastAsia="Arial Unicode MS"/>
          <w:rtl w:val="0"/>
          <w:lang w:val="en-US"/>
        </w:rPr>
        <w:t xml:space="preserve">39:1. In H. Freedman and M. Simon (eds.), </w:t>
      </w:r>
      <w:r>
        <w:rPr>
          <w:rFonts w:cs="Arial Unicode MS" w:eastAsia="Arial Unicode MS"/>
          <w:i w:val="1"/>
          <w:iCs w:val="1"/>
          <w:rtl w:val="0"/>
          <w:lang w:val="en-US"/>
        </w:rPr>
        <w:t xml:space="preserve">Midrash Rabbah: Genesis </w:t>
      </w:r>
      <w:r>
        <w:rPr>
          <w:rFonts w:cs="Arial Unicode MS" w:eastAsia="Arial Unicode MS"/>
          <w:rtl w:val="0"/>
          <w:lang w:val="en-US"/>
        </w:rPr>
        <w:t>(London: Soncino Press, 1939).</w:t>
      </w:r>
    </w:p>
  </w:footnote>
  <w:footnote w:id="8">
    <w:p>
      <w:pPr>
        <w:pStyle w:val="Footnote"/>
      </w:pPr>
      <w:r>
        <w:rPr>
          <w:sz w:val="22"/>
          <w:szCs w:val="22"/>
          <w:vertAlign w:val="superscript"/>
        </w:rPr>
        <w:footnoteRef/>
      </w:r>
      <w:r>
        <w:rPr>
          <w:rFonts w:cs="Arial Unicode MS" w:eastAsia="Arial Unicode MS"/>
          <w:rtl w:val="0"/>
        </w:rPr>
        <w:t xml:space="preserve"> </w:t>
      </w:r>
      <w:r>
        <w:rPr>
          <w:rFonts w:cs="Arial Unicode MS" w:eastAsia="Arial Unicode MS"/>
          <w:i w:val="1"/>
          <w:iCs w:val="1"/>
          <w:rtl w:val="0"/>
          <w:lang w:val="en-US"/>
        </w:rPr>
        <w:t xml:space="preserve">Genesis Rabbah </w:t>
      </w:r>
      <w:r>
        <w:rPr>
          <w:rFonts w:cs="Arial Unicode MS" w:eastAsia="Arial Unicode MS"/>
          <w:rtl w:val="0"/>
          <w:lang w:val="en-US"/>
        </w:rPr>
        <w:t>39:2.</w:t>
      </w:r>
    </w:p>
  </w:footnote>
  <w:footnote w:id="9">
    <w:p>
      <w:pPr>
        <w:pStyle w:val="Footnote"/>
      </w:pPr>
      <w:r>
        <w:rPr>
          <w:sz w:val="22"/>
          <w:szCs w:val="22"/>
          <w:vertAlign w:val="superscript"/>
        </w:rPr>
        <w:footnoteRef/>
      </w:r>
      <w:r>
        <w:rPr>
          <w:rFonts w:cs="Arial Unicode MS" w:eastAsia="Arial Unicode MS"/>
          <w:rtl w:val="0"/>
        </w:rPr>
        <w:t xml:space="preserve"> </w:t>
      </w:r>
      <w:r>
        <w:rPr>
          <w:rFonts w:cs="Arial Unicode MS" w:eastAsia="Arial Unicode MS"/>
          <w:i w:val="1"/>
          <w:iCs w:val="1"/>
          <w:rtl w:val="0"/>
          <w:lang w:val="en-US"/>
        </w:rPr>
        <w:t xml:space="preserve">Genesis Rabbah </w:t>
      </w:r>
      <w:r>
        <w:rPr>
          <w:rFonts w:cs="Arial Unicode MS" w:eastAsia="Arial Unicode MS"/>
          <w:rtl w:val="0"/>
          <w:lang w:val="en-US"/>
        </w:rPr>
        <w:t>39:4.</w:t>
      </w:r>
    </w:p>
  </w:footnote>
  <w:footnote w:id="10">
    <w:p>
      <w:pPr>
        <w:pStyle w:val="Footnote"/>
      </w:pPr>
      <w:r>
        <w:rPr>
          <w:sz w:val="22"/>
          <w:szCs w:val="22"/>
          <w:vertAlign w:val="superscript"/>
        </w:rPr>
        <w:footnoteRef/>
      </w:r>
      <w:r>
        <w:rPr>
          <w:rFonts w:cs="Arial Unicode MS" w:eastAsia="Arial Unicode MS"/>
          <w:rtl w:val="0"/>
        </w:rPr>
        <w:t xml:space="preserve"> </w:t>
      </w:r>
      <w:r>
        <w:rPr>
          <w:rFonts w:cs="Arial Unicode MS" w:eastAsia="Arial Unicode MS"/>
          <w:i w:val="1"/>
          <w:iCs w:val="1"/>
          <w:rtl w:val="0"/>
          <w:lang w:val="en-US"/>
        </w:rPr>
        <w:t xml:space="preserve">Genesis Rabbah </w:t>
      </w:r>
      <w:r>
        <w:rPr>
          <w:rFonts w:cs="Arial Unicode MS" w:eastAsia="Arial Unicode MS"/>
          <w:rtl w:val="0"/>
          <w:lang w:val="en-US"/>
        </w:rPr>
        <w:t>39:6.</w:t>
      </w:r>
    </w:p>
  </w:footnote>
  <w:footnote w:id="11">
    <w:p>
      <w:pPr>
        <w:pStyle w:val="Footnote"/>
      </w:pPr>
      <w:r>
        <w:rPr>
          <w:sz w:val="22"/>
          <w:szCs w:val="22"/>
          <w:vertAlign w:val="superscript"/>
        </w:rPr>
        <w:footnoteRef/>
      </w:r>
      <w:r>
        <w:rPr>
          <w:rFonts w:cs="Arial Unicode MS" w:eastAsia="Arial Unicode MS"/>
          <w:rtl w:val="0"/>
        </w:rPr>
        <w:t xml:space="preserve"> </w:t>
      </w:r>
      <w:r>
        <w:rPr>
          <w:rFonts w:cs="Arial Unicode MS" w:eastAsia="Arial Unicode MS"/>
          <w:rtl w:val="0"/>
          <w:lang w:val="en-US"/>
        </w:rPr>
        <w:t xml:space="preserve">Fishbane, </w:t>
      </w:r>
      <w:r>
        <w:rPr>
          <w:rFonts w:cs="Arial Unicode MS" w:eastAsia="Arial Unicode MS" w:hint="default"/>
          <w:rtl w:val="0"/>
          <w:lang w:val="en-US"/>
        </w:rPr>
        <w:t>“</w:t>
      </w:r>
      <w:r>
        <w:rPr>
          <w:rFonts w:cs="Arial Unicode MS" w:eastAsia="Arial Unicode MS"/>
          <w:rtl w:val="0"/>
          <w:lang w:val="en-US"/>
        </w:rPr>
        <w:t>Modern Jewish Theology</w:t>
      </w:r>
      <w:r>
        <w:rPr>
          <w:rFonts w:cs="Arial Unicode MS" w:eastAsia="Arial Unicode MS" w:hint="default"/>
          <w:rtl w:val="0"/>
          <w:lang w:val="en-US"/>
        </w:rPr>
        <w:t>”</w:t>
      </w:r>
      <w:r>
        <w:rPr>
          <w:rFonts w:cs="Arial Unicode MS" w:eastAsia="Arial Unicode MS"/>
          <w:rtl w:val="0"/>
          <w:lang w:val="en-US"/>
        </w:rPr>
        <w:t>, p.68.</w:t>
      </w:r>
    </w:p>
  </w:footnote>
  <w:footnote w:id="12">
    <w:p>
      <w:pPr>
        <w:pStyle w:val="Footnote"/>
      </w:pPr>
      <w:r>
        <w:rPr>
          <w:sz w:val="22"/>
          <w:szCs w:val="22"/>
          <w:vertAlign w:val="superscript"/>
        </w:rPr>
        <w:footnoteRef/>
      </w:r>
      <w:r>
        <w:rPr>
          <w:rFonts w:cs="Arial Unicode MS" w:eastAsia="Arial Unicode MS"/>
          <w:rtl w:val="0"/>
        </w:rPr>
        <w:t xml:space="preserve"> </w:t>
      </w:r>
      <w:r>
        <w:rPr>
          <w:rFonts w:cs="Arial Unicode MS" w:eastAsia="Arial Unicode MS"/>
          <w:rtl w:val="0"/>
          <w:lang w:val="en-US"/>
        </w:rPr>
        <w:t xml:space="preserve">E. Fox, </w:t>
      </w:r>
      <w:r>
        <w:rPr>
          <w:rFonts w:cs="Arial Unicode MS" w:eastAsia="Arial Unicode MS"/>
          <w:i w:val="1"/>
          <w:iCs w:val="1"/>
          <w:rtl w:val="0"/>
          <w:lang w:val="en-US"/>
        </w:rPr>
        <w:t>The Five Books of Moses</w:t>
      </w:r>
      <w:r>
        <w:rPr>
          <w:rFonts w:cs="Arial Unicode MS" w:eastAsia="Arial Unicode MS"/>
          <w:rtl w:val="0"/>
          <w:lang w:val="en-US"/>
        </w:rPr>
        <w:t xml:space="preserve"> (New York: Schocken Books, 1997), p.55.</w:t>
      </w:r>
    </w:p>
  </w:footnote>
  <w:footnote w:id="13">
    <w:p>
      <w:pPr>
        <w:pStyle w:val="Footnote"/>
      </w:pPr>
      <w:r>
        <w:rPr>
          <w:sz w:val="22"/>
          <w:szCs w:val="22"/>
          <w:vertAlign w:val="superscript"/>
        </w:rPr>
        <w:footnoteRef/>
      </w:r>
      <w:r>
        <w:rPr>
          <w:rFonts w:cs="Arial Unicode MS" w:eastAsia="Arial Unicode MS"/>
          <w:rtl w:val="0"/>
        </w:rPr>
        <w:t xml:space="preserve"> </w:t>
      </w:r>
      <w:r>
        <w:rPr>
          <w:rFonts w:cs="Arial Unicode MS" w:eastAsia="Arial Unicode MS"/>
          <w:i w:val="1"/>
          <w:iCs w:val="1"/>
          <w:rtl w:val="0"/>
          <w:lang w:val="en-US"/>
        </w:rPr>
        <w:t xml:space="preserve">Genesis Rabbah </w:t>
      </w:r>
      <w:r>
        <w:rPr>
          <w:rFonts w:cs="Arial Unicode MS" w:eastAsia="Arial Unicode MS"/>
          <w:rtl w:val="0"/>
          <w:lang w:val="en-US"/>
        </w:rPr>
        <w:t>39:7.</w:t>
      </w:r>
    </w:p>
  </w:footnote>
  <w:footnote w:id="14">
    <w:p>
      <w:pPr>
        <w:pStyle w:val="Footnote"/>
      </w:pPr>
      <w:r>
        <w:rPr>
          <w:sz w:val="22"/>
          <w:szCs w:val="22"/>
          <w:vertAlign w:val="superscript"/>
        </w:rPr>
        <w:footnoteRef/>
      </w:r>
      <w:r>
        <w:rPr>
          <w:rFonts w:cs="Arial Unicode MS" w:eastAsia="Arial Unicode MS"/>
          <w:rtl w:val="0"/>
        </w:rPr>
        <w:t xml:space="preserve"> </w:t>
      </w:r>
      <w:r>
        <w:rPr>
          <w:rFonts w:cs="Arial Unicode MS" w:eastAsia="Arial Unicode MS"/>
          <w:i w:val="1"/>
          <w:iCs w:val="1"/>
          <w:rtl w:val="0"/>
          <w:lang w:val="en-US"/>
        </w:rPr>
        <w:t xml:space="preserve">Genesis Rabbah </w:t>
      </w:r>
      <w:r>
        <w:rPr>
          <w:rFonts w:cs="Arial Unicode MS" w:eastAsia="Arial Unicode MS"/>
          <w:rtl w:val="0"/>
          <w:lang w:val="en-US"/>
        </w:rPr>
        <w:t>39:9.</w:t>
      </w:r>
    </w:p>
  </w:footnote>
  <w:footnote w:id="15">
    <w:p>
      <w:pPr>
        <w:pStyle w:val="Footnote"/>
      </w:pPr>
      <w:r>
        <w:rPr>
          <w:sz w:val="22"/>
          <w:szCs w:val="22"/>
          <w:vertAlign w:val="superscript"/>
        </w:rPr>
        <w:footnoteRef/>
      </w:r>
      <w:r>
        <w:rPr>
          <w:rFonts w:cs="Arial Unicode MS" w:eastAsia="Arial Unicode MS"/>
          <w:rtl w:val="0"/>
        </w:rPr>
        <w:t xml:space="preserve"> </w:t>
      </w:r>
      <w:r>
        <w:rPr>
          <w:rFonts w:cs="Arial Unicode MS" w:eastAsia="Arial Unicode MS"/>
          <w:rtl w:val="0"/>
          <w:lang w:val="en-US"/>
        </w:rPr>
        <w:t xml:space="preserve">R. Alter, </w:t>
      </w:r>
      <w:r>
        <w:rPr>
          <w:rFonts w:cs="Arial Unicode MS" w:eastAsia="Arial Unicode MS"/>
          <w:i w:val="1"/>
          <w:iCs w:val="1"/>
          <w:rtl w:val="0"/>
          <w:lang w:val="en-US"/>
        </w:rPr>
        <w:t>Genesis</w:t>
      </w:r>
      <w:r>
        <w:rPr>
          <w:rFonts w:cs="Arial Unicode MS" w:eastAsia="Arial Unicode MS"/>
          <w:rtl w:val="0"/>
          <w:lang w:val="en-US"/>
        </w:rPr>
        <w:t xml:space="preserve"> (New York: W.W. Norton and Co, 1996), p.50.</w:t>
      </w:r>
    </w:p>
  </w:footnote>
  <w:footnote w:id="16">
    <w:p>
      <w:pPr>
        <w:pStyle w:val="Footnote"/>
      </w:pPr>
      <w:r>
        <w:rPr>
          <w:sz w:val="22"/>
          <w:szCs w:val="22"/>
          <w:vertAlign w:val="superscript"/>
        </w:rPr>
        <w:footnoteRef/>
      </w:r>
      <w:r>
        <w:rPr>
          <w:rFonts w:cs="Arial Unicode MS" w:eastAsia="Arial Unicode MS"/>
          <w:rtl w:val="0"/>
        </w:rPr>
        <w:t xml:space="preserve"> </w:t>
      </w:r>
      <w:r>
        <w:rPr>
          <w:rFonts w:cs="Arial Unicode MS" w:eastAsia="Arial Unicode MS"/>
          <w:i w:val="1"/>
          <w:iCs w:val="1"/>
          <w:rtl w:val="0"/>
          <w:lang w:val="en-US"/>
        </w:rPr>
        <w:t xml:space="preserve">Genesis Rabbah </w:t>
      </w:r>
      <w:r>
        <w:rPr>
          <w:rFonts w:cs="Arial Unicode MS" w:eastAsia="Arial Unicode MS"/>
          <w:rtl w:val="0"/>
          <w:lang w:val="en-US"/>
        </w:rPr>
        <w:t>39:9.</w:t>
      </w:r>
    </w:p>
  </w:footnote>
  <w:footnote w:id="17">
    <w:p>
      <w:pPr>
        <w:pStyle w:val="Footnote"/>
      </w:pPr>
      <w:r>
        <w:rPr>
          <w:sz w:val="22"/>
          <w:szCs w:val="22"/>
          <w:vertAlign w:val="superscript"/>
        </w:rPr>
        <w:footnoteRef/>
      </w:r>
      <w:r>
        <w:rPr>
          <w:rFonts w:cs="Arial Unicode MS" w:eastAsia="Arial Unicode MS"/>
          <w:rtl w:val="0"/>
        </w:rPr>
        <w:t xml:space="preserve"> </w:t>
      </w:r>
      <w:r>
        <w:rPr>
          <w:rFonts w:cs="Arial Unicode MS" w:eastAsia="Arial Unicode MS"/>
          <w:i w:val="1"/>
          <w:iCs w:val="1"/>
          <w:rtl w:val="0"/>
          <w:lang w:val="en-US"/>
        </w:rPr>
        <w:t xml:space="preserve">Genesis Rabbah </w:t>
      </w:r>
      <w:r>
        <w:rPr>
          <w:rFonts w:cs="Arial Unicode MS" w:eastAsia="Arial Unicode MS"/>
          <w:rtl w:val="0"/>
          <w:lang w:val="en-US"/>
        </w:rPr>
        <w:t>39:11.</w:t>
      </w:r>
    </w:p>
  </w:footnote>
  <w:footnote w:id="18">
    <w:p>
      <w:pPr>
        <w:pStyle w:val="Footnote"/>
      </w:pPr>
      <w:r>
        <w:rPr>
          <w:sz w:val="22"/>
          <w:szCs w:val="22"/>
          <w:vertAlign w:val="superscript"/>
        </w:rPr>
        <w:footnoteRef/>
      </w:r>
      <w:r>
        <w:rPr>
          <w:rFonts w:cs="Arial Unicode MS" w:eastAsia="Arial Unicode MS"/>
          <w:rtl w:val="0"/>
        </w:rPr>
        <w:t xml:space="preserve"> </w:t>
      </w:r>
      <w:r>
        <w:rPr>
          <w:rFonts w:cs="Arial Unicode MS" w:eastAsia="Arial Unicode MS"/>
          <w:i w:val="1"/>
          <w:iCs w:val="1"/>
          <w:rtl w:val="0"/>
          <w:lang w:val="en-US"/>
        </w:rPr>
        <w:t xml:space="preserve">Genesis Rabbah </w:t>
      </w:r>
      <w:r>
        <w:rPr>
          <w:rFonts w:cs="Arial Unicode MS" w:eastAsia="Arial Unicode MS"/>
          <w:rtl w:val="0"/>
          <w:lang w:val="en-US"/>
        </w:rPr>
        <w:t>12:10.</w:t>
      </w:r>
    </w:p>
  </w:footnote>
  <w:footnote w:id="19">
    <w:p>
      <w:pPr>
        <w:pStyle w:val="Footnote"/>
      </w:pPr>
      <w:r>
        <w:rPr>
          <w:sz w:val="22"/>
          <w:szCs w:val="22"/>
          <w:vertAlign w:val="superscript"/>
        </w:rPr>
        <w:footnoteRef/>
      </w:r>
      <w:r>
        <w:rPr>
          <w:rFonts w:cs="Arial Unicode MS" w:eastAsia="Arial Unicode MS"/>
          <w:rtl w:val="0"/>
          <w:lang w:val="en-US"/>
        </w:rPr>
        <w:t xml:space="preserve"> M. Fishbane., </w:t>
      </w:r>
      <w:r>
        <w:rPr>
          <w:rFonts w:cs="Arial Unicode MS" w:eastAsia="Arial Unicode MS" w:hint="default"/>
          <w:rtl w:val="0"/>
          <w:lang w:val="en-US"/>
        </w:rPr>
        <w:t>“</w:t>
      </w:r>
      <w:r>
        <w:rPr>
          <w:rFonts w:cs="Arial Unicode MS" w:eastAsia="Arial Unicode MS"/>
          <w:rtl w:val="0"/>
          <w:lang w:val="en-US"/>
        </w:rPr>
        <w:t>Midrash and the Nature of Scripture</w:t>
      </w:r>
      <w:r>
        <w:rPr>
          <w:rFonts w:cs="Arial Unicode MS" w:eastAsia="Arial Unicode MS" w:hint="default"/>
          <w:rtl w:val="0"/>
          <w:lang w:val="en-US"/>
        </w:rPr>
        <w:t>”</w:t>
      </w:r>
      <w:r>
        <w:rPr>
          <w:rFonts w:cs="Arial Unicode MS" w:eastAsia="Arial Unicode MS"/>
          <w:rtl w:val="0"/>
          <w:lang w:val="en-US"/>
        </w:rPr>
        <w:t xml:space="preserve">, in Tirosh-Samuelson, H. and Hughes, A.W. (eds.), </w:t>
      </w:r>
      <w:r>
        <w:rPr>
          <w:rFonts w:cs="Arial Unicode MS" w:eastAsia="Arial Unicode MS"/>
          <w:i w:val="1"/>
          <w:iCs w:val="1"/>
          <w:rtl w:val="0"/>
          <w:lang w:val="en-US"/>
        </w:rPr>
        <w:t>Michael Fishbane: Jewish Hermeneutical Theology</w:t>
      </w:r>
      <w:r>
        <w:rPr>
          <w:rFonts w:cs="Arial Unicode MS" w:eastAsia="Arial Unicode MS"/>
          <w:rtl w:val="0"/>
          <w:lang w:val="en-US"/>
        </w:rPr>
        <w:t xml:space="preserve"> (Leiden: Brill, 2015), pp.86-87.</w:t>
      </w:r>
    </w:p>
  </w:footnote>
  <w:footnote w:id="20">
    <w:p>
      <w:pPr>
        <w:pStyle w:val="Footnote"/>
      </w:pPr>
      <w:r>
        <w:rPr>
          <w:sz w:val="22"/>
          <w:szCs w:val="22"/>
          <w:vertAlign w:val="superscript"/>
        </w:rPr>
        <w:footnoteRef/>
      </w:r>
      <w:r>
        <w:rPr>
          <w:rFonts w:cs="Arial Unicode MS" w:eastAsia="Arial Unicode MS"/>
          <w:rtl w:val="0"/>
        </w:rPr>
        <w:t xml:space="preserve"> </w:t>
      </w:r>
      <w:r>
        <w:rPr>
          <w:rFonts w:cs="Arial Unicode MS" w:eastAsia="Arial Unicode MS"/>
          <w:i w:val="1"/>
          <w:iCs w:val="1"/>
          <w:rtl w:val="0"/>
          <w:lang w:val="en-US"/>
        </w:rPr>
        <w:t xml:space="preserve">Genesis Rabbah </w:t>
      </w:r>
      <w:r>
        <w:rPr>
          <w:rFonts w:cs="Arial Unicode MS" w:eastAsia="Arial Unicode MS"/>
          <w:rtl w:val="0"/>
          <w:lang w:val="en-US"/>
        </w:rPr>
        <w:t>39:11.</w:t>
      </w:r>
    </w:p>
  </w:footnote>
  <w:footnote w:id="21">
    <w:p>
      <w:pPr>
        <w:pStyle w:val="Footnote"/>
      </w:pPr>
      <w:r>
        <w:rPr>
          <w:sz w:val="22"/>
          <w:szCs w:val="22"/>
          <w:vertAlign w:val="superscript"/>
        </w:rPr>
        <w:footnoteRef/>
      </w:r>
      <w:r>
        <w:rPr>
          <w:rFonts w:cs="Arial Unicode MS" w:eastAsia="Arial Unicode MS"/>
          <w:rtl w:val="0"/>
        </w:rPr>
        <w:t xml:space="preserve"> </w:t>
      </w:r>
      <w:r>
        <w:rPr>
          <w:rFonts w:cs="Arial Unicode MS" w:eastAsia="Arial Unicode MS"/>
          <w:i w:val="1"/>
          <w:iCs w:val="1"/>
          <w:rtl w:val="0"/>
          <w:lang w:val="en-US"/>
        </w:rPr>
        <w:t xml:space="preserve">Genesis Rabbah </w:t>
      </w:r>
      <w:r>
        <w:rPr>
          <w:rFonts w:cs="Arial Unicode MS" w:eastAsia="Arial Unicode MS"/>
          <w:rtl w:val="0"/>
          <w:lang w:val="en-US"/>
        </w:rPr>
        <w:t>39:12.</w:t>
      </w:r>
    </w:p>
  </w:footnote>
  <w:footnote w:id="22">
    <w:p>
      <w:pPr>
        <w:pStyle w:val="Footnote"/>
      </w:pPr>
      <w:r>
        <w:rPr>
          <w:sz w:val="22"/>
          <w:szCs w:val="22"/>
          <w:vertAlign w:val="superscript"/>
        </w:rPr>
        <w:footnoteRef/>
      </w:r>
      <w:r>
        <w:rPr>
          <w:rFonts w:cs="Arial Unicode MS" w:eastAsia="Arial Unicode MS"/>
          <w:rtl w:val="0"/>
        </w:rPr>
        <w:t xml:space="preserve"> </w:t>
      </w:r>
      <w:r>
        <w:rPr>
          <w:rFonts w:cs="Arial Unicode MS" w:eastAsia="Arial Unicode MS"/>
          <w:i w:val="1"/>
          <w:iCs w:val="1"/>
          <w:rtl w:val="0"/>
          <w:lang w:val="en-US"/>
        </w:rPr>
        <w:t xml:space="preserve">Genesis Rabbah </w:t>
      </w:r>
      <w:r>
        <w:rPr>
          <w:rFonts w:cs="Arial Unicode MS" w:eastAsia="Arial Unicode MS"/>
          <w:rtl w:val="0"/>
          <w:lang w:val="en-US"/>
        </w:rPr>
        <w:t>39:12.</w:t>
      </w:r>
    </w:p>
  </w:footnote>
  <w:footnote w:id="23">
    <w:p>
      <w:pPr>
        <w:pStyle w:val="Footnote"/>
      </w:pPr>
      <w:r>
        <w:rPr>
          <w:sz w:val="22"/>
          <w:szCs w:val="22"/>
          <w:vertAlign w:val="superscript"/>
        </w:rPr>
        <w:footnoteRef/>
      </w:r>
      <w:r>
        <w:rPr>
          <w:rFonts w:cs="Arial Unicode MS" w:eastAsia="Arial Unicode MS"/>
          <w:rtl w:val="0"/>
          <w:lang w:val="en-US"/>
        </w:rPr>
        <w:t xml:space="preserve"> M. Fishbane, </w:t>
      </w:r>
      <w:r>
        <w:rPr>
          <w:rFonts w:cs="Arial Unicode MS" w:eastAsia="Arial Unicode MS"/>
          <w:i w:val="1"/>
          <w:iCs w:val="1"/>
          <w:rtl w:val="0"/>
          <w:lang w:val="en-US"/>
        </w:rPr>
        <w:t>The Exegetical Imagination: On Jewish Thought and Theology</w:t>
      </w:r>
      <w:r>
        <w:rPr>
          <w:rFonts w:cs="Arial Unicode MS" w:eastAsia="Arial Unicode MS"/>
          <w:rtl w:val="0"/>
          <w:lang w:val="en-US"/>
        </w:rPr>
        <w:t xml:space="preserve"> (London: Harvard University Press, 1998), p.4.</w:t>
      </w:r>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1"/>
  <w:evenAndOddHeaders w:val="0"/>
  <w:bookFoldPrinting w:val="0"/>
  <w:noLineBreaksAfter w:lang="English" w:val="‘“(〔[{〈《「『【⦅〘〖«〝︵︷︹︻︽︿﹁﹃﹇﹙﹛﹝｢"/>
  <w:noLineBreaksBefore w:lang="English" w:val="’”)〕]}〉"/>
  <w:footnotePr>
    <w:numFmt w:val="decimal"/>
    <w:numStart w:val="1"/>
    <w:numRestart w:val="continuous"/>
    <w:footnote w:id="-1"/>
    <w:footnote w:id="0"/>
    <w:footnote w:id="-2"/>
  </w:footnotePr>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1"/>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Baskerville" w:cs="Arial Unicode MS" w:hAnsi="Baskerville" w:eastAsia="Arial Unicode MS"/>
      <w:b w:val="0"/>
      <w:bCs w:val="0"/>
      <w:i w:val="0"/>
      <w:iCs w:val="0"/>
      <w:caps w:val="1"/>
      <w:strike w:val="0"/>
      <w:dstrike w:val="0"/>
      <w:outline w:val="0"/>
      <w:color w:val="000000"/>
      <w:spacing w:val="0"/>
      <w:kern w:val="0"/>
      <w:position w:val="0"/>
      <w:sz w:val="20"/>
      <w:szCs w:val="20"/>
      <w:u w:val="none" w:color="000000"/>
      <w:vertAlign w:val="baseline"/>
    </w:rPr>
  </w:style>
  <w:style w:type="paragraph" w:styleId="Attribution">
    <w:name w:val="Attribution"/>
    <w:next w:val="Body 2"/>
    <w:pPr>
      <w:keepNext w:val="0"/>
      <w:keepLines w:val="0"/>
      <w:pageBreakBefore w:val="0"/>
      <w:widowControl w:val="1"/>
      <w:shd w:val="clear" w:color="auto" w:fill="auto"/>
      <w:suppressAutoHyphens w:val="0"/>
      <w:bidi w:val="0"/>
      <w:spacing w:before="0" w:after="0" w:line="312" w:lineRule="auto"/>
      <w:ind w:left="0" w:right="0" w:firstLine="0"/>
      <w:jc w:val="left"/>
      <w:outlineLvl w:val="0"/>
    </w:pPr>
    <w:rPr>
      <w:rFonts w:ascii="Baskerville" w:cs="Arial Unicode MS" w:hAnsi="Baskerville" w:eastAsia="Arial Unicode MS"/>
      <w:b w:val="0"/>
      <w:bCs w:val="0"/>
      <w:i w:val="0"/>
      <w:iCs w:val="0"/>
      <w:caps w:val="0"/>
      <w:smallCaps w:val="0"/>
      <w:strike w:val="0"/>
      <w:dstrike w:val="0"/>
      <w:outline w:val="0"/>
      <w:color w:val="000000"/>
      <w:spacing w:val="0"/>
      <w:kern w:val="0"/>
      <w:position w:val="0"/>
      <w:sz w:val="26"/>
      <w:szCs w:val="26"/>
      <w:u w:val="none" w:color="000000"/>
      <w:vertAlign w:val="baseline"/>
      <w:lang w:val="en-US"/>
    </w:rPr>
  </w:style>
  <w:style w:type="paragraph" w:styleId="Body 2">
    <w:name w:val="Body 2"/>
    <w:next w:val="Body 2"/>
    <w:pPr>
      <w:keepNext w:val="0"/>
      <w:keepLines w:val="0"/>
      <w:pageBreakBefore w:val="0"/>
      <w:widowControl w:val="1"/>
      <w:shd w:val="clear" w:color="auto" w:fill="auto"/>
      <w:suppressAutoHyphens w:val="0"/>
      <w:bidi w:val="0"/>
      <w:spacing w:before="0" w:after="80" w:line="288" w:lineRule="auto"/>
      <w:ind w:left="0" w:right="0" w:firstLine="0"/>
      <w:jc w:val="left"/>
      <w:outlineLvl w:val="9"/>
    </w:pPr>
    <w:rPr>
      <w:rFonts w:ascii="Baskerville" w:cs="Arial Unicode MS" w:hAnsi="Baskerville" w:eastAsia="Arial Unicode MS"/>
      <w:b w:val="0"/>
      <w:bCs w:val="0"/>
      <w:i w:val="0"/>
      <w:iCs w:val="0"/>
      <w:caps w:val="0"/>
      <w:smallCaps w:val="0"/>
      <w:strike w:val="0"/>
      <w:dstrike w:val="0"/>
      <w:outline w:val="0"/>
      <w:color w:val="434343"/>
      <w:spacing w:val="0"/>
      <w:kern w:val="0"/>
      <w:position w:val="0"/>
      <w:sz w:val="24"/>
      <w:szCs w:val="24"/>
      <w:u w:val="none" w:color="434343"/>
      <w:vertAlign w:val="baseline"/>
      <w:lang w:val="en-US"/>
    </w:rPr>
  </w:style>
  <w:style w:type="paragraph" w:styleId="Subheading">
    <w:name w:val="Subheading"/>
    <w:next w:val="Body 2"/>
    <w:pPr>
      <w:keepNext w:val="0"/>
      <w:keepLines w:val="0"/>
      <w:pageBreakBefore w:val="0"/>
      <w:widowControl w:val="1"/>
      <w:shd w:val="clear" w:color="auto" w:fill="auto"/>
      <w:suppressAutoHyphens w:val="0"/>
      <w:bidi w:val="0"/>
      <w:spacing w:before="0" w:after="160" w:line="240" w:lineRule="auto"/>
      <w:ind w:left="0" w:right="0" w:firstLine="0"/>
      <w:jc w:val="center"/>
      <w:outlineLvl w:val="0"/>
    </w:pPr>
    <w:rPr>
      <w:rFonts w:ascii="Baskerville" w:cs="Arial Unicode MS" w:hAnsi="Baskerville" w:eastAsia="Arial Unicode MS"/>
      <w:b w:val="0"/>
      <w:bCs w:val="0"/>
      <w:i w:val="0"/>
      <w:iCs w:val="0"/>
      <w:caps w:val="0"/>
      <w:smallCaps w:val="0"/>
      <w:strike w:val="0"/>
      <w:dstrike w:val="0"/>
      <w:outline w:val="0"/>
      <w:color w:val="5b422a"/>
      <w:spacing w:val="0"/>
      <w:kern w:val="0"/>
      <w:position w:val="0"/>
      <w:sz w:val="36"/>
      <w:szCs w:val="36"/>
      <w:u w:val="none" w:color="5b422a"/>
      <w:vertAlign w:val="baseline"/>
      <w:lang w:val="en-US"/>
    </w:rPr>
  </w:style>
  <w:style w:type="paragraph" w:styleId="Body A">
    <w:name w:val="Body A"/>
    <w:next w:val="Body A"/>
    <w:pPr>
      <w:keepNext w:val="0"/>
      <w:keepLines w:val="0"/>
      <w:pageBreakBefore w:val="0"/>
      <w:widowControl w:val="1"/>
      <w:shd w:val="clear" w:color="auto" w:fill="auto"/>
      <w:suppressAutoHyphens w:val="0"/>
      <w:bidi w:val="0"/>
      <w:spacing w:before="0" w:after="0" w:line="360" w:lineRule="auto"/>
      <w:ind w:left="0" w:right="0" w:firstLine="540"/>
      <w:jc w:val="left"/>
      <w:outlineLvl w:val="9"/>
    </w:pPr>
    <w:rPr>
      <w:rFonts w:ascii="Baskerville" w:cs="Baskerville" w:hAnsi="Baskerville" w:eastAsia="Baskerville"/>
      <w:b w:val="0"/>
      <w:bCs w:val="0"/>
      <w:i w:val="0"/>
      <w:iCs w:val="0"/>
      <w:caps w:val="0"/>
      <w:smallCaps w:val="0"/>
      <w:strike w:val="0"/>
      <w:dstrike w:val="0"/>
      <w:outline w:val="0"/>
      <w:color w:val="000000"/>
      <w:spacing w:val="0"/>
      <w:kern w:val="0"/>
      <w:position w:val="0"/>
      <w:sz w:val="24"/>
      <w:szCs w:val="24"/>
      <w:u w:val="none" w:color="000000"/>
      <w:vertAlign w:val="baseline"/>
    </w:rPr>
  </w:style>
  <w:style w:type="paragraph" w:styleId="Footnote">
    <w:name w:val="Footnote"/>
    <w:next w:val="Footnote"/>
    <w:pPr>
      <w:keepNext w:val="0"/>
      <w:keepLines w:val="0"/>
      <w:pageBreakBefore w:val="0"/>
      <w:widowControl w:val="1"/>
      <w:shd w:val="clear" w:color="auto" w:fill="auto"/>
      <w:suppressAutoHyphens w:val="0"/>
      <w:bidi w:val="0"/>
      <w:spacing w:before="0" w:after="200" w:line="240" w:lineRule="auto"/>
      <w:ind w:left="0" w:right="0" w:firstLine="0"/>
      <w:jc w:val="left"/>
      <w:outlineLvl w:val="9"/>
    </w:pPr>
    <w:rPr>
      <w:rFonts w:ascii="Baskerville" w:cs="Baskerville" w:hAnsi="Baskerville" w:eastAsia="Baskerville"/>
      <w:b w:val="0"/>
      <w:bCs w:val="0"/>
      <w:i w:val="0"/>
      <w:iCs w:val="0"/>
      <w:caps w:val="0"/>
      <w:smallCaps w:val="0"/>
      <w:strike w:val="0"/>
      <w:dstrike w:val="0"/>
      <w:outline w:val="0"/>
      <w:color w:val="434343"/>
      <w:spacing w:val="0"/>
      <w:kern w:val="0"/>
      <w:position w:val="0"/>
      <w:sz w:val="20"/>
      <w:szCs w:val="20"/>
      <w:u w:val="none" w:color="434343"/>
      <w:vertAlign w:val="baseline"/>
    </w:rPr>
  </w:style>
  <w:style w:type="paragraph" w:styleId="Default">
    <w:name w:val="Default"/>
    <w:next w:val="Default"/>
    <w:pPr>
      <w:keepNext w:val="0"/>
      <w:keepLines w:val="0"/>
      <w:pageBreakBefore w:val="0"/>
      <w:widowControl w:val="1"/>
      <w:shd w:val="clear" w:color="auto" w:fill="auto"/>
      <w:suppressAutoHyphens w:val="0"/>
      <w:bidi w:val="0"/>
      <w:spacing w:before="0" w:after="80" w:line="288" w:lineRule="auto"/>
      <w:ind w:left="0" w:right="0" w:firstLine="0"/>
      <w:jc w:val="left"/>
      <w:outlineLvl w:val="9"/>
    </w:pPr>
    <w:rPr>
      <w:rFonts w:ascii="Baskerville" w:cs="Arial Unicode MS" w:hAnsi="Baskerville" w:eastAsia="Arial Unicode MS"/>
      <w:b w:val="0"/>
      <w:bCs w:val="0"/>
      <w:i w:val="0"/>
      <w:iCs w:val="0"/>
      <w:caps w:val="0"/>
      <w:smallCaps w:val="0"/>
      <w:strike w:val="0"/>
      <w:dstrike w:val="0"/>
      <w:outline w:val="0"/>
      <w:color w:val="434343"/>
      <w:spacing w:val="0"/>
      <w:kern w:val="0"/>
      <w:position w:val="0"/>
      <w:sz w:val="24"/>
      <w:szCs w:val="24"/>
      <w:u w:val="none" w:color="434343"/>
      <w:vertAlign w:val="baseline"/>
      <w:lang w:val="en-US"/>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otnotes" Target="footnotes.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04_Essay">
  <a:themeElements>
    <a:clrScheme name="04_Essay">
      <a:dk1>
        <a:srgbClr val="000000"/>
      </a:dk1>
      <a:lt1>
        <a:srgbClr val="FFFFFF"/>
      </a:lt1>
      <a:dk2>
        <a:srgbClr val="A7A7A7"/>
      </a:dk2>
      <a:lt2>
        <a:srgbClr val="535353"/>
      </a:lt2>
      <a:accent1>
        <a:srgbClr val="A6BACF"/>
      </a:accent1>
      <a:accent2>
        <a:srgbClr val="98A68D"/>
      </a:accent2>
      <a:accent3>
        <a:srgbClr val="E2C07E"/>
      </a:accent3>
      <a:accent4>
        <a:srgbClr val="EA8B60"/>
      </a:accent4>
      <a:accent5>
        <a:srgbClr val="B93E40"/>
      </a:accent5>
      <a:accent6>
        <a:srgbClr val="807898"/>
      </a:accent6>
      <a:hlink>
        <a:srgbClr val="0000FF"/>
      </a:hlink>
      <a:folHlink>
        <a:srgbClr val="FF00FF"/>
      </a:folHlink>
    </a:clrScheme>
    <a:fontScheme name="04_Essay">
      <a:majorFont>
        <a:latin typeface="Helvetica Neue"/>
        <a:ea typeface="Helvetica Neue"/>
        <a:cs typeface="Helvetica Neue"/>
      </a:majorFont>
      <a:minorFont>
        <a:latin typeface="Helvetica Neue"/>
        <a:ea typeface="Helvetica Neue"/>
        <a:cs typeface="Helvetica Neue"/>
      </a:minorFont>
    </a:fontScheme>
    <a:fmtScheme name="04_Essay">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50800" tIns="50800" rIns="50800" bIns="508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Baskerville SemiBold"/>
            <a:ea typeface="Baskerville SemiBold"/>
            <a:cs typeface="Baskerville SemiBold"/>
            <a:sym typeface="Baskerville SemiBold"/>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Baskerville SemiBold"/>
            <a:ea typeface="Baskerville SemiBold"/>
            <a:cs typeface="Baskerville SemiBold"/>
            <a:sym typeface="Baskerville SemiBold"/>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