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0E7D"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bookmarkStart w:id="0" w:name="_GoBack"/>
      <w:bookmarkEnd w:id="0"/>
      <w:r>
        <w:rPr>
          <w:rFonts w:ascii="Arial" w:eastAsia="Times New Roman" w:hAnsi="Arial" w:cs="Arial"/>
          <w:b/>
          <w:lang w:val="en-GB" w:eastAsia="en-GB"/>
        </w:rPr>
        <w:t>MODULE CODE:</w:t>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TITLE:</w:t>
      </w:r>
      <w:r w:rsidRPr="00A7779A">
        <w:rPr>
          <w:rFonts w:ascii="Arial" w:eastAsia="Times New Roman" w:hAnsi="Arial" w:cs="Arial"/>
          <w:b/>
          <w:lang w:val="en-GB" w:eastAsia="en-GB"/>
        </w:rPr>
        <w:tab/>
      </w:r>
      <w:r w:rsidRPr="00A7779A">
        <w:rPr>
          <w:rFonts w:ascii="Arial" w:eastAsia="Times New Roman" w:hAnsi="Arial" w:cs="Arial"/>
          <w:b/>
          <w:lang w:val="en-GB" w:eastAsia="en-GB"/>
        </w:rPr>
        <w:tab/>
      </w:r>
      <w:r>
        <w:rPr>
          <w:rFonts w:ascii="Arial" w:eastAsia="Times New Roman" w:hAnsi="Arial" w:cs="Arial"/>
          <w:b/>
          <w:lang w:val="en-GB" w:eastAsia="en-GB"/>
        </w:rPr>
        <w:tab/>
      </w:r>
      <w:r w:rsidRPr="00A7779A">
        <w:rPr>
          <w:rFonts w:ascii="Arial" w:eastAsia="Times New Roman" w:hAnsi="Arial" w:cs="Arial"/>
          <w:b/>
          <w:lang w:val="en-GB" w:eastAsia="en-GB"/>
        </w:rPr>
        <w:t>Equity and Trusts</w:t>
      </w:r>
      <w:r w:rsidRPr="00A7779A">
        <w:rPr>
          <w:rFonts w:ascii="Arial" w:eastAsia="Times New Roman" w:hAnsi="Arial" w:cs="Arial"/>
          <w:b/>
          <w:lang w:val="en-GB" w:eastAsia="en-GB"/>
        </w:rPr>
        <w:tab/>
      </w:r>
    </w:p>
    <w:p w:rsidR="00D50E7D"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DATED:</w:t>
      </w:r>
      <w:r w:rsidRPr="00A7779A">
        <w:rPr>
          <w:rFonts w:ascii="Arial" w:eastAsia="Times New Roman" w:hAnsi="Arial" w:cs="Arial"/>
          <w:b/>
          <w:lang w:val="en-GB" w:eastAsia="en-GB"/>
        </w:rPr>
        <w:tab/>
      </w:r>
      <w:r w:rsidRPr="00A7779A">
        <w:rPr>
          <w:rFonts w:ascii="Arial" w:eastAsia="Times New Roman" w:hAnsi="Arial" w:cs="Arial"/>
          <w:b/>
          <w:lang w:val="en-GB" w:eastAsia="en-GB"/>
        </w:rPr>
        <w:tab/>
      </w:r>
      <w:r>
        <w:rPr>
          <w:rFonts w:ascii="Arial" w:eastAsia="Times New Roman" w:hAnsi="Arial" w:cs="Arial"/>
          <w:b/>
          <w:lang w:val="en-GB" w:eastAsia="en-GB"/>
        </w:rPr>
        <w:t>01/06/2015</w:t>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fldChar w:fldCharType="begin"/>
      </w:r>
      <w:r w:rsidRPr="00A7779A">
        <w:rPr>
          <w:rFonts w:ascii="Arial" w:eastAsia="Times New Roman" w:hAnsi="Arial" w:cs="Arial"/>
          <w:b/>
          <w:lang w:val="en-GB" w:eastAsia="en-GB"/>
        </w:rPr>
        <w:instrText xml:space="preserve"> FILLIN  DD/MM/YYYY \d DD/MM/YYYY  \* MERGEFORMAT </w:instrText>
      </w:r>
      <w:r w:rsidRPr="00A7779A">
        <w:rPr>
          <w:rFonts w:ascii="Arial" w:eastAsia="Times New Roman" w:hAnsi="Arial" w:cs="Arial"/>
          <w:b/>
          <w:lang w:val="en-GB" w:eastAsia="en-GB"/>
        </w:rPr>
        <w:fldChar w:fldCharType="end"/>
      </w:r>
      <w:r w:rsidRPr="00A7779A">
        <w:rPr>
          <w:rFonts w:ascii="Times New Roman" w:eastAsia="Times New Roman" w:hAnsi="Times New Roman"/>
          <w:b/>
          <w:sz w:val="24"/>
          <w:szCs w:val="20"/>
          <w:lang w:val="en-GB" w:eastAsia="en-GB"/>
        </w:rPr>
        <w:fldChar w:fldCharType="begin"/>
      </w:r>
      <w:r w:rsidRPr="00A7779A">
        <w:rPr>
          <w:rFonts w:ascii="Times New Roman" w:eastAsia="Times New Roman" w:hAnsi="Times New Roman"/>
          <w:b/>
          <w:sz w:val="24"/>
          <w:szCs w:val="20"/>
          <w:lang w:val="en-GB" w:eastAsia="en-GB"/>
        </w:rPr>
        <w:instrText xml:space="preserve"> FILLIN  DD/MM/YYYY  \* MERGEFORMAT </w:instrText>
      </w:r>
      <w:r w:rsidRPr="00A7779A">
        <w:rPr>
          <w:rFonts w:ascii="Times New Roman" w:eastAsia="Times New Roman" w:hAnsi="Times New Roman"/>
          <w:b/>
          <w:sz w:val="24"/>
          <w:szCs w:val="20"/>
          <w:lang w:val="en-GB" w:eastAsia="en-GB"/>
        </w:rPr>
        <w:fldChar w:fldCharType="end"/>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 xml:space="preserve">LEVEL:  </w:t>
      </w:r>
      <w:r w:rsidRPr="00A7779A">
        <w:rPr>
          <w:rFonts w:ascii="Arial" w:eastAsia="Times New Roman" w:hAnsi="Arial" w:cs="Arial"/>
          <w:b/>
          <w:lang w:val="en-GB" w:eastAsia="en-GB"/>
        </w:rPr>
        <w:tab/>
      </w:r>
      <w:r w:rsidRPr="00A7779A">
        <w:rPr>
          <w:rFonts w:ascii="Arial" w:eastAsia="Times New Roman" w:hAnsi="Arial" w:cs="Arial"/>
          <w:b/>
          <w:lang w:val="en-GB" w:eastAsia="en-GB"/>
        </w:rPr>
        <w:tab/>
        <w:t>6</w:t>
      </w:r>
      <w:r w:rsidRPr="00A7779A">
        <w:rPr>
          <w:rFonts w:ascii="Arial" w:eastAsia="Times New Roman" w:hAnsi="Arial" w:cs="Arial"/>
          <w:b/>
          <w:lang w:val="en-GB" w:eastAsia="en-GB"/>
        </w:rPr>
        <w:tab/>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CREDITS:</w:t>
      </w:r>
      <w:r w:rsidRPr="00A7779A">
        <w:rPr>
          <w:rFonts w:ascii="Arial" w:eastAsia="Times New Roman" w:hAnsi="Arial" w:cs="Arial"/>
          <w:b/>
          <w:lang w:val="en-GB" w:eastAsia="en-GB"/>
        </w:rPr>
        <w:tab/>
      </w:r>
      <w:r w:rsidRPr="00A7779A">
        <w:rPr>
          <w:rFonts w:ascii="Arial" w:eastAsia="Times New Roman" w:hAnsi="Arial" w:cs="Arial"/>
          <w:b/>
          <w:lang w:val="en-GB" w:eastAsia="en-GB"/>
        </w:rPr>
        <w:tab/>
        <w:t>20</w:t>
      </w:r>
      <w:r w:rsidRPr="00A7779A">
        <w:rPr>
          <w:rFonts w:ascii="Arial" w:eastAsia="Times New Roman" w:hAnsi="Arial" w:cs="Arial"/>
          <w:b/>
          <w:lang w:val="en-GB" w:eastAsia="en-GB"/>
        </w:rPr>
        <w:tab/>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ind w:left="142"/>
        <w:textAlignment w:val="baseline"/>
        <w:rPr>
          <w:rFonts w:ascii="Arial" w:eastAsia="Times New Roman" w:hAnsi="Arial" w:cs="Arial"/>
          <w:b/>
          <w:lang w:val="en-GB" w:eastAsia="en-GB"/>
        </w:rPr>
      </w:pPr>
    </w:p>
    <w:p w:rsidR="00D50E7D" w:rsidRPr="00A7779A" w:rsidRDefault="00D50E7D" w:rsidP="00D50E7D">
      <w:pPr>
        <w:pBdr>
          <w:bottom w:val="single" w:sz="6" w:space="1" w:color="auto"/>
        </w:pBdr>
        <w:spacing w:after="0"/>
        <w:rPr>
          <w:rFonts w:ascii="Arial" w:hAnsi="Arial" w:cs="Arial"/>
        </w:rPr>
      </w:pPr>
      <w:r w:rsidRPr="00A7779A">
        <w:rPr>
          <w:rFonts w:ascii="Arial" w:hAnsi="Arial" w:cs="Arial"/>
          <w:b/>
        </w:rPr>
        <w:t>JACS CODE:</w:t>
      </w:r>
      <w:r w:rsidRPr="00A7779A">
        <w:rPr>
          <w:rFonts w:ascii="Arial" w:hAnsi="Arial" w:cs="Arial"/>
          <w:b/>
        </w:rPr>
        <w:tab/>
      </w:r>
      <w:r w:rsidRPr="00A7779A">
        <w:rPr>
          <w:rFonts w:ascii="Arial" w:hAnsi="Arial" w:cs="Arial"/>
          <w:b/>
        </w:rPr>
        <w:tab/>
      </w:r>
      <w:r>
        <w:rPr>
          <w:rFonts w:ascii="Arial" w:hAnsi="Arial" w:cs="Arial"/>
          <w:b/>
        </w:rPr>
        <w:t>M240</w:t>
      </w:r>
    </w:p>
    <w:p w:rsidR="00D50E7D" w:rsidRPr="00A7779A" w:rsidRDefault="00D50E7D" w:rsidP="00D50E7D">
      <w:pPr>
        <w:pBdr>
          <w:bottom w:val="single" w:sz="6" w:space="1" w:color="auto"/>
        </w:pBdr>
        <w:rPr>
          <w:rFonts w:ascii="Arial" w:hAnsi="Arial" w:cs="Arial"/>
        </w:rPr>
      </w:pPr>
    </w:p>
    <w:p w:rsidR="00D50E7D" w:rsidRPr="00A7779A" w:rsidRDefault="00D50E7D" w:rsidP="00D50E7D">
      <w:pPr>
        <w:spacing w:after="0" w:line="240" w:lineRule="auto"/>
        <w:jc w:val="both"/>
        <w:rPr>
          <w:rFonts w:ascii="Arial" w:eastAsia="Times New Roman" w:hAnsi="Arial" w:cs="Arial"/>
          <w:b/>
          <w:lang w:val="en-GB" w:eastAsia="en-GB"/>
        </w:rPr>
      </w:pPr>
    </w:p>
    <w:p w:rsidR="00D50E7D" w:rsidRPr="00A7779A" w:rsidRDefault="00D50E7D" w:rsidP="00D50E7D">
      <w:pPr>
        <w:spacing w:after="0" w:line="240" w:lineRule="auto"/>
        <w:jc w:val="both"/>
        <w:rPr>
          <w:rFonts w:ascii="Arial" w:eastAsia="Times New Roman" w:hAnsi="Arial" w:cs="Arial"/>
          <w:b/>
          <w:lang w:val="en-GB" w:eastAsia="en-GB"/>
        </w:rPr>
      </w:pPr>
      <w:r w:rsidRPr="00A7779A">
        <w:rPr>
          <w:rFonts w:ascii="Arial" w:eastAsia="Times New Roman" w:hAnsi="Arial" w:cs="Arial"/>
          <w:b/>
          <w:lang w:val="en-GB" w:eastAsia="en-GB"/>
        </w:rPr>
        <w:t>AIM(S)</w:t>
      </w:r>
    </w:p>
    <w:p w:rsidR="00D50E7D" w:rsidRPr="00A7779A" w:rsidRDefault="00D50E7D" w:rsidP="00D50E7D">
      <w:pPr>
        <w:numPr>
          <w:ilvl w:val="0"/>
          <w:numId w:val="4"/>
        </w:numPr>
        <w:spacing w:before="240" w:after="0" w:line="240" w:lineRule="auto"/>
        <w:jc w:val="both"/>
        <w:rPr>
          <w:rFonts w:ascii="Arial" w:eastAsia="Times New Roman" w:hAnsi="Arial" w:cs="Arial"/>
          <w:lang w:val="en-GB" w:eastAsia="en-GB"/>
        </w:rPr>
      </w:pPr>
      <w:r w:rsidRPr="00A7779A">
        <w:rPr>
          <w:rFonts w:ascii="Arial" w:eastAsia="Times New Roman" w:hAnsi="Arial" w:cs="Arial"/>
          <w:lang w:val="en-GB" w:eastAsia="en-GB"/>
        </w:rPr>
        <w:t>This module will introduce students to the fundamental principles of equity and trusts and the skills necessary to interpret primary and secondary sources</w:t>
      </w:r>
    </w:p>
    <w:p w:rsidR="00D50E7D" w:rsidRPr="00A7779A" w:rsidRDefault="00D50E7D" w:rsidP="00D50E7D">
      <w:pPr>
        <w:numPr>
          <w:ilvl w:val="0"/>
          <w:numId w:val="4"/>
        </w:numPr>
        <w:spacing w:before="240" w:after="0" w:line="240" w:lineRule="auto"/>
        <w:jc w:val="both"/>
        <w:rPr>
          <w:rFonts w:ascii="Arial" w:eastAsia="Times New Roman" w:hAnsi="Arial" w:cs="Arial"/>
          <w:lang w:val="en-GB" w:eastAsia="en-GB"/>
        </w:rPr>
      </w:pPr>
      <w:r w:rsidRPr="00A7779A">
        <w:rPr>
          <w:rFonts w:ascii="Arial" w:eastAsia="Times New Roman" w:hAnsi="Arial" w:cs="Arial"/>
          <w:lang w:val="en-GB" w:eastAsia="en-GB"/>
        </w:rPr>
        <w:t>To develop students’ critical awareness of the social, political and cultural context in which law operates within the law of equity and trusts and will introduce students to the research, analytical and presentational skills necessary.</w:t>
      </w:r>
    </w:p>
    <w:p w:rsidR="00D50E7D" w:rsidRPr="00A7779A" w:rsidRDefault="00D50E7D" w:rsidP="00D50E7D">
      <w:pPr>
        <w:spacing w:after="0" w:line="240" w:lineRule="auto"/>
        <w:jc w:val="both"/>
        <w:rPr>
          <w:rFonts w:ascii="Arial" w:eastAsia="Times New Roman" w:hAnsi="Arial" w:cs="Arial"/>
          <w:b/>
          <w:lang w:val="en-GB" w:eastAsia="en-GB"/>
        </w:rPr>
      </w:pPr>
    </w:p>
    <w:p w:rsidR="00D50E7D" w:rsidRPr="00A7779A" w:rsidRDefault="00D50E7D" w:rsidP="00D50E7D">
      <w:pPr>
        <w:spacing w:after="0" w:line="240" w:lineRule="auto"/>
        <w:jc w:val="both"/>
        <w:rPr>
          <w:rFonts w:ascii="Arial" w:eastAsia="Times New Roman" w:hAnsi="Arial" w:cs="Arial"/>
          <w:b/>
          <w:lang w:val="en-GB" w:eastAsia="en-GB"/>
        </w:rPr>
      </w:pPr>
      <w:r w:rsidRPr="00A7779A">
        <w:rPr>
          <w:rFonts w:ascii="Arial" w:eastAsia="Times New Roman" w:hAnsi="Arial" w:cs="Arial"/>
          <w:b/>
          <w:lang w:val="en-GB" w:eastAsia="en-GB"/>
        </w:rPr>
        <w:t>LEARNING OUTCOMES</w:t>
      </w:r>
    </w:p>
    <w:p w:rsidR="00D50E7D" w:rsidRPr="00A7779A" w:rsidRDefault="00D50E7D" w:rsidP="00D50E7D">
      <w:pPr>
        <w:spacing w:after="0"/>
        <w:rPr>
          <w:rFonts w:ascii="Arial" w:hAnsi="Arial" w:cs="Arial"/>
          <w:b/>
        </w:rPr>
      </w:pPr>
    </w:p>
    <w:p w:rsidR="00D50E7D" w:rsidRPr="00A7779A" w:rsidRDefault="00D50E7D" w:rsidP="00D50E7D">
      <w:pPr>
        <w:rPr>
          <w:rFonts w:ascii="Arial" w:eastAsia="Times New Roman" w:hAnsi="Arial" w:cs="Arial"/>
          <w:lang w:val="en-GB" w:eastAsia="en-GB"/>
        </w:rPr>
      </w:pPr>
      <w:r w:rsidRPr="00A7779A">
        <w:rPr>
          <w:rFonts w:ascii="Arial" w:eastAsia="Times New Roman" w:hAnsi="Arial" w:cs="Arial"/>
          <w:lang w:val="en-GB" w:eastAsia="en-GB"/>
        </w:rPr>
        <w:t>Upon the successful completion of this module, the student should be able to demonstrate the ability to:</w:t>
      </w:r>
    </w:p>
    <w:p w:rsidR="00D50E7D" w:rsidRPr="00A7779A" w:rsidRDefault="00D50E7D" w:rsidP="00D50E7D">
      <w:pPr>
        <w:numPr>
          <w:ilvl w:val="6"/>
          <w:numId w:val="3"/>
        </w:numPr>
        <w:ind w:left="709" w:hanging="425"/>
        <w:contextualSpacing/>
        <w:rPr>
          <w:rFonts w:ascii="Arial" w:eastAsia="Times New Roman" w:hAnsi="Arial" w:cs="Arial"/>
          <w:lang w:val="en-GB" w:eastAsia="en-GB"/>
        </w:rPr>
      </w:pPr>
      <w:proofErr w:type="gramStart"/>
      <w:r>
        <w:rPr>
          <w:rFonts w:ascii="Arial" w:eastAsia="Times New Roman" w:hAnsi="Arial" w:cs="Arial"/>
          <w:lang w:val="en-GB" w:eastAsia="en-GB"/>
        </w:rPr>
        <w:t>conceptually</w:t>
      </w:r>
      <w:proofErr w:type="gramEnd"/>
      <w:r>
        <w:rPr>
          <w:rFonts w:ascii="Arial" w:eastAsia="Times New Roman" w:hAnsi="Arial" w:cs="Arial"/>
          <w:lang w:val="en-GB" w:eastAsia="en-GB"/>
        </w:rPr>
        <w:t xml:space="preserve"> and comprehensively  understand </w:t>
      </w:r>
      <w:r w:rsidRPr="00A7779A">
        <w:rPr>
          <w:rFonts w:ascii="Arial" w:eastAsia="Times New Roman" w:hAnsi="Arial" w:cs="Arial"/>
          <w:lang w:val="en-GB" w:eastAsia="en-GB"/>
        </w:rPr>
        <w:t>the relationship between common law and equity and the relevance of equitable principles and remedies in modern law.</w:t>
      </w:r>
    </w:p>
    <w:p w:rsidR="00D50E7D" w:rsidRPr="00A7779A" w:rsidRDefault="00D50E7D" w:rsidP="00D50E7D">
      <w:pPr>
        <w:numPr>
          <w:ilvl w:val="1"/>
          <w:numId w:val="3"/>
        </w:numPr>
        <w:ind w:left="709" w:hanging="425"/>
        <w:contextualSpacing/>
        <w:rPr>
          <w:rFonts w:ascii="Arial" w:eastAsia="Times New Roman" w:hAnsi="Arial" w:cs="Arial"/>
          <w:lang w:val="en-GB" w:eastAsia="en-GB"/>
        </w:rPr>
      </w:pPr>
      <w:r>
        <w:rPr>
          <w:rFonts w:ascii="Arial" w:eastAsia="Times New Roman" w:hAnsi="Arial" w:cs="Arial"/>
          <w:lang w:val="en-GB" w:eastAsia="en-GB"/>
        </w:rPr>
        <w:t xml:space="preserve">Critically </w:t>
      </w:r>
      <w:proofErr w:type="gramStart"/>
      <w:r>
        <w:rPr>
          <w:rFonts w:ascii="Arial" w:eastAsia="Times New Roman" w:hAnsi="Arial" w:cs="Arial"/>
          <w:lang w:val="en-GB" w:eastAsia="en-GB"/>
        </w:rPr>
        <w:t xml:space="preserve">evaluate </w:t>
      </w:r>
      <w:r w:rsidRPr="00A7779A">
        <w:rPr>
          <w:rFonts w:ascii="Arial" w:eastAsia="Times New Roman" w:hAnsi="Arial" w:cs="Arial"/>
          <w:lang w:val="en-GB" w:eastAsia="en-GB"/>
        </w:rPr>
        <w:t xml:space="preserve"> the</w:t>
      </w:r>
      <w:proofErr w:type="gramEnd"/>
      <w:r w:rsidRPr="00A7779A">
        <w:rPr>
          <w:rFonts w:ascii="Arial" w:eastAsia="Times New Roman" w:hAnsi="Arial" w:cs="Arial"/>
          <w:lang w:val="en-GB" w:eastAsia="en-GB"/>
        </w:rPr>
        <w:t xml:space="preserve"> fundamental concept of the separation of legal and equitable ownership of property and a detailed understanding of the theoretical and practical applications of these requirements.</w:t>
      </w:r>
    </w:p>
    <w:p w:rsidR="00D50E7D" w:rsidRPr="00A7779A" w:rsidRDefault="00D50E7D" w:rsidP="00D50E7D">
      <w:pPr>
        <w:numPr>
          <w:ilvl w:val="1"/>
          <w:numId w:val="3"/>
        </w:numPr>
        <w:ind w:left="709" w:hanging="425"/>
        <w:contextualSpacing/>
        <w:rPr>
          <w:rFonts w:ascii="Arial" w:eastAsia="Times New Roman" w:hAnsi="Arial" w:cs="Arial"/>
          <w:lang w:val="en-GB" w:eastAsia="en-GB"/>
        </w:rPr>
      </w:pPr>
      <w:proofErr w:type="gramStart"/>
      <w:r w:rsidRPr="00A7779A">
        <w:rPr>
          <w:rFonts w:ascii="Arial" w:eastAsia="Times New Roman" w:hAnsi="Arial" w:cs="Arial"/>
          <w:lang w:val="en-GB" w:eastAsia="en-GB"/>
        </w:rPr>
        <w:t>critica</w:t>
      </w:r>
      <w:r>
        <w:rPr>
          <w:rFonts w:ascii="Arial" w:eastAsia="Times New Roman" w:hAnsi="Arial" w:cs="Arial"/>
          <w:lang w:val="en-GB" w:eastAsia="en-GB"/>
        </w:rPr>
        <w:t>l</w:t>
      </w:r>
      <w:r w:rsidRPr="00A7779A">
        <w:rPr>
          <w:rFonts w:ascii="Arial" w:eastAsia="Times New Roman" w:hAnsi="Arial" w:cs="Arial"/>
          <w:lang w:val="en-GB" w:eastAsia="en-GB"/>
        </w:rPr>
        <w:t>l</w:t>
      </w:r>
      <w:r>
        <w:rPr>
          <w:rFonts w:ascii="Arial" w:eastAsia="Times New Roman" w:hAnsi="Arial" w:cs="Arial"/>
          <w:lang w:val="en-GB" w:eastAsia="en-GB"/>
        </w:rPr>
        <w:t>y</w:t>
      </w:r>
      <w:proofErr w:type="gramEnd"/>
      <w:r w:rsidRPr="00A7779A">
        <w:rPr>
          <w:rFonts w:ascii="Arial" w:eastAsia="Times New Roman" w:hAnsi="Arial" w:cs="Arial"/>
          <w:lang w:val="en-GB" w:eastAsia="en-GB"/>
        </w:rPr>
        <w:t xml:space="preserve"> </w:t>
      </w:r>
      <w:proofErr w:type="spellStart"/>
      <w:r w:rsidRPr="00A7779A">
        <w:rPr>
          <w:rFonts w:ascii="Arial" w:eastAsia="Times New Roman" w:hAnsi="Arial" w:cs="Arial"/>
          <w:lang w:val="en-GB" w:eastAsia="en-GB"/>
        </w:rPr>
        <w:t>understandi</w:t>
      </w:r>
      <w:proofErr w:type="spellEnd"/>
      <w:r w:rsidRPr="00A7779A">
        <w:rPr>
          <w:rFonts w:ascii="Arial" w:eastAsia="Times New Roman" w:hAnsi="Arial" w:cs="Arial"/>
          <w:lang w:val="en-GB" w:eastAsia="en-GB"/>
        </w:rPr>
        <w:t xml:space="preserve">  key areas and issues within the discipline, such as those surrounding charitable status and the developing role of resulting and constructive trusts in the commercial sphere.</w:t>
      </w:r>
    </w:p>
    <w:p w:rsidR="00D50E7D" w:rsidRPr="00A7779A" w:rsidRDefault="00D50E7D" w:rsidP="00D50E7D">
      <w:pPr>
        <w:spacing w:before="240" w:after="0" w:line="240" w:lineRule="auto"/>
        <w:ind w:left="1069"/>
        <w:rPr>
          <w:rFonts w:ascii="Arial" w:hAnsi="Arial" w:cs="Arial"/>
        </w:rPr>
      </w:pPr>
    </w:p>
    <w:p w:rsidR="00D50E7D"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INDICATIVE CONTENT</w:t>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D50E7D" w:rsidRPr="00A7779A" w:rsidRDefault="00D50E7D" w:rsidP="00D50E7D">
      <w:pPr>
        <w:numPr>
          <w:ilvl w:val="0"/>
          <w:numId w:val="5"/>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The nature of equity ad trusts</w:t>
      </w:r>
    </w:p>
    <w:p w:rsidR="00D50E7D" w:rsidRPr="00A7779A" w:rsidRDefault="00D50E7D" w:rsidP="00D50E7D">
      <w:pPr>
        <w:numPr>
          <w:ilvl w:val="0"/>
          <w:numId w:val="5"/>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Constitution of a trust</w:t>
      </w:r>
    </w:p>
    <w:p w:rsidR="00D50E7D" w:rsidRPr="00A7779A" w:rsidRDefault="00D50E7D" w:rsidP="00D50E7D">
      <w:pPr>
        <w:numPr>
          <w:ilvl w:val="0"/>
          <w:numId w:val="5"/>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Trusts, powers and discretionary trusts</w:t>
      </w:r>
    </w:p>
    <w:p w:rsidR="00D50E7D" w:rsidRPr="00A7779A" w:rsidRDefault="00D50E7D" w:rsidP="00D50E7D">
      <w:pPr>
        <w:numPr>
          <w:ilvl w:val="0"/>
          <w:numId w:val="5"/>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Charitable trusts</w:t>
      </w:r>
    </w:p>
    <w:p w:rsidR="00D50E7D" w:rsidRPr="00A7779A" w:rsidRDefault="00D50E7D" w:rsidP="00D50E7D">
      <w:pPr>
        <w:numPr>
          <w:ilvl w:val="0"/>
          <w:numId w:val="5"/>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Trusts of imperfect obligation</w:t>
      </w:r>
    </w:p>
    <w:p w:rsidR="00D50E7D" w:rsidRPr="00A7779A" w:rsidRDefault="00D50E7D" w:rsidP="00D50E7D">
      <w:pPr>
        <w:numPr>
          <w:ilvl w:val="0"/>
          <w:numId w:val="5"/>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Implied and resulting trusts</w:t>
      </w:r>
    </w:p>
    <w:p w:rsidR="00D50E7D" w:rsidRPr="00A7779A" w:rsidRDefault="00D50E7D" w:rsidP="00D50E7D">
      <w:pPr>
        <w:numPr>
          <w:ilvl w:val="0"/>
          <w:numId w:val="5"/>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Constructive trusts</w:t>
      </w:r>
    </w:p>
    <w:p w:rsidR="00D50E7D" w:rsidRPr="00A7779A" w:rsidRDefault="00D50E7D" w:rsidP="00D50E7D">
      <w:pPr>
        <w:numPr>
          <w:ilvl w:val="0"/>
          <w:numId w:val="5"/>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Administration of trusts</w:t>
      </w:r>
    </w:p>
    <w:p w:rsidR="00D50E7D" w:rsidRPr="00A7779A" w:rsidRDefault="00D50E7D" w:rsidP="00D50E7D">
      <w:pPr>
        <w:numPr>
          <w:ilvl w:val="0"/>
          <w:numId w:val="5"/>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Breach of trust</w:t>
      </w:r>
    </w:p>
    <w:p w:rsidR="00D50E7D" w:rsidRPr="00A7779A" w:rsidRDefault="00D50E7D" w:rsidP="00D50E7D">
      <w:pPr>
        <w:numPr>
          <w:ilvl w:val="0"/>
          <w:numId w:val="5"/>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Equitable doctrines</w:t>
      </w:r>
    </w:p>
    <w:p w:rsidR="00D50E7D" w:rsidRPr="00A7779A" w:rsidRDefault="00D50E7D" w:rsidP="00D50E7D">
      <w:pPr>
        <w:numPr>
          <w:ilvl w:val="0"/>
          <w:numId w:val="5"/>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 xml:space="preserve">Equitable remedies </w:t>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ind w:left="142"/>
        <w:textAlignment w:val="baseline"/>
        <w:rPr>
          <w:rFonts w:ascii="Arial" w:eastAsia="Times New Roman" w:hAnsi="Arial" w:cs="Arial"/>
          <w:b/>
          <w:lang w:val="en-GB" w:eastAsia="en-GB"/>
        </w:rPr>
      </w:pP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LEARNING AND TEACHING STRATEGY</w:t>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ind w:left="142"/>
        <w:textAlignment w:val="baseline"/>
        <w:rPr>
          <w:rFonts w:ascii="Arial" w:eastAsia="Times New Roman" w:hAnsi="Arial" w:cs="Arial"/>
          <w:b/>
          <w:lang w:val="en-GB" w:eastAsia="en-GB"/>
        </w:rPr>
      </w:pPr>
    </w:p>
    <w:p w:rsidR="00D50E7D" w:rsidRPr="00A7779A" w:rsidRDefault="00D50E7D" w:rsidP="00D50E7D">
      <w:pPr>
        <w:rPr>
          <w:rFonts w:ascii="Arial" w:hAnsi="Arial" w:cs="Arial"/>
        </w:rPr>
      </w:pPr>
      <w:r w:rsidRPr="00A7779A">
        <w:rPr>
          <w:rFonts w:ascii="Arial" w:hAnsi="Arial" w:cs="Arial"/>
        </w:rPr>
        <w:t xml:space="preserve">This module will be taught via formal lectures and equally supported by guided tutorials. The teaching strategies for this module will include case studies, various media sources, review </w:t>
      </w:r>
      <w:r w:rsidRPr="00A7779A">
        <w:rPr>
          <w:rFonts w:ascii="Arial" w:hAnsi="Arial" w:cs="Arial"/>
        </w:rPr>
        <w:lastRenderedPageBreak/>
        <w:t>of articles, directed reading, research and practical work, group seminars and presentations, guest speakers as appropriate and group discussion and debate.</w:t>
      </w:r>
    </w:p>
    <w:p w:rsidR="00D50E7D" w:rsidRPr="00A7779A" w:rsidRDefault="00D50E7D" w:rsidP="00D50E7D">
      <w:pPr>
        <w:spacing w:after="0" w:line="240" w:lineRule="auto"/>
        <w:rPr>
          <w:rFonts w:ascii="Arial" w:hAnsi="Arial" w:cs="Arial"/>
        </w:rPr>
      </w:pPr>
      <w:r w:rsidRPr="00A7779A">
        <w:rPr>
          <w:rFonts w:ascii="Arial" w:hAnsi="Arial" w:cs="Arial"/>
        </w:rPr>
        <w:t>The allocation of teaching to deliver the module is:</w:t>
      </w:r>
    </w:p>
    <w:p w:rsidR="00D50E7D" w:rsidRPr="00A7779A" w:rsidRDefault="00D50E7D" w:rsidP="00D50E7D">
      <w:pPr>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50E7D" w:rsidRPr="00A7779A" w:rsidTr="005E1CE0">
        <w:tc>
          <w:tcPr>
            <w:tcW w:w="3969" w:type="dxa"/>
            <w:tcBorders>
              <w:top w:val="single" w:sz="4" w:space="0" w:color="auto"/>
              <w:left w:val="single" w:sz="4" w:space="0" w:color="auto"/>
            </w:tcBorders>
          </w:tcPr>
          <w:p w:rsidR="00D50E7D" w:rsidRPr="00A7779A" w:rsidRDefault="00D50E7D" w:rsidP="005E1CE0">
            <w:pPr>
              <w:spacing w:after="0" w:line="240" w:lineRule="auto"/>
              <w:rPr>
                <w:rFonts w:ascii="Arial" w:hAnsi="Arial" w:cs="Arial"/>
                <w:b/>
              </w:rPr>
            </w:pPr>
            <w:r w:rsidRPr="00A7779A">
              <w:rPr>
                <w:rFonts w:ascii="Arial" w:hAnsi="Arial" w:cs="Arial"/>
                <w:b/>
              </w:rPr>
              <w:t>Activity type</w:t>
            </w:r>
          </w:p>
        </w:tc>
        <w:tc>
          <w:tcPr>
            <w:tcW w:w="1701" w:type="dxa"/>
            <w:tcBorders>
              <w:top w:val="single" w:sz="4" w:space="0" w:color="auto"/>
            </w:tcBorders>
          </w:tcPr>
          <w:p w:rsidR="00D50E7D" w:rsidRPr="00A7779A" w:rsidRDefault="00D50E7D" w:rsidP="005E1CE0">
            <w:pPr>
              <w:spacing w:after="0" w:line="240" w:lineRule="auto"/>
              <w:jc w:val="center"/>
              <w:rPr>
                <w:rFonts w:ascii="Arial" w:hAnsi="Arial" w:cs="Arial"/>
                <w:b/>
              </w:rPr>
            </w:pPr>
            <w:r w:rsidRPr="00A7779A">
              <w:rPr>
                <w:rFonts w:ascii="Arial" w:hAnsi="Arial" w:cs="Arial"/>
                <w:b/>
              </w:rPr>
              <w:t>Hours</w:t>
            </w:r>
          </w:p>
        </w:tc>
        <w:tc>
          <w:tcPr>
            <w:tcW w:w="1843" w:type="dxa"/>
            <w:tcBorders>
              <w:top w:val="single" w:sz="4" w:space="0" w:color="auto"/>
            </w:tcBorders>
          </w:tcPr>
          <w:p w:rsidR="00D50E7D" w:rsidRPr="00A7779A" w:rsidRDefault="00D50E7D" w:rsidP="005E1CE0">
            <w:pPr>
              <w:spacing w:after="0" w:line="240" w:lineRule="auto"/>
              <w:jc w:val="center"/>
              <w:rPr>
                <w:rFonts w:ascii="Arial" w:hAnsi="Arial" w:cs="Arial"/>
                <w:b/>
              </w:rPr>
            </w:pPr>
            <w:r w:rsidRPr="00A7779A">
              <w:rPr>
                <w:rFonts w:ascii="Arial" w:hAnsi="Arial" w:cs="Arial"/>
                <w:b/>
              </w:rPr>
              <w:t>Percentage</w:t>
            </w:r>
          </w:p>
        </w:tc>
      </w:tr>
      <w:tr w:rsidR="00D50E7D" w:rsidRPr="00A7779A" w:rsidTr="005E1CE0">
        <w:tc>
          <w:tcPr>
            <w:tcW w:w="3969" w:type="dxa"/>
          </w:tcPr>
          <w:p w:rsidR="00D50E7D" w:rsidRPr="00A7779A" w:rsidRDefault="00D50E7D" w:rsidP="005E1CE0">
            <w:pPr>
              <w:spacing w:after="0" w:line="240" w:lineRule="auto"/>
              <w:rPr>
                <w:rFonts w:ascii="Arial" w:hAnsi="Arial" w:cs="Arial"/>
              </w:rPr>
            </w:pPr>
            <w:r w:rsidRPr="00A7779A">
              <w:rPr>
                <w:rFonts w:ascii="Arial" w:hAnsi="Arial" w:cs="Arial"/>
              </w:rPr>
              <w:t>Scheduled learning</w:t>
            </w:r>
          </w:p>
        </w:tc>
        <w:tc>
          <w:tcPr>
            <w:tcW w:w="1701" w:type="dxa"/>
          </w:tcPr>
          <w:p w:rsidR="00D50E7D" w:rsidRPr="00A7779A" w:rsidRDefault="00D50E7D" w:rsidP="005E1CE0">
            <w:pPr>
              <w:spacing w:after="0" w:line="240" w:lineRule="auto"/>
              <w:jc w:val="center"/>
              <w:rPr>
                <w:rFonts w:ascii="Arial" w:hAnsi="Arial" w:cs="Arial"/>
              </w:rPr>
            </w:pPr>
            <w:r w:rsidRPr="00A7779A">
              <w:rPr>
                <w:rFonts w:ascii="Arial" w:hAnsi="Arial" w:cs="Arial"/>
              </w:rPr>
              <w:t>50</w:t>
            </w:r>
          </w:p>
        </w:tc>
        <w:tc>
          <w:tcPr>
            <w:tcW w:w="1843" w:type="dxa"/>
          </w:tcPr>
          <w:p w:rsidR="00D50E7D" w:rsidRPr="00A7779A" w:rsidRDefault="00D50E7D" w:rsidP="005E1CE0">
            <w:pPr>
              <w:spacing w:after="0" w:line="240" w:lineRule="auto"/>
              <w:jc w:val="center"/>
              <w:rPr>
                <w:rFonts w:ascii="Arial" w:hAnsi="Arial" w:cs="Arial"/>
              </w:rPr>
            </w:pPr>
            <w:r w:rsidRPr="00A7779A">
              <w:rPr>
                <w:rFonts w:ascii="Arial" w:hAnsi="Arial" w:cs="Arial"/>
              </w:rPr>
              <w:t>25</w:t>
            </w:r>
          </w:p>
        </w:tc>
      </w:tr>
      <w:tr w:rsidR="00D50E7D" w:rsidRPr="00A7779A" w:rsidTr="005E1CE0">
        <w:tc>
          <w:tcPr>
            <w:tcW w:w="3969" w:type="dxa"/>
          </w:tcPr>
          <w:p w:rsidR="00D50E7D" w:rsidRPr="00A7779A" w:rsidRDefault="00D50E7D" w:rsidP="005E1CE0">
            <w:pPr>
              <w:spacing w:after="0" w:line="240" w:lineRule="auto"/>
              <w:rPr>
                <w:rFonts w:ascii="Arial" w:hAnsi="Arial" w:cs="Arial"/>
              </w:rPr>
            </w:pPr>
            <w:r w:rsidRPr="00A7779A">
              <w:rPr>
                <w:rFonts w:ascii="Arial" w:hAnsi="Arial" w:cs="Arial"/>
              </w:rPr>
              <w:t>Independent learning</w:t>
            </w:r>
          </w:p>
        </w:tc>
        <w:tc>
          <w:tcPr>
            <w:tcW w:w="1701" w:type="dxa"/>
          </w:tcPr>
          <w:p w:rsidR="00D50E7D" w:rsidRPr="00A7779A" w:rsidRDefault="00D50E7D" w:rsidP="005E1CE0">
            <w:pPr>
              <w:spacing w:after="0" w:line="240" w:lineRule="auto"/>
              <w:jc w:val="center"/>
              <w:rPr>
                <w:rFonts w:ascii="Arial" w:hAnsi="Arial" w:cs="Arial"/>
              </w:rPr>
            </w:pPr>
            <w:r w:rsidRPr="00A7779A">
              <w:rPr>
                <w:rFonts w:ascii="Arial" w:hAnsi="Arial" w:cs="Arial"/>
              </w:rPr>
              <w:t>1</w:t>
            </w:r>
            <w:r>
              <w:rPr>
                <w:rFonts w:ascii="Arial" w:hAnsi="Arial" w:cs="Arial"/>
              </w:rPr>
              <w:t>5</w:t>
            </w:r>
            <w:r w:rsidRPr="00A7779A">
              <w:rPr>
                <w:rFonts w:ascii="Arial" w:hAnsi="Arial" w:cs="Arial"/>
              </w:rPr>
              <w:t>0</w:t>
            </w:r>
          </w:p>
        </w:tc>
        <w:tc>
          <w:tcPr>
            <w:tcW w:w="1843" w:type="dxa"/>
          </w:tcPr>
          <w:p w:rsidR="00D50E7D" w:rsidRPr="00A7779A" w:rsidRDefault="00D50E7D" w:rsidP="005E1CE0">
            <w:pPr>
              <w:spacing w:after="0" w:line="240" w:lineRule="auto"/>
              <w:jc w:val="center"/>
              <w:rPr>
                <w:rFonts w:ascii="Arial" w:hAnsi="Arial" w:cs="Arial"/>
              </w:rPr>
            </w:pPr>
            <w:r w:rsidRPr="00A7779A">
              <w:rPr>
                <w:rFonts w:ascii="Arial" w:hAnsi="Arial" w:cs="Arial"/>
              </w:rPr>
              <w:t>7</w:t>
            </w:r>
            <w:r>
              <w:rPr>
                <w:rFonts w:ascii="Arial" w:hAnsi="Arial" w:cs="Arial"/>
              </w:rPr>
              <w:t>5</w:t>
            </w:r>
          </w:p>
        </w:tc>
      </w:tr>
      <w:tr w:rsidR="00D50E7D" w:rsidRPr="00A7779A" w:rsidTr="005E1CE0">
        <w:tc>
          <w:tcPr>
            <w:tcW w:w="3969" w:type="dxa"/>
          </w:tcPr>
          <w:p w:rsidR="00D50E7D" w:rsidRPr="00A7779A" w:rsidRDefault="00D50E7D" w:rsidP="005E1CE0">
            <w:pPr>
              <w:spacing w:after="0" w:line="240" w:lineRule="auto"/>
              <w:rPr>
                <w:rFonts w:ascii="Arial" w:hAnsi="Arial" w:cs="Arial"/>
              </w:rPr>
            </w:pPr>
            <w:r w:rsidRPr="00A7779A">
              <w:rPr>
                <w:rFonts w:ascii="Arial" w:hAnsi="Arial" w:cs="Arial"/>
              </w:rPr>
              <w:t>Placement learning</w:t>
            </w:r>
          </w:p>
        </w:tc>
        <w:tc>
          <w:tcPr>
            <w:tcW w:w="1701" w:type="dxa"/>
          </w:tcPr>
          <w:p w:rsidR="00D50E7D" w:rsidRPr="00A7779A" w:rsidRDefault="00D50E7D" w:rsidP="005E1CE0">
            <w:pPr>
              <w:spacing w:after="0" w:line="240" w:lineRule="auto"/>
              <w:jc w:val="center"/>
              <w:rPr>
                <w:rFonts w:ascii="Arial" w:hAnsi="Arial" w:cs="Arial"/>
              </w:rPr>
            </w:pPr>
            <w:r w:rsidRPr="00A7779A">
              <w:rPr>
                <w:rFonts w:ascii="Arial" w:hAnsi="Arial" w:cs="Arial"/>
              </w:rPr>
              <w:t>0</w:t>
            </w:r>
          </w:p>
        </w:tc>
        <w:tc>
          <w:tcPr>
            <w:tcW w:w="1843" w:type="dxa"/>
          </w:tcPr>
          <w:p w:rsidR="00D50E7D" w:rsidRPr="00A7779A" w:rsidRDefault="00D50E7D" w:rsidP="005E1CE0">
            <w:pPr>
              <w:spacing w:after="0" w:line="240" w:lineRule="auto"/>
              <w:jc w:val="center"/>
              <w:rPr>
                <w:rFonts w:ascii="Arial" w:hAnsi="Arial" w:cs="Arial"/>
              </w:rPr>
            </w:pPr>
            <w:r>
              <w:rPr>
                <w:rFonts w:ascii="Arial" w:hAnsi="Arial" w:cs="Arial"/>
              </w:rPr>
              <w:t>0</w:t>
            </w:r>
          </w:p>
        </w:tc>
      </w:tr>
      <w:tr w:rsidR="00D50E7D" w:rsidRPr="00A7779A" w:rsidTr="005E1CE0">
        <w:tc>
          <w:tcPr>
            <w:tcW w:w="3969" w:type="dxa"/>
          </w:tcPr>
          <w:p w:rsidR="00D50E7D" w:rsidRPr="00A7779A" w:rsidRDefault="00D50E7D" w:rsidP="005E1CE0">
            <w:pPr>
              <w:spacing w:after="0" w:line="240" w:lineRule="auto"/>
              <w:rPr>
                <w:rFonts w:ascii="Arial" w:hAnsi="Arial" w:cs="Arial"/>
              </w:rPr>
            </w:pPr>
            <w:r w:rsidRPr="00A7779A">
              <w:rPr>
                <w:rFonts w:ascii="Arial" w:hAnsi="Arial" w:cs="Arial"/>
                <w:b/>
              </w:rPr>
              <w:t>TOTAL</w:t>
            </w:r>
          </w:p>
        </w:tc>
        <w:tc>
          <w:tcPr>
            <w:tcW w:w="1701" w:type="dxa"/>
          </w:tcPr>
          <w:p w:rsidR="00D50E7D" w:rsidRPr="00A7779A" w:rsidRDefault="00D50E7D" w:rsidP="005E1CE0">
            <w:pPr>
              <w:spacing w:after="0" w:line="240" w:lineRule="auto"/>
              <w:jc w:val="center"/>
              <w:rPr>
                <w:rFonts w:ascii="Arial" w:hAnsi="Arial" w:cs="Arial"/>
                <w:b/>
              </w:rPr>
            </w:pPr>
            <w:r>
              <w:rPr>
                <w:rFonts w:ascii="Arial" w:hAnsi="Arial" w:cs="Arial"/>
                <w:b/>
              </w:rPr>
              <w:t>200</w:t>
            </w:r>
          </w:p>
        </w:tc>
        <w:tc>
          <w:tcPr>
            <w:tcW w:w="1843" w:type="dxa"/>
          </w:tcPr>
          <w:p w:rsidR="00D50E7D" w:rsidRPr="00A7779A" w:rsidRDefault="00D50E7D" w:rsidP="005E1CE0">
            <w:pPr>
              <w:spacing w:after="0" w:line="240" w:lineRule="auto"/>
              <w:jc w:val="center"/>
              <w:rPr>
                <w:rFonts w:ascii="Arial" w:hAnsi="Arial" w:cs="Arial"/>
                <w:b/>
              </w:rPr>
            </w:pPr>
            <w:r w:rsidRPr="00A7779A">
              <w:rPr>
                <w:rFonts w:ascii="Arial" w:hAnsi="Arial" w:cs="Arial"/>
                <w:b/>
              </w:rPr>
              <w:t>100%</w:t>
            </w:r>
          </w:p>
        </w:tc>
      </w:tr>
    </w:tbl>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ASSESSMENT</w:t>
      </w:r>
    </w:p>
    <w:p w:rsidR="00D50E7D" w:rsidRPr="00A7779A" w:rsidRDefault="00D50E7D" w:rsidP="00D50E7D">
      <w:pPr>
        <w:numPr>
          <w:ilvl w:val="0"/>
          <w:numId w:val="1"/>
        </w:numPr>
        <w:tabs>
          <w:tab w:val="left" w:pos="720"/>
          <w:tab w:val="left" w:pos="1440"/>
          <w:tab w:val="left" w:pos="2160"/>
          <w:tab w:val="left" w:pos="2880"/>
        </w:tabs>
        <w:overflowPunct w:val="0"/>
        <w:autoSpaceDE w:val="0"/>
        <w:autoSpaceDN w:val="0"/>
        <w:adjustRightInd w:val="0"/>
        <w:spacing w:after="0" w:line="240" w:lineRule="auto"/>
        <w:ind w:left="0" w:hanging="3600"/>
        <w:textAlignment w:val="baseline"/>
        <w:rPr>
          <w:rFonts w:ascii="Arial" w:eastAsia="Times New Roman" w:hAnsi="Arial" w:cs="Arial"/>
          <w:b/>
          <w:lang w:val="en-GB" w:eastAsia="en-GB"/>
        </w:rPr>
      </w:pPr>
    </w:p>
    <w:p w:rsidR="00D50E7D" w:rsidRPr="00A7779A" w:rsidRDefault="00D50E7D" w:rsidP="00D50E7D">
      <w:pPr>
        <w:spacing w:after="0" w:line="240" w:lineRule="auto"/>
        <w:rPr>
          <w:rFonts w:ascii="Arial" w:hAnsi="Arial" w:cs="Arial"/>
          <w:b/>
        </w:rPr>
      </w:pPr>
      <w:r w:rsidRPr="00A7779A">
        <w:rPr>
          <w:rFonts w:ascii="Arial" w:hAnsi="Arial" w:cs="Arial"/>
          <w:b/>
        </w:rPr>
        <w:t>Assessment Component 1 – 50%</w:t>
      </w:r>
    </w:p>
    <w:p w:rsidR="00D50E7D" w:rsidRPr="00A7779A" w:rsidRDefault="00D50E7D" w:rsidP="00D50E7D">
      <w:pPr>
        <w:spacing w:after="0" w:line="240" w:lineRule="auto"/>
        <w:rPr>
          <w:rFonts w:ascii="Arial" w:hAnsi="Arial" w:cs="Arial"/>
          <w:b/>
        </w:rPr>
      </w:pPr>
    </w:p>
    <w:p w:rsidR="00D50E7D" w:rsidRPr="00A7779A" w:rsidRDefault="00D50E7D" w:rsidP="00D50E7D">
      <w:pPr>
        <w:spacing w:after="0" w:line="240" w:lineRule="auto"/>
        <w:rPr>
          <w:rFonts w:ascii="Arial" w:hAnsi="Arial" w:cs="Arial"/>
        </w:rPr>
      </w:pPr>
      <w:r w:rsidRPr="00A7779A">
        <w:rPr>
          <w:rFonts w:ascii="Arial" w:hAnsi="Arial" w:cs="Arial"/>
        </w:rPr>
        <w:t xml:space="preserve">1.  </w:t>
      </w:r>
      <w:r>
        <w:rPr>
          <w:rFonts w:ascii="Arial" w:hAnsi="Arial" w:cs="Arial"/>
        </w:rPr>
        <w:t>S</w:t>
      </w:r>
      <w:r w:rsidRPr="00A7779A">
        <w:rPr>
          <w:rFonts w:ascii="Arial" w:hAnsi="Arial" w:cs="Arial"/>
        </w:rPr>
        <w:t>tructured essay (50% weighting, approximately 2,</w:t>
      </w:r>
      <w:r>
        <w:rPr>
          <w:rFonts w:ascii="Arial" w:hAnsi="Arial" w:cs="Arial"/>
        </w:rPr>
        <w:t>5</w:t>
      </w:r>
      <w:r w:rsidRPr="00A7779A">
        <w:rPr>
          <w:rFonts w:ascii="Arial" w:hAnsi="Arial" w:cs="Arial"/>
        </w:rPr>
        <w:t>00</w:t>
      </w:r>
      <w:r>
        <w:rPr>
          <w:rFonts w:ascii="Arial" w:hAnsi="Arial" w:cs="Arial"/>
        </w:rPr>
        <w:t>-3000</w:t>
      </w:r>
      <w:r w:rsidRPr="00A7779A">
        <w:rPr>
          <w:rFonts w:ascii="Arial" w:hAnsi="Arial" w:cs="Arial"/>
        </w:rPr>
        <w:t xml:space="preserve"> words)</w:t>
      </w:r>
      <w:r>
        <w:rPr>
          <w:rFonts w:ascii="Arial" w:hAnsi="Arial" w:cs="Arial"/>
        </w:rPr>
        <w:t xml:space="preserve"> on the development of trust law and how it applies using relevant case law and practice. </w:t>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ind w:left="142"/>
        <w:textAlignment w:val="baseline"/>
        <w:rPr>
          <w:rFonts w:ascii="Arial" w:eastAsia="Times New Roman" w:hAnsi="Arial" w:cs="Arial"/>
          <w:lang w:val="en-GB" w:eastAsia="en-GB"/>
        </w:rPr>
      </w:pPr>
    </w:p>
    <w:p w:rsidR="00D50E7D" w:rsidRPr="00A7779A" w:rsidRDefault="00D50E7D" w:rsidP="00D50E7D">
      <w:pPr>
        <w:spacing w:after="0" w:line="240" w:lineRule="auto"/>
        <w:rPr>
          <w:rFonts w:ascii="Arial" w:hAnsi="Arial" w:cs="Arial"/>
          <w:b/>
        </w:rPr>
      </w:pPr>
      <w:r w:rsidRPr="00A7779A">
        <w:rPr>
          <w:rFonts w:ascii="Arial" w:hAnsi="Arial" w:cs="Arial"/>
          <w:b/>
        </w:rPr>
        <w:t>Assessment Component 2 – 50%</w:t>
      </w:r>
    </w:p>
    <w:p w:rsidR="00D50E7D" w:rsidRPr="00A7779A" w:rsidRDefault="00D50E7D" w:rsidP="00D50E7D">
      <w:pPr>
        <w:spacing w:after="0" w:line="240" w:lineRule="auto"/>
        <w:rPr>
          <w:rFonts w:ascii="Arial" w:hAnsi="Arial" w:cs="Arial"/>
        </w:rPr>
      </w:pPr>
    </w:p>
    <w:p w:rsidR="00D50E7D" w:rsidRPr="00A7779A" w:rsidRDefault="00D50E7D" w:rsidP="00D50E7D">
      <w:pPr>
        <w:spacing w:after="0" w:line="240" w:lineRule="auto"/>
        <w:rPr>
          <w:rFonts w:ascii="Arial" w:hAnsi="Arial" w:cs="Arial"/>
        </w:rPr>
      </w:pPr>
      <w:r w:rsidRPr="00A7779A">
        <w:rPr>
          <w:rFonts w:ascii="Arial" w:hAnsi="Arial" w:cs="Arial"/>
        </w:rPr>
        <w:t xml:space="preserve">2.  </w:t>
      </w:r>
      <w:r>
        <w:rPr>
          <w:rFonts w:ascii="Arial" w:hAnsi="Arial" w:cs="Arial"/>
        </w:rPr>
        <w:t xml:space="preserve">One </w:t>
      </w:r>
      <w:r w:rsidRPr="00A7779A">
        <w:rPr>
          <w:rFonts w:ascii="Arial" w:hAnsi="Arial" w:cs="Arial"/>
        </w:rPr>
        <w:t>2 hour Exam [50% of Module Grade]</w:t>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ind w:left="142"/>
        <w:textAlignment w:val="baseline"/>
        <w:rPr>
          <w:rFonts w:ascii="Arial" w:eastAsia="Times New Roman" w:hAnsi="Arial" w:cs="Arial"/>
          <w:lang w:val="en-GB" w:eastAsia="en-GB"/>
        </w:rPr>
      </w:pP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A7779A">
        <w:rPr>
          <w:rFonts w:ascii="Arial" w:eastAsia="Times New Roman" w:hAnsi="Arial" w:cs="Arial"/>
          <w:b/>
          <w:lang w:val="en-GB" w:eastAsia="en-GB"/>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D50E7D" w:rsidRPr="00A7779A" w:rsidTr="005E1CE0">
        <w:tc>
          <w:tcPr>
            <w:tcW w:w="3261" w:type="dxa"/>
            <w:tcBorders>
              <w:top w:val="single" w:sz="4" w:space="0" w:color="auto"/>
              <w:left w:val="single" w:sz="4" w:space="0" w:color="auto"/>
            </w:tcBorders>
          </w:tcPr>
          <w:p w:rsidR="00D50E7D" w:rsidRPr="00A7779A" w:rsidRDefault="00D50E7D" w:rsidP="005E1CE0">
            <w:pPr>
              <w:spacing w:after="0" w:line="240" w:lineRule="auto"/>
              <w:rPr>
                <w:rFonts w:ascii="Arial" w:hAnsi="Arial" w:cs="Arial"/>
                <w:b/>
              </w:rPr>
            </w:pPr>
            <w:r w:rsidRPr="00A7779A">
              <w:rPr>
                <w:rFonts w:ascii="Arial" w:hAnsi="Arial" w:cs="Arial"/>
                <w:b/>
              </w:rPr>
              <w:t>Activity type</w:t>
            </w:r>
          </w:p>
        </w:tc>
        <w:tc>
          <w:tcPr>
            <w:tcW w:w="1842" w:type="dxa"/>
          </w:tcPr>
          <w:p w:rsidR="00D50E7D" w:rsidRPr="00A7779A" w:rsidRDefault="00D50E7D" w:rsidP="005E1CE0">
            <w:pPr>
              <w:spacing w:after="0" w:line="240" w:lineRule="auto"/>
              <w:jc w:val="center"/>
              <w:rPr>
                <w:rFonts w:ascii="Arial" w:hAnsi="Arial" w:cs="Arial"/>
                <w:b/>
              </w:rPr>
            </w:pPr>
            <w:r w:rsidRPr="00A7779A">
              <w:rPr>
                <w:rFonts w:ascii="Arial" w:hAnsi="Arial" w:cs="Arial"/>
                <w:b/>
              </w:rPr>
              <w:t>Percentage</w:t>
            </w:r>
          </w:p>
        </w:tc>
      </w:tr>
      <w:tr w:rsidR="00D50E7D" w:rsidRPr="00A7779A" w:rsidTr="005E1CE0">
        <w:tc>
          <w:tcPr>
            <w:tcW w:w="3261" w:type="dxa"/>
          </w:tcPr>
          <w:p w:rsidR="00D50E7D" w:rsidRPr="00A7779A" w:rsidRDefault="00D50E7D" w:rsidP="005E1CE0">
            <w:pPr>
              <w:spacing w:after="0" w:line="240" w:lineRule="auto"/>
              <w:rPr>
                <w:rFonts w:ascii="Arial" w:hAnsi="Arial" w:cs="Arial"/>
              </w:rPr>
            </w:pPr>
            <w:r w:rsidRPr="00A7779A">
              <w:rPr>
                <w:rFonts w:ascii="Arial" w:hAnsi="Arial" w:cs="Arial"/>
              </w:rPr>
              <w:t>Written exam</w:t>
            </w:r>
          </w:p>
        </w:tc>
        <w:tc>
          <w:tcPr>
            <w:tcW w:w="1842" w:type="dxa"/>
          </w:tcPr>
          <w:p w:rsidR="00D50E7D" w:rsidRPr="00A7779A" w:rsidRDefault="00D50E7D" w:rsidP="005E1CE0">
            <w:pPr>
              <w:spacing w:after="0" w:line="240" w:lineRule="auto"/>
              <w:jc w:val="center"/>
              <w:rPr>
                <w:rFonts w:ascii="Arial" w:hAnsi="Arial" w:cs="Arial"/>
              </w:rPr>
            </w:pPr>
            <w:r w:rsidRPr="00A7779A">
              <w:rPr>
                <w:rFonts w:ascii="Arial" w:hAnsi="Arial" w:cs="Arial"/>
              </w:rPr>
              <w:t>50</w:t>
            </w:r>
          </w:p>
        </w:tc>
      </w:tr>
      <w:tr w:rsidR="00D50E7D" w:rsidRPr="00A7779A" w:rsidTr="005E1CE0">
        <w:tc>
          <w:tcPr>
            <w:tcW w:w="3261" w:type="dxa"/>
          </w:tcPr>
          <w:p w:rsidR="00D50E7D" w:rsidRPr="00A7779A" w:rsidRDefault="00D50E7D" w:rsidP="005E1CE0">
            <w:pPr>
              <w:spacing w:after="0" w:line="240" w:lineRule="auto"/>
              <w:rPr>
                <w:rFonts w:ascii="Arial" w:hAnsi="Arial" w:cs="Arial"/>
              </w:rPr>
            </w:pPr>
            <w:r w:rsidRPr="00A7779A">
              <w:rPr>
                <w:rFonts w:ascii="Arial" w:hAnsi="Arial" w:cs="Arial"/>
              </w:rPr>
              <w:t>Coursework</w:t>
            </w:r>
          </w:p>
        </w:tc>
        <w:tc>
          <w:tcPr>
            <w:tcW w:w="1842" w:type="dxa"/>
          </w:tcPr>
          <w:p w:rsidR="00D50E7D" w:rsidRPr="00A7779A" w:rsidRDefault="00D50E7D" w:rsidP="005E1CE0">
            <w:pPr>
              <w:spacing w:after="0" w:line="240" w:lineRule="auto"/>
              <w:jc w:val="center"/>
              <w:rPr>
                <w:rFonts w:ascii="Arial" w:hAnsi="Arial" w:cs="Arial"/>
              </w:rPr>
            </w:pPr>
            <w:r w:rsidRPr="00A7779A">
              <w:rPr>
                <w:rFonts w:ascii="Arial" w:hAnsi="Arial" w:cs="Arial"/>
              </w:rPr>
              <w:t>50</w:t>
            </w:r>
          </w:p>
        </w:tc>
      </w:tr>
      <w:tr w:rsidR="00D50E7D" w:rsidRPr="00A7779A" w:rsidTr="005E1CE0">
        <w:tc>
          <w:tcPr>
            <w:tcW w:w="3261" w:type="dxa"/>
          </w:tcPr>
          <w:p w:rsidR="00D50E7D" w:rsidRPr="00A7779A" w:rsidRDefault="00D50E7D" w:rsidP="005E1CE0">
            <w:pPr>
              <w:spacing w:after="0" w:line="240" w:lineRule="auto"/>
              <w:rPr>
                <w:rFonts w:ascii="Arial" w:hAnsi="Arial" w:cs="Arial"/>
              </w:rPr>
            </w:pPr>
            <w:r w:rsidRPr="00A7779A">
              <w:rPr>
                <w:rFonts w:ascii="Arial" w:hAnsi="Arial" w:cs="Arial"/>
              </w:rPr>
              <w:t>Practical</w:t>
            </w:r>
          </w:p>
        </w:tc>
        <w:tc>
          <w:tcPr>
            <w:tcW w:w="1842" w:type="dxa"/>
          </w:tcPr>
          <w:p w:rsidR="00D50E7D" w:rsidRPr="00A7779A" w:rsidRDefault="00D50E7D" w:rsidP="005E1CE0">
            <w:pPr>
              <w:spacing w:after="0" w:line="240" w:lineRule="auto"/>
              <w:jc w:val="center"/>
              <w:rPr>
                <w:rFonts w:ascii="Arial" w:hAnsi="Arial" w:cs="Arial"/>
              </w:rPr>
            </w:pPr>
            <w:r w:rsidRPr="00A7779A">
              <w:rPr>
                <w:rFonts w:ascii="Arial" w:hAnsi="Arial" w:cs="Arial"/>
              </w:rPr>
              <w:t>0</w:t>
            </w:r>
          </w:p>
        </w:tc>
      </w:tr>
      <w:tr w:rsidR="00D50E7D" w:rsidRPr="00A7779A" w:rsidTr="005E1CE0">
        <w:tc>
          <w:tcPr>
            <w:tcW w:w="3261" w:type="dxa"/>
          </w:tcPr>
          <w:p w:rsidR="00D50E7D" w:rsidRPr="00A7779A" w:rsidRDefault="00D50E7D" w:rsidP="005E1CE0">
            <w:pPr>
              <w:spacing w:after="0" w:line="240" w:lineRule="auto"/>
              <w:rPr>
                <w:rFonts w:ascii="Arial" w:hAnsi="Arial" w:cs="Arial"/>
              </w:rPr>
            </w:pPr>
            <w:r w:rsidRPr="00A7779A">
              <w:rPr>
                <w:rFonts w:ascii="Arial" w:hAnsi="Arial" w:cs="Arial"/>
                <w:b/>
              </w:rPr>
              <w:t>TOTAL</w:t>
            </w:r>
          </w:p>
        </w:tc>
        <w:tc>
          <w:tcPr>
            <w:tcW w:w="1842" w:type="dxa"/>
          </w:tcPr>
          <w:p w:rsidR="00D50E7D" w:rsidRPr="00A7779A" w:rsidRDefault="00D50E7D" w:rsidP="005E1CE0">
            <w:pPr>
              <w:spacing w:after="0" w:line="240" w:lineRule="auto"/>
              <w:jc w:val="center"/>
              <w:rPr>
                <w:rFonts w:ascii="Arial" w:hAnsi="Arial" w:cs="Arial"/>
                <w:b/>
              </w:rPr>
            </w:pPr>
            <w:r w:rsidRPr="00A7779A">
              <w:rPr>
                <w:rFonts w:ascii="Arial" w:hAnsi="Arial" w:cs="Arial"/>
                <w:b/>
              </w:rPr>
              <w:t>100%</w:t>
            </w:r>
          </w:p>
        </w:tc>
      </w:tr>
    </w:tbl>
    <w:p w:rsidR="00D50E7D" w:rsidRPr="00A7779A" w:rsidRDefault="00D50E7D" w:rsidP="00D50E7D">
      <w:pPr>
        <w:spacing w:after="0" w:line="240" w:lineRule="auto"/>
        <w:rPr>
          <w:rFonts w:ascii="Arial" w:hAnsi="Arial" w:cs="Arial"/>
        </w:rPr>
      </w:pPr>
    </w:p>
    <w:p w:rsidR="00D50E7D" w:rsidRPr="00A7779A" w:rsidRDefault="00D50E7D" w:rsidP="00D50E7D">
      <w:pPr>
        <w:spacing w:after="0" w:line="240" w:lineRule="auto"/>
        <w:rPr>
          <w:rFonts w:ascii="Arial" w:hAnsi="Arial" w:cs="Arial"/>
          <w:b/>
        </w:rPr>
      </w:pPr>
    </w:p>
    <w:p w:rsidR="00D50E7D" w:rsidRPr="00A7779A" w:rsidRDefault="00D50E7D" w:rsidP="00D50E7D">
      <w:pPr>
        <w:spacing w:after="0" w:line="240" w:lineRule="auto"/>
        <w:rPr>
          <w:rFonts w:ascii="Arial" w:hAnsi="Arial" w:cs="Arial"/>
          <w:b/>
        </w:rPr>
      </w:pPr>
    </w:p>
    <w:p w:rsidR="00D50E7D" w:rsidRPr="00A7779A" w:rsidRDefault="00D50E7D" w:rsidP="00D50E7D">
      <w:pPr>
        <w:spacing w:after="0" w:line="240" w:lineRule="auto"/>
        <w:rPr>
          <w:rFonts w:ascii="Arial" w:hAnsi="Arial" w:cs="Arial"/>
          <w:b/>
        </w:rPr>
      </w:pPr>
    </w:p>
    <w:p w:rsidR="00D50E7D" w:rsidRPr="00A7779A" w:rsidRDefault="00D50E7D" w:rsidP="00D50E7D">
      <w:pPr>
        <w:spacing w:after="0" w:line="240" w:lineRule="auto"/>
        <w:rPr>
          <w:rFonts w:ascii="Arial" w:hAnsi="Arial" w:cs="Arial"/>
          <w:b/>
        </w:rPr>
      </w:pPr>
    </w:p>
    <w:p w:rsidR="00D50E7D" w:rsidRPr="00A7779A" w:rsidRDefault="00D50E7D" w:rsidP="00D50E7D">
      <w:pPr>
        <w:spacing w:after="0" w:line="240" w:lineRule="auto"/>
        <w:rPr>
          <w:rFonts w:ascii="Arial" w:hAnsi="Arial" w:cs="Arial"/>
          <w:b/>
        </w:rPr>
      </w:pPr>
    </w:p>
    <w:p w:rsidR="00D50E7D" w:rsidRPr="00A7779A" w:rsidRDefault="00D50E7D" w:rsidP="00D50E7D">
      <w:pPr>
        <w:spacing w:after="0" w:line="240" w:lineRule="auto"/>
        <w:rPr>
          <w:rFonts w:ascii="Arial" w:hAnsi="Arial" w:cs="Arial"/>
          <w:b/>
        </w:rPr>
      </w:pP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EDUCATION FOR SUSTAINABLE DEVELOPMENT (ESD)</w:t>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
        <w:tblW w:w="0" w:type="auto"/>
        <w:tblLook w:val="04A0" w:firstRow="1" w:lastRow="0" w:firstColumn="1" w:lastColumn="0" w:noHBand="0" w:noVBand="1"/>
      </w:tblPr>
      <w:tblGrid>
        <w:gridCol w:w="4443"/>
        <w:gridCol w:w="4443"/>
      </w:tblGrid>
      <w:tr w:rsidR="00D50E7D" w:rsidRPr="00A7779A" w:rsidTr="005E1CE0">
        <w:tc>
          <w:tcPr>
            <w:tcW w:w="4443" w:type="dxa"/>
            <w:vMerge w:val="restart"/>
            <w:vAlign w:val="center"/>
          </w:tcPr>
          <w:p w:rsidR="00D50E7D" w:rsidRPr="00A7779A" w:rsidRDefault="00D50E7D" w:rsidP="005E1CE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rPr>
            </w:pPr>
            <w:r w:rsidRPr="00A7779A">
              <w:rPr>
                <w:rFonts w:ascii="Arial" w:eastAsia="Times New Roman" w:hAnsi="Arial" w:cs="Arial"/>
                <w:lang w:val="en-GB"/>
              </w:rPr>
              <w:t>Does the module contribute to ESD?</w:t>
            </w:r>
          </w:p>
        </w:tc>
        <w:tc>
          <w:tcPr>
            <w:tcW w:w="4443" w:type="dxa"/>
            <w:vAlign w:val="center"/>
          </w:tcPr>
          <w:p w:rsidR="00D50E7D" w:rsidRPr="00A7779A" w:rsidRDefault="00D50E7D" w:rsidP="005E1CE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rPr>
            </w:pPr>
            <w:r w:rsidRPr="00A7779A">
              <w:rPr>
                <w:rFonts w:ascii="Arial" w:eastAsia="Times New Roman" w:hAnsi="Arial" w:cs="Arial"/>
                <w:lang w:val="en-GB"/>
              </w:rPr>
              <w:t>Yes</w:t>
            </w:r>
          </w:p>
          <w:p w:rsidR="00D50E7D" w:rsidRPr="00A7779A" w:rsidRDefault="00D50E7D" w:rsidP="005E1CE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p>
        </w:tc>
      </w:tr>
      <w:tr w:rsidR="00D50E7D" w:rsidRPr="00A7779A" w:rsidTr="005E1CE0">
        <w:tc>
          <w:tcPr>
            <w:tcW w:w="4443" w:type="dxa"/>
            <w:vMerge/>
          </w:tcPr>
          <w:p w:rsidR="00D50E7D" w:rsidRPr="00A7779A" w:rsidRDefault="00D50E7D" w:rsidP="005E1CE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rPr>
            </w:pPr>
          </w:p>
        </w:tc>
        <w:tc>
          <w:tcPr>
            <w:tcW w:w="4443" w:type="dxa"/>
            <w:vAlign w:val="center"/>
          </w:tcPr>
          <w:p w:rsidR="00D50E7D" w:rsidRDefault="00D50E7D" w:rsidP="005E1CE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rPr>
            </w:pPr>
            <w:r w:rsidRPr="00A7779A">
              <w:rPr>
                <w:rFonts w:ascii="Arial" w:eastAsia="Times New Roman" w:hAnsi="Arial" w:cs="Arial"/>
                <w:lang w:val="en-GB"/>
              </w:rPr>
              <w:t>No</w:t>
            </w:r>
          </w:p>
          <w:p w:rsidR="00D50E7D" w:rsidRPr="00A7779A" w:rsidRDefault="00D50E7D" w:rsidP="005E1CE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rPr>
            </w:pPr>
            <w:r>
              <w:rPr>
                <w:rFonts w:ascii="Arial" w:eastAsia="Times New Roman" w:hAnsi="Arial" w:cs="Arial"/>
                <w:lang w:val="en-GB"/>
              </w:rPr>
              <w:t>X</w:t>
            </w:r>
          </w:p>
          <w:p w:rsidR="00D50E7D" w:rsidRPr="00A7779A" w:rsidRDefault="00D50E7D" w:rsidP="005E1CE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p>
        </w:tc>
      </w:tr>
      <w:tr w:rsidR="00D50E7D" w:rsidRPr="00A7779A" w:rsidTr="005E1CE0">
        <w:tc>
          <w:tcPr>
            <w:tcW w:w="8886" w:type="dxa"/>
            <w:gridSpan w:val="2"/>
          </w:tcPr>
          <w:p w:rsidR="00D50E7D" w:rsidRPr="00A7779A" w:rsidRDefault="00D50E7D" w:rsidP="005E1CE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rPr>
            </w:pPr>
            <w:r w:rsidRPr="00A7779A">
              <w:rPr>
                <w:rFonts w:ascii="Arial" w:eastAsia="Times New Roman" w:hAnsi="Arial" w:cs="Arial"/>
                <w:lang w:val="en-GB"/>
              </w:rPr>
              <w:t>If yes please provide brief details (no more than 100 words):</w:t>
            </w:r>
          </w:p>
          <w:p w:rsidR="00D50E7D" w:rsidRPr="00A7779A" w:rsidRDefault="00D50E7D" w:rsidP="005E1CE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p>
          <w:p w:rsidR="00D50E7D" w:rsidRPr="00A7779A" w:rsidRDefault="00D50E7D" w:rsidP="005E1CE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p>
        </w:tc>
      </w:tr>
    </w:tbl>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BIBLIOGRAPHY</w:t>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7779A">
        <w:rPr>
          <w:rFonts w:ascii="Arial" w:eastAsia="Times New Roman" w:hAnsi="Arial" w:cs="Arial"/>
          <w:b/>
          <w:lang w:val="en-GB" w:eastAsia="en-GB"/>
        </w:rPr>
        <w:t>Essential</w:t>
      </w:r>
    </w:p>
    <w:p w:rsidR="00D50E7D" w:rsidRDefault="00D50E7D" w:rsidP="00D50E7D">
      <w:pPr>
        <w:spacing w:after="0"/>
        <w:rPr>
          <w:rFonts w:ascii="Arial" w:hAnsi="Arial" w:cs="Arial"/>
        </w:rPr>
      </w:pPr>
      <w:r>
        <w:rPr>
          <w:rFonts w:ascii="Arial" w:hAnsi="Arial" w:cs="Arial"/>
        </w:rPr>
        <w:t>G. Watt 2014 Equity and Trust Law Directions 4</w:t>
      </w:r>
      <w:r w:rsidRPr="00EB427B">
        <w:rPr>
          <w:rFonts w:ascii="Arial" w:hAnsi="Arial" w:cs="Arial"/>
          <w:vertAlign w:val="superscript"/>
        </w:rPr>
        <w:t>th</w:t>
      </w:r>
      <w:r>
        <w:rPr>
          <w:rFonts w:ascii="Arial" w:hAnsi="Arial" w:cs="Arial"/>
        </w:rPr>
        <w:t xml:space="preserve"> edition Oxford University Press</w:t>
      </w:r>
    </w:p>
    <w:p w:rsidR="00D50E7D" w:rsidRDefault="00D50E7D" w:rsidP="00D50E7D">
      <w:pPr>
        <w:spacing w:after="0"/>
        <w:rPr>
          <w:rFonts w:ascii="Arial" w:hAnsi="Arial" w:cs="Arial"/>
        </w:rPr>
      </w:pPr>
      <w:r>
        <w:rPr>
          <w:rFonts w:ascii="Arial" w:hAnsi="Arial" w:cs="Arial"/>
        </w:rPr>
        <w:t>G. Watt 2013 Todd &amp; Watt’s Cases and Materials on Equity and Trusts 9</w:t>
      </w:r>
      <w:r w:rsidRPr="00EB427B">
        <w:rPr>
          <w:rFonts w:ascii="Arial" w:hAnsi="Arial" w:cs="Arial"/>
          <w:vertAlign w:val="superscript"/>
        </w:rPr>
        <w:t>th</w:t>
      </w:r>
      <w:r>
        <w:rPr>
          <w:rFonts w:ascii="Arial" w:hAnsi="Arial" w:cs="Arial"/>
        </w:rPr>
        <w:t xml:space="preserve"> Edition Oxford University Press. </w:t>
      </w:r>
    </w:p>
    <w:p w:rsidR="00D50E7D" w:rsidRPr="00A7779A" w:rsidRDefault="00D50E7D" w:rsidP="00D50E7D">
      <w:pPr>
        <w:spacing w:after="0"/>
        <w:rPr>
          <w:rFonts w:ascii="Arial" w:hAnsi="Arial" w:cs="Arial"/>
        </w:rPr>
      </w:pP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7779A">
        <w:rPr>
          <w:rFonts w:ascii="Arial" w:eastAsia="Times New Roman" w:hAnsi="Arial" w:cs="Arial"/>
          <w:b/>
          <w:lang w:val="en-GB" w:eastAsia="en-GB"/>
        </w:rPr>
        <w:t>Recommended</w:t>
      </w:r>
    </w:p>
    <w:p w:rsidR="00D50E7D" w:rsidRPr="00A7779A" w:rsidRDefault="00D50E7D" w:rsidP="00D50E7D">
      <w:pPr>
        <w:spacing w:after="0"/>
        <w:rPr>
          <w:rFonts w:ascii="Arial" w:hAnsi="Arial" w:cs="Arial"/>
        </w:rPr>
      </w:pPr>
    </w:p>
    <w:p w:rsidR="00D50E7D" w:rsidRDefault="00D50E7D" w:rsidP="00D50E7D">
      <w:pPr>
        <w:spacing w:after="0"/>
        <w:rPr>
          <w:rFonts w:ascii="Arial" w:hAnsi="Arial" w:cs="Arial"/>
        </w:rPr>
      </w:pPr>
      <w:r>
        <w:rPr>
          <w:rFonts w:ascii="Arial" w:hAnsi="Arial" w:cs="Arial"/>
        </w:rPr>
        <w:t xml:space="preserve">R. </w:t>
      </w:r>
      <w:proofErr w:type="spellStart"/>
      <w:r>
        <w:rPr>
          <w:rFonts w:ascii="Arial" w:hAnsi="Arial" w:cs="Arial"/>
        </w:rPr>
        <w:t>clements</w:t>
      </w:r>
      <w:proofErr w:type="spellEnd"/>
      <w:r>
        <w:rPr>
          <w:rFonts w:ascii="Arial" w:hAnsi="Arial" w:cs="Arial"/>
        </w:rPr>
        <w:t xml:space="preserve"> &amp; A. </w:t>
      </w:r>
      <w:proofErr w:type="spellStart"/>
      <w:r>
        <w:rPr>
          <w:rFonts w:ascii="Arial" w:hAnsi="Arial" w:cs="Arial"/>
        </w:rPr>
        <w:t>Abass</w:t>
      </w:r>
      <w:proofErr w:type="spellEnd"/>
      <w:r>
        <w:rPr>
          <w:rFonts w:ascii="Arial" w:hAnsi="Arial" w:cs="Arial"/>
        </w:rPr>
        <w:t xml:space="preserve"> 2015 Complete Equity and Trusts: Text, Cases and Materials 4</w:t>
      </w:r>
      <w:r w:rsidRPr="00EB427B">
        <w:rPr>
          <w:rFonts w:ascii="Arial" w:hAnsi="Arial" w:cs="Arial"/>
          <w:vertAlign w:val="superscript"/>
        </w:rPr>
        <w:t>th</w:t>
      </w:r>
      <w:r>
        <w:rPr>
          <w:rFonts w:ascii="Arial" w:hAnsi="Arial" w:cs="Arial"/>
        </w:rPr>
        <w:t xml:space="preserve"> Edition Oxford University Press. </w:t>
      </w:r>
    </w:p>
    <w:p w:rsidR="00D50E7D" w:rsidRDefault="00D50E7D" w:rsidP="00D50E7D">
      <w:pPr>
        <w:spacing w:after="0"/>
        <w:rPr>
          <w:rFonts w:ascii="Arial" w:hAnsi="Arial" w:cs="Arial"/>
        </w:rPr>
      </w:pPr>
      <w:r>
        <w:rPr>
          <w:rFonts w:ascii="Arial" w:hAnsi="Arial" w:cs="Arial"/>
        </w:rPr>
        <w:t>G. Watt 2014 Trusts and Equity 6</w:t>
      </w:r>
      <w:r w:rsidRPr="00EB427B">
        <w:rPr>
          <w:rFonts w:ascii="Arial" w:hAnsi="Arial" w:cs="Arial"/>
          <w:vertAlign w:val="superscript"/>
        </w:rPr>
        <w:t>th</w:t>
      </w:r>
      <w:r>
        <w:rPr>
          <w:rFonts w:ascii="Arial" w:hAnsi="Arial" w:cs="Arial"/>
        </w:rPr>
        <w:t xml:space="preserve"> edition Oxford University Press </w:t>
      </w:r>
    </w:p>
    <w:p w:rsidR="00D50E7D" w:rsidRDefault="00D50E7D" w:rsidP="00D50E7D">
      <w:pPr>
        <w:spacing w:after="0"/>
        <w:rPr>
          <w:rFonts w:ascii="Arial" w:hAnsi="Arial" w:cs="Arial"/>
        </w:rPr>
      </w:pPr>
      <w:r>
        <w:rPr>
          <w:rFonts w:ascii="Arial" w:hAnsi="Arial" w:cs="Arial"/>
        </w:rPr>
        <w:lastRenderedPageBreak/>
        <w:t>S. Wilson 2015 Todd and Wilson’s Textbook on Trusts and Equity 12</w:t>
      </w:r>
      <w:r w:rsidRPr="00EB427B">
        <w:rPr>
          <w:rFonts w:ascii="Arial" w:hAnsi="Arial" w:cs="Arial"/>
          <w:vertAlign w:val="superscript"/>
        </w:rPr>
        <w:t>th</w:t>
      </w:r>
      <w:r>
        <w:rPr>
          <w:rFonts w:ascii="Arial" w:hAnsi="Arial" w:cs="Arial"/>
        </w:rPr>
        <w:t xml:space="preserve"> Edition Oxford University Press</w:t>
      </w:r>
    </w:p>
    <w:p w:rsidR="00D50E7D" w:rsidRDefault="00D50E7D" w:rsidP="00D50E7D">
      <w:pPr>
        <w:spacing w:after="0"/>
        <w:rPr>
          <w:rFonts w:ascii="Arial" w:hAnsi="Arial" w:cs="Arial"/>
        </w:rPr>
      </w:pPr>
      <w:r>
        <w:rPr>
          <w:rFonts w:ascii="Arial" w:hAnsi="Arial" w:cs="Arial"/>
        </w:rPr>
        <w:t>G. Virgo 2012 The Principles of Equity and Trusts 1</w:t>
      </w:r>
      <w:r w:rsidRPr="00EB427B">
        <w:rPr>
          <w:rFonts w:ascii="Arial" w:hAnsi="Arial" w:cs="Arial"/>
          <w:vertAlign w:val="superscript"/>
        </w:rPr>
        <w:t>st</w:t>
      </w:r>
      <w:r>
        <w:rPr>
          <w:rFonts w:ascii="Arial" w:hAnsi="Arial" w:cs="Arial"/>
        </w:rPr>
        <w:t xml:space="preserve"> edition Oxford University Press </w:t>
      </w:r>
    </w:p>
    <w:p w:rsidR="00D50E7D" w:rsidRDefault="00D50E7D" w:rsidP="00D50E7D">
      <w:pPr>
        <w:spacing w:after="0"/>
        <w:rPr>
          <w:rFonts w:ascii="Arial" w:hAnsi="Arial" w:cs="Arial"/>
        </w:rPr>
      </w:pP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7779A">
        <w:rPr>
          <w:rFonts w:ascii="Arial" w:eastAsia="Times New Roman" w:hAnsi="Arial" w:cs="Arial"/>
          <w:b/>
          <w:lang w:val="en-GB" w:eastAsia="en-GB"/>
        </w:rPr>
        <w:t>Background</w:t>
      </w:r>
    </w:p>
    <w:p w:rsidR="00D50E7D" w:rsidRPr="00A7779A" w:rsidRDefault="00D50E7D" w:rsidP="00D50E7D">
      <w:pPr>
        <w:spacing w:after="0"/>
        <w:rPr>
          <w:rFonts w:ascii="Arial" w:hAnsi="Arial" w:cs="Arial"/>
        </w:rPr>
      </w:pPr>
      <w:r w:rsidRPr="00A7779A">
        <w:rPr>
          <w:rFonts w:ascii="Arial" w:hAnsi="Arial" w:cs="Arial"/>
        </w:rPr>
        <w:t xml:space="preserve">Students will use the </w:t>
      </w:r>
      <w:proofErr w:type="gramStart"/>
      <w:r w:rsidRPr="00A7779A">
        <w:rPr>
          <w:rFonts w:ascii="Arial" w:hAnsi="Arial" w:cs="Arial"/>
        </w:rPr>
        <w:t>generic  Blackstone’s</w:t>
      </w:r>
      <w:proofErr w:type="gramEnd"/>
      <w:r w:rsidRPr="00A7779A">
        <w:rPr>
          <w:rFonts w:ascii="Arial" w:hAnsi="Arial" w:cs="Arial"/>
        </w:rPr>
        <w:t xml:space="preserve"> statutes </w:t>
      </w:r>
    </w:p>
    <w:p w:rsidR="00D50E7D" w:rsidRDefault="00D50E7D" w:rsidP="00D50E7D">
      <w:pPr>
        <w:spacing w:after="0" w:line="240" w:lineRule="auto"/>
        <w:rPr>
          <w:rFonts w:ascii="Arial" w:hAnsi="Arial" w:cs="Arial"/>
        </w:rPr>
      </w:pPr>
    </w:p>
    <w:p w:rsidR="00D50E7D" w:rsidRDefault="00D50E7D" w:rsidP="00D50E7D">
      <w:pPr>
        <w:spacing w:after="0" w:line="240" w:lineRule="auto"/>
        <w:rPr>
          <w:rFonts w:ascii="Arial" w:hAnsi="Arial" w:cs="Arial"/>
        </w:rPr>
      </w:pPr>
      <w:r>
        <w:rPr>
          <w:rFonts w:ascii="Arial" w:hAnsi="Arial" w:cs="Arial"/>
        </w:rPr>
        <w:t xml:space="preserve">Edwards &amp; </w:t>
      </w:r>
      <w:proofErr w:type="spellStart"/>
      <w:r>
        <w:rPr>
          <w:rFonts w:ascii="Arial" w:hAnsi="Arial" w:cs="Arial"/>
        </w:rPr>
        <w:t>Stockwell</w:t>
      </w:r>
      <w:proofErr w:type="spellEnd"/>
      <w:r>
        <w:rPr>
          <w:rFonts w:ascii="Arial" w:hAnsi="Arial" w:cs="Arial"/>
        </w:rPr>
        <w:t xml:space="preserve"> 2015 Trusts and Equity 12</w:t>
      </w:r>
      <w:r w:rsidRPr="00EB427B">
        <w:rPr>
          <w:rFonts w:ascii="Arial" w:hAnsi="Arial" w:cs="Arial"/>
          <w:vertAlign w:val="superscript"/>
        </w:rPr>
        <w:t>th</w:t>
      </w:r>
      <w:r>
        <w:rPr>
          <w:rFonts w:ascii="Arial" w:hAnsi="Arial" w:cs="Arial"/>
        </w:rPr>
        <w:t xml:space="preserve"> </w:t>
      </w:r>
      <w:proofErr w:type="gramStart"/>
      <w:r>
        <w:rPr>
          <w:rFonts w:ascii="Arial" w:hAnsi="Arial" w:cs="Arial"/>
        </w:rPr>
        <w:t>Edition  Pearson</w:t>
      </w:r>
      <w:proofErr w:type="gramEnd"/>
    </w:p>
    <w:p w:rsidR="00D50E7D" w:rsidRDefault="00D50E7D" w:rsidP="00D50E7D">
      <w:pPr>
        <w:spacing w:after="0" w:line="240" w:lineRule="auto"/>
        <w:rPr>
          <w:rFonts w:ascii="Arial" w:hAnsi="Arial" w:cs="Arial"/>
        </w:rPr>
      </w:pPr>
      <w:r>
        <w:rPr>
          <w:rFonts w:ascii="Arial" w:hAnsi="Arial" w:cs="Arial"/>
        </w:rPr>
        <w:t xml:space="preserve">Huws </w:t>
      </w:r>
      <w:proofErr w:type="gramStart"/>
      <w:r>
        <w:rPr>
          <w:rFonts w:ascii="Arial" w:hAnsi="Arial" w:cs="Arial"/>
        </w:rPr>
        <w:t xml:space="preserve">2014  </w:t>
      </w:r>
      <w:r w:rsidRPr="00F57C64">
        <w:rPr>
          <w:rFonts w:ascii="Arial" w:hAnsi="Arial" w:cs="Arial"/>
        </w:rPr>
        <w:t>Text</w:t>
      </w:r>
      <w:proofErr w:type="gramEnd"/>
      <w:r w:rsidRPr="00F57C64">
        <w:rPr>
          <w:rFonts w:ascii="Arial" w:hAnsi="Arial" w:cs="Arial"/>
        </w:rPr>
        <w:t>, Cases and Materials on Equity and Trusts</w:t>
      </w:r>
      <w:r>
        <w:rPr>
          <w:rFonts w:ascii="Arial" w:hAnsi="Arial" w:cs="Arial"/>
        </w:rPr>
        <w:t xml:space="preserve"> Pearson </w:t>
      </w: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7779A">
        <w:rPr>
          <w:rFonts w:ascii="Arial" w:eastAsia="Times New Roman" w:hAnsi="Arial" w:cs="Arial"/>
          <w:b/>
          <w:lang w:val="en-GB" w:eastAsia="en-GB"/>
        </w:rPr>
        <w:t xml:space="preserve">Journals </w:t>
      </w:r>
    </w:p>
    <w:p w:rsidR="00D50E7D" w:rsidRPr="00A7779A" w:rsidRDefault="00D50E7D" w:rsidP="00D50E7D">
      <w:pPr>
        <w:spacing w:after="0" w:line="240" w:lineRule="auto"/>
        <w:rPr>
          <w:rFonts w:ascii="Arial" w:hAnsi="Arial" w:cs="Arial"/>
        </w:rPr>
      </w:pPr>
    </w:p>
    <w:p w:rsidR="00D50E7D" w:rsidRPr="00A7779A" w:rsidRDefault="00D50E7D" w:rsidP="00D50E7D">
      <w:pPr>
        <w:spacing w:after="0" w:line="240" w:lineRule="auto"/>
        <w:rPr>
          <w:rFonts w:ascii="Arial" w:hAnsi="Arial" w:cs="Arial"/>
        </w:rPr>
      </w:pPr>
      <w:r w:rsidRPr="00A7779A">
        <w:rPr>
          <w:rFonts w:ascii="Arial" w:hAnsi="Arial" w:cs="Arial"/>
        </w:rPr>
        <w:t>The Conveyancer and Property Lawyer</w:t>
      </w:r>
    </w:p>
    <w:p w:rsidR="00D50E7D" w:rsidRPr="00A7779A" w:rsidRDefault="00D50E7D" w:rsidP="00D50E7D">
      <w:pPr>
        <w:spacing w:after="0" w:line="240" w:lineRule="auto"/>
        <w:rPr>
          <w:rFonts w:ascii="Arial" w:hAnsi="Arial" w:cs="Arial"/>
        </w:rPr>
      </w:pPr>
      <w:r w:rsidRPr="00A7779A">
        <w:rPr>
          <w:rFonts w:ascii="Arial" w:hAnsi="Arial" w:cs="Arial"/>
        </w:rPr>
        <w:t>Trusts and Estates Journal</w:t>
      </w:r>
    </w:p>
    <w:p w:rsidR="00D50E7D" w:rsidRPr="00A7779A" w:rsidRDefault="00D50E7D" w:rsidP="00D50E7D">
      <w:pPr>
        <w:spacing w:after="0" w:line="240" w:lineRule="auto"/>
        <w:rPr>
          <w:rFonts w:ascii="Arial" w:hAnsi="Arial" w:cs="Arial"/>
        </w:rPr>
      </w:pPr>
      <w:r w:rsidRPr="00A7779A">
        <w:rPr>
          <w:rFonts w:ascii="Arial" w:hAnsi="Arial" w:cs="Arial"/>
        </w:rPr>
        <w:t>Trusts Law International</w:t>
      </w:r>
    </w:p>
    <w:p w:rsidR="00D50E7D" w:rsidRPr="00A7779A" w:rsidRDefault="00D50E7D" w:rsidP="00D50E7D">
      <w:pPr>
        <w:spacing w:after="0" w:line="240" w:lineRule="auto"/>
        <w:rPr>
          <w:rFonts w:ascii="Arial" w:hAnsi="Arial" w:cs="Arial"/>
        </w:rPr>
      </w:pPr>
      <w:r w:rsidRPr="00A7779A">
        <w:rPr>
          <w:rFonts w:ascii="Arial" w:hAnsi="Arial" w:cs="Arial"/>
        </w:rPr>
        <w:t>Criminal Law review</w:t>
      </w:r>
    </w:p>
    <w:p w:rsidR="00D50E7D" w:rsidRPr="00A7779A" w:rsidRDefault="00D50E7D" w:rsidP="00D50E7D">
      <w:pPr>
        <w:spacing w:after="0" w:line="240" w:lineRule="auto"/>
        <w:rPr>
          <w:rFonts w:ascii="Arial" w:hAnsi="Arial" w:cs="Arial"/>
        </w:rPr>
      </w:pPr>
      <w:r w:rsidRPr="00A7779A">
        <w:rPr>
          <w:rFonts w:ascii="Arial" w:hAnsi="Arial" w:cs="Arial"/>
        </w:rPr>
        <w:t>Journal of Criminal Law</w:t>
      </w:r>
    </w:p>
    <w:p w:rsidR="00D50E7D" w:rsidRPr="00A7779A" w:rsidRDefault="00D50E7D" w:rsidP="00D50E7D">
      <w:pPr>
        <w:spacing w:after="0" w:line="240" w:lineRule="auto"/>
        <w:rPr>
          <w:rFonts w:ascii="Arial" w:hAnsi="Arial" w:cs="Arial"/>
        </w:rPr>
      </w:pPr>
      <w:r w:rsidRPr="00A7779A">
        <w:rPr>
          <w:rFonts w:ascii="Arial" w:hAnsi="Arial" w:cs="Arial"/>
        </w:rPr>
        <w:t>Law Quarterly Review</w:t>
      </w:r>
    </w:p>
    <w:p w:rsidR="00D50E7D" w:rsidRPr="00A7779A" w:rsidRDefault="00D50E7D" w:rsidP="00D50E7D">
      <w:pPr>
        <w:spacing w:after="0" w:line="240" w:lineRule="auto"/>
        <w:rPr>
          <w:rFonts w:ascii="Arial" w:hAnsi="Arial" w:cs="Arial"/>
        </w:rPr>
      </w:pPr>
      <w:r w:rsidRPr="00A7779A">
        <w:rPr>
          <w:rFonts w:ascii="Arial" w:hAnsi="Arial" w:cs="Arial"/>
        </w:rPr>
        <w:t>Modern Law Review</w:t>
      </w:r>
    </w:p>
    <w:p w:rsidR="00D50E7D" w:rsidRPr="00A7779A" w:rsidRDefault="00D50E7D" w:rsidP="00D50E7D">
      <w:pPr>
        <w:spacing w:after="0" w:line="240" w:lineRule="auto"/>
        <w:rPr>
          <w:rFonts w:ascii="Arial" w:hAnsi="Arial" w:cs="Arial"/>
        </w:rPr>
      </w:pPr>
      <w:r w:rsidRPr="00A7779A">
        <w:rPr>
          <w:rFonts w:ascii="Arial" w:hAnsi="Arial" w:cs="Arial"/>
        </w:rPr>
        <w:t>Cambridge Law Journal</w:t>
      </w:r>
    </w:p>
    <w:p w:rsidR="00D50E7D" w:rsidRPr="00A7779A" w:rsidRDefault="00D50E7D" w:rsidP="00D50E7D">
      <w:pPr>
        <w:spacing w:after="0" w:line="240" w:lineRule="auto"/>
        <w:rPr>
          <w:rFonts w:ascii="Arial" w:hAnsi="Arial" w:cs="Arial"/>
        </w:rPr>
      </w:pPr>
      <w:r w:rsidRPr="00A7779A">
        <w:rPr>
          <w:rFonts w:ascii="Arial" w:hAnsi="Arial" w:cs="Arial"/>
        </w:rPr>
        <w:t>Oxford Journal of Legal Studies</w:t>
      </w:r>
    </w:p>
    <w:p w:rsidR="00D50E7D" w:rsidRPr="00A7779A" w:rsidRDefault="00D50E7D" w:rsidP="00D50E7D">
      <w:pPr>
        <w:spacing w:after="0" w:line="240" w:lineRule="auto"/>
        <w:rPr>
          <w:rFonts w:ascii="Arial" w:hAnsi="Arial" w:cs="Arial"/>
        </w:rPr>
      </w:pPr>
      <w:r w:rsidRPr="00A7779A">
        <w:rPr>
          <w:rFonts w:ascii="Arial" w:hAnsi="Arial" w:cs="Arial"/>
        </w:rPr>
        <w:t>Northern Ireland Legal Quarterly</w:t>
      </w:r>
    </w:p>
    <w:p w:rsidR="00D50E7D" w:rsidRPr="00A7779A" w:rsidRDefault="00D50E7D" w:rsidP="00D50E7D">
      <w:pPr>
        <w:spacing w:after="0" w:line="240" w:lineRule="auto"/>
        <w:rPr>
          <w:rFonts w:ascii="Arial" w:hAnsi="Arial" w:cs="Arial"/>
        </w:rPr>
      </w:pPr>
      <w:r w:rsidRPr="00A7779A">
        <w:rPr>
          <w:rFonts w:ascii="Arial" w:hAnsi="Arial" w:cs="Arial"/>
        </w:rPr>
        <w:t>Legal Studies</w:t>
      </w:r>
    </w:p>
    <w:p w:rsidR="00D50E7D" w:rsidRPr="00A7779A" w:rsidRDefault="00D50E7D" w:rsidP="00D50E7D">
      <w:pPr>
        <w:spacing w:after="0" w:line="240" w:lineRule="auto"/>
        <w:rPr>
          <w:rFonts w:ascii="Arial" w:hAnsi="Arial" w:cs="Arial"/>
        </w:rPr>
      </w:pPr>
      <w:r w:rsidRPr="00A7779A">
        <w:rPr>
          <w:rFonts w:ascii="Arial" w:hAnsi="Arial" w:cs="Arial"/>
        </w:rPr>
        <w:t>Public Law</w:t>
      </w:r>
    </w:p>
    <w:p w:rsidR="00D50E7D" w:rsidRPr="00A7779A" w:rsidRDefault="00D50E7D" w:rsidP="00D50E7D">
      <w:pPr>
        <w:spacing w:after="0" w:line="240" w:lineRule="auto"/>
        <w:rPr>
          <w:rFonts w:ascii="Arial" w:hAnsi="Arial" w:cs="Arial"/>
        </w:rPr>
      </w:pPr>
      <w:r w:rsidRPr="00A7779A">
        <w:rPr>
          <w:rFonts w:ascii="Arial" w:hAnsi="Arial" w:cs="Arial"/>
        </w:rPr>
        <w:t>Journal of Law and Society</w:t>
      </w:r>
    </w:p>
    <w:p w:rsidR="00D50E7D" w:rsidRPr="00A7779A" w:rsidRDefault="00D50E7D" w:rsidP="00D50E7D">
      <w:pPr>
        <w:spacing w:after="0" w:line="240" w:lineRule="auto"/>
        <w:rPr>
          <w:rFonts w:ascii="Arial" w:hAnsi="Arial" w:cs="Arial"/>
        </w:rPr>
      </w:pPr>
      <w:r w:rsidRPr="00A7779A">
        <w:rPr>
          <w:rFonts w:ascii="Arial" w:hAnsi="Arial" w:cs="Arial"/>
        </w:rPr>
        <w:t>Harvard Law Review</w:t>
      </w:r>
    </w:p>
    <w:p w:rsidR="00D50E7D" w:rsidRPr="00A7779A" w:rsidRDefault="00D50E7D" w:rsidP="00D50E7D">
      <w:pPr>
        <w:spacing w:after="0" w:line="240" w:lineRule="auto"/>
        <w:rPr>
          <w:rFonts w:ascii="Arial" w:hAnsi="Arial" w:cs="Arial"/>
        </w:rPr>
      </w:pPr>
      <w:r w:rsidRPr="00A7779A">
        <w:rPr>
          <w:rFonts w:ascii="Arial" w:hAnsi="Arial" w:cs="Arial"/>
        </w:rPr>
        <w:t>New Law Journal</w:t>
      </w:r>
    </w:p>
    <w:p w:rsidR="00D50E7D" w:rsidRPr="00A7779A" w:rsidRDefault="00D50E7D" w:rsidP="00D50E7D">
      <w:pPr>
        <w:spacing w:after="0" w:line="240" w:lineRule="auto"/>
        <w:rPr>
          <w:rFonts w:ascii="Arial" w:hAnsi="Arial" w:cs="Arial"/>
        </w:rPr>
      </w:pPr>
      <w:r w:rsidRPr="00A7779A">
        <w:rPr>
          <w:rFonts w:ascii="Arial" w:hAnsi="Arial" w:cs="Arial"/>
        </w:rPr>
        <w:t>Criminal Law Review</w:t>
      </w:r>
    </w:p>
    <w:p w:rsidR="00D50E7D" w:rsidRPr="00A7779A" w:rsidRDefault="00D50E7D" w:rsidP="00D50E7D">
      <w:pPr>
        <w:spacing w:after="0" w:line="240" w:lineRule="auto"/>
        <w:rPr>
          <w:rFonts w:ascii="Arial" w:hAnsi="Arial" w:cs="Arial"/>
        </w:rPr>
      </w:pPr>
      <w:r w:rsidRPr="00A7779A">
        <w:rPr>
          <w:rFonts w:ascii="Arial" w:hAnsi="Arial" w:cs="Arial"/>
        </w:rPr>
        <w:t>European Human Rights Law Review</w:t>
      </w:r>
    </w:p>
    <w:p w:rsidR="00D50E7D" w:rsidRPr="00A7779A" w:rsidRDefault="00D50E7D" w:rsidP="00D50E7D">
      <w:pPr>
        <w:spacing w:after="0" w:line="240" w:lineRule="auto"/>
        <w:rPr>
          <w:rFonts w:ascii="Arial" w:hAnsi="Arial" w:cs="Arial"/>
        </w:rPr>
      </w:pPr>
      <w:r w:rsidRPr="00A7779A">
        <w:rPr>
          <w:rFonts w:ascii="Arial" w:hAnsi="Arial" w:cs="Arial"/>
        </w:rPr>
        <w:t>The Journal Jurisprudence</w:t>
      </w:r>
    </w:p>
    <w:p w:rsidR="00D50E7D" w:rsidRPr="00A7779A" w:rsidRDefault="00D50E7D" w:rsidP="00D50E7D">
      <w:pPr>
        <w:spacing w:after="0" w:line="240" w:lineRule="auto"/>
        <w:rPr>
          <w:rFonts w:ascii="Arial" w:hAnsi="Arial" w:cs="Arial"/>
        </w:rPr>
      </w:pPr>
      <w:r w:rsidRPr="00A7779A">
        <w:rPr>
          <w:rFonts w:ascii="Arial" w:hAnsi="Arial" w:cs="Arial"/>
        </w:rPr>
        <w:t>Law Society Gazette</w:t>
      </w:r>
    </w:p>
    <w:p w:rsidR="00D50E7D" w:rsidRPr="00A7779A" w:rsidRDefault="00D50E7D" w:rsidP="00D50E7D">
      <w:pPr>
        <w:spacing w:after="0"/>
        <w:rPr>
          <w:rFonts w:ascii="Arial" w:hAnsi="Arial" w:cs="Arial"/>
          <w:i/>
        </w:rPr>
      </w:pPr>
    </w:p>
    <w:p w:rsidR="00D50E7D" w:rsidRPr="00A7779A" w:rsidRDefault="00D50E7D" w:rsidP="00D50E7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7779A">
        <w:rPr>
          <w:rFonts w:ascii="Arial" w:eastAsia="Times New Roman" w:hAnsi="Arial" w:cs="Arial"/>
          <w:b/>
          <w:lang w:val="en-GB" w:eastAsia="en-GB"/>
        </w:rPr>
        <w:t xml:space="preserve">Websites </w:t>
      </w:r>
    </w:p>
    <w:p w:rsidR="00D50E7D" w:rsidRDefault="00D50E7D" w:rsidP="00D50E7D">
      <w:pPr>
        <w:spacing w:after="0"/>
        <w:rPr>
          <w:rFonts w:ascii="Arial" w:hAnsi="Arial" w:cs="Arial"/>
        </w:rPr>
      </w:pPr>
      <w:r w:rsidRPr="00A7779A">
        <w:rPr>
          <w:rFonts w:ascii="Arial" w:hAnsi="Arial" w:cs="Arial"/>
        </w:rPr>
        <w:t xml:space="preserve"> </w:t>
      </w:r>
      <w:hyperlink r:id="rId5" w:history="1">
        <w:r w:rsidRPr="00A7779A">
          <w:rPr>
            <w:rFonts w:ascii="Arial" w:hAnsi="Arial" w:cs="Arial"/>
            <w:color w:val="0000FF"/>
            <w:u w:val="single"/>
          </w:rPr>
          <w:t>www.parliament.gov.uk</w:t>
        </w:r>
      </w:hyperlink>
    </w:p>
    <w:p w:rsidR="00D50E7D" w:rsidRDefault="00D50E7D" w:rsidP="00D50E7D">
      <w:pPr>
        <w:spacing w:after="0"/>
        <w:rPr>
          <w:rFonts w:ascii="Arial" w:hAnsi="Arial" w:cs="Arial"/>
        </w:rPr>
      </w:pPr>
    </w:p>
    <w:p w:rsidR="00D50E7D" w:rsidRDefault="00D50E7D" w:rsidP="00D50E7D">
      <w:pPr>
        <w:spacing w:after="0"/>
        <w:rPr>
          <w:rFonts w:ascii="Arial" w:hAnsi="Arial" w:cs="Arial"/>
        </w:rPr>
      </w:pPr>
    </w:p>
    <w:p w:rsidR="00D50E7D" w:rsidRPr="00A7779A" w:rsidRDefault="00D50E7D" w:rsidP="00D50E7D">
      <w:pPr>
        <w:spacing w:after="0"/>
        <w:rPr>
          <w:rFonts w:ascii="Arial" w:hAnsi="Arial" w:cs="Arial"/>
        </w:rPr>
      </w:pPr>
    </w:p>
    <w:p w:rsidR="00916131" w:rsidRDefault="00916131"/>
    <w:sectPr w:rsidR="009161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78728B"/>
    <w:multiLevelType w:val="multilevel"/>
    <w:tmpl w:val="BEA0AAA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 w15:restartNumberingAfterBreak="0">
    <w:nsid w:val="2D80560E"/>
    <w:multiLevelType w:val="hybridMultilevel"/>
    <w:tmpl w:val="5EEE3E98"/>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 w15:restartNumberingAfterBreak="0">
    <w:nsid w:val="346E27D2"/>
    <w:multiLevelType w:val="multilevel"/>
    <w:tmpl w:val="BEA0AAA8"/>
    <w:numStyleLink w:val="Headings"/>
  </w:abstractNum>
  <w:abstractNum w:abstractNumId="3" w15:restartNumberingAfterBreak="0">
    <w:nsid w:val="5642702F"/>
    <w:multiLevelType w:val="multilevel"/>
    <w:tmpl w:val="B0E02C9C"/>
    <w:lvl w:ilvl="0">
      <w:start w:val="3"/>
      <w:numFmt w:val="decimal"/>
      <w:pStyle w:val="AQHMain"/>
      <w:lvlText w:val="%1."/>
      <w:lvlJc w:val="left"/>
      <w:pPr>
        <w:tabs>
          <w:tab w:val="num" w:pos="502"/>
        </w:tabs>
        <w:ind w:left="502"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lvlOverride w:ilvl="1">
      <w:lvl w:ilvl="1">
        <w:start w:val="1"/>
        <w:numFmt w:val="decimal"/>
        <w:lvlText w:val="%2."/>
        <w:lvlJc w:val="left"/>
        <w:pPr>
          <w:ind w:left="0" w:firstLine="0"/>
        </w:pPr>
        <w:rPr>
          <w:rFonts w:ascii="Arial" w:hAnsi="Arial" w:hint="default"/>
          <w:b w:val="0"/>
          <w:i w:val="0"/>
          <w:sz w:val="22"/>
        </w:rPr>
      </w:lvl>
    </w:lvlOverride>
    <w:lvlOverride w:ilvl="6">
      <w:lvl w:ilvl="6">
        <w:start w:val="1"/>
        <w:numFmt w:val="decimal"/>
        <w:lvlText w:val="%7."/>
        <w:lvlJc w:val="left"/>
        <w:pPr>
          <w:ind w:left="0" w:firstLine="0"/>
        </w:pPr>
        <w:rPr>
          <w:rFonts w:hint="default"/>
          <w:b w:val="0"/>
        </w:rPr>
      </w:lvl>
    </w:lvlOverride>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0E7D"/>
    <w:rsid w:val="000015A2"/>
    <w:rsid w:val="00002A34"/>
    <w:rsid w:val="00030A90"/>
    <w:rsid w:val="000517C1"/>
    <w:rsid w:val="00057C05"/>
    <w:rsid w:val="00061B7E"/>
    <w:rsid w:val="000669E6"/>
    <w:rsid w:val="00072A7D"/>
    <w:rsid w:val="000736F3"/>
    <w:rsid w:val="000964A5"/>
    <w:rsid w:val="00096A9E"/>
    <w:rsid w:val="000A2B3B"/>
    <w:rsid w:val="000A2CEC"/>
    <w:rsid w:val="000A4611"/>
    <w:rsid w:val="000B5E47"/>
    <w:rsid w:val="000C3F08"/>
    <w:rsid w:val="000D59DF"/>
    <w:rsid w:val="000E5C08"/>
    <w:rsid w:val="001161E5"/>
    <w:rsid w:val="00125166"/>
    <w:rsid w:val="001351EE"/>
    <w:rsid w:val="001379FD"/>
    <w:rsid w:val="00140F46"/>
    <w:rsid w:val="00152A39"/>
    <w:rsid w:val="00155070"/>
    <w:rsid w:val="00164D11"/>
    <w:rsid w:val="00176D96"/>
    <w:rsid w:val="00184F6F"/>
    <w:rsid w:val="00185E19"/>
    <w:rsid w:val="00186837"/>
    <w:rsid w:val="001967E1"/>
    <w:rsid w:val="00197CBB"/>
    <w:rsid w:val="001A4899"/>
    <w:rsid w:val="001A5137"/>
    <w:rsid w:val="001A595D"/>
    <w:rsid w:val="001B0ECA"/>
    <w:rsid w:val="001B1944"/>
    <w:rsid w:val="001B3B9C"/>
    <w:rsid w:val="001B3EF3"/>
    <w:rsid w:val="001C1148"/>
    <w:rsid w:val="001C39D2"/>
    <w:rsid w:val="001D6521"/>
    <w:rsid w:val="001E5827"/>
    <w:rsid w:val="001E6B76"/>
    <w:rsid w:val="001E7377"/>
    <w:rsid w:val="001F3674"/>
    <w:rsid w:val="00215FAF"/>
    <w:rsid w:val="002220B2"/>
    <w:rsid w:val="00237FFB"/>
    <w:rsid w:val="00256592"/>
    <w:rsid w:val="00273603"/>
    <w:rsid w:val="00274047"/>
    <w:rsid w:val="00280A52"/>
    <w:rsid w:val="002876BD"/>
    <w:rsid w:val="002A7767"/>
    <w:rsid w:val="002B2835"/>
    <w:rsid w:val="002C67B7"/>
    <w:rsid w:val="002E16F0"/>
    <w:rsid w:val="002F0A72"/>
    <w:rsid w:val="00305867"/>
    <w:rsid w:val="00305C58"/>
    <w:rsid w:val="003131B1"/>
    <w:rsid w:val="00314A2F"/>
    <w:rsid w:val="00316096"/>
    <w:rsid w:val="0033463C"/>
    <w:rsid w:val="003437F1"/>
    <w:rsid w:val="00362410"/>
    <w:rsid w:val="00363EBA"/>
    <w:rsid w:val="0037311B"/>
    <w:rsid w:val="003A654A"/>
    <w:rsid w:val="003B66F0"/>
    <w:rsid w:val="003C7A03"/>
    <w:rsid w:val="003D1EE3"/>
    <w:rsid w:val="003F56BE"/>
    <w:rsid w:val="004010F9"/>
    <w:rsid w:val="00401AF2"/>
    <w:rsid w:val="00404335"/>
    <w:rsid w:val="00405112"/>
    <w:rsid w:val="004065E4"/>
    <w:rsid w:val="00416D15"/>
    <w:rsid w:val="00417321"/>
    <w:rsid w:val="00420F56"/>
    <w:rsid w:val="00444E7A"/>
    <w:rsid w:val="00470FC6"/>
    <w:rsid w:val="0047615B"/>
    <w:rsid w:val="00495AA0"/>
    <w:rsid w:val="00496D6E"/>
    <w:rsid w:val="004A5491"/>
    <w:rsid w:val="004B6C3E"/>
    <w:rsid w:val="004D2D44"/>
    <w:rsid w:val="004D38C5"/>
    <w:rsid w:val="004D4B09"/>
    <w:rsid w:val="004E2C1C"/>
    <w:rsid w:val="004E4FD2"/>
    <w:rsid w:val="004E6696"/>
    <w:rsid w:val="004F05CE"/>
    <w:rsid w:val="004F2A58"/>
    <w:rsid w:val="00520DF0"/>
    <w:rsid w:val="00523325"/>
    <w:rsid w:val="00556347"/>
    <w:rsid w:val="00576F8C"/>
    <w:rsid w:val="00597274"/>
    <w:rsid w:val="005A1382"/>
    <w:rsid w:val="005B6B64"/>
    <w:rsid w:val="005E308F"/>
    <w:rsid w:val="005F1B8F"/>
    <w:rsid w:val="005F4879"/>
    <w:rsid w:val="00601780"/>
    <w:rsid w:val="00632D54"/>
    <w:rsid w:val="006535A4"/>
    <w:rsid w:val="00657F24"/>
    <w:rsid w:val="0066217C"/>
    <w:rsid w:val="00666C7C"/>
    <w:rsid w:val="0067250F"/>
    <w:rsid w:val="0067473E"/>
    <w:rsid w:val="006747E2"/>
    <w:rsid w:val="0067566A"/>
    <w:rsid w:val="006906C4"/>
    <w:rsid w:val="00690A06"/>
    <w:rsid w:val="00690CF4"/>
    <w:rsid w:val="006A0419"/>
    <w:rsid w:val="006A7EA2"/>
    <w:rsid w:val="006B19DF"/>
    <w:rsid w:val="006D3999"/>
    <w:rsid w:val="006D693A"/>
    <w:rsid w:val="006E79E4"/>
    <w:rsid w:val="006E7A5E"/>
    <w:rsid w:val="006F268E"/>
    <w:rsid w:val="007147C2"/>
    <w:rsid w:val="007235BC"/>
    <w:rsid w:val="007373D2"/>
    <w:rsid w:val="00743F9E"/>
    <w:rsid w:val="00745371"/>
    <w:rsid w:val="00753247"/>
    <w:rsid w:val="0076227B"/>
    <w:rsid w:val="00763837"/>
    <w:rsid w:val="00767BCA"/>
    <w:rsid w:val="007736F3"/>
    <w:rsid w:val="00795706"/>
    <w:rsid w:val="007A3070"/>
    <w:rsid w:val="007B04E9"/>
    <w:rsid w:val="007B0F38"/>
    <w:rsid w:val="007C599B"/>
    <w:rsid w:val="007D0310"/>
    <w:rsid w:val="007E1A42"/>
    <w:rsid w:val="007E4EB4"/>
    <w:rsid w:val="007F40B1"/>
    <w:rsid w:val="007F5CA4"/>
    <w:rsid w:val="00817434"/>
    <w:rsid w:val="00834971"/>
    <w:rsid w:val="00842A18"/>
    <w:rsid w:val="00855EA7"/>
    <w:rsid w:val="008604DB"/>
    <w:rsid w:val="00864A34"/>
    <w:rsid w:val="00865377"/>
    <w:rsid w:val="0087041C"/>
    <w:rsid w:val="00895749"/>
    <w:rsid w:val="00896167"/>
    <w:rsid w:val="00896A13"/>
    <w:rsid w:val="008B4E9A"/>
    <w:rsid w:val="008C413F"/>
    <w:rsid w:val="008C4C69"/>
    <w:rsid w:val="008D21EE"/>
    <w:rsid w:val="008D5675"/>
    <w:rsid w:val="0090018C"/>
    <w:rsid w:val="009029F6"/>
    <w:rsid w:val="00916131"/>
    <w:rsid w:val="0091616D"/>
    <w:rsid w:val="00916199"/>
    <w:rsid w:val="0094172E"/>
    <w:rsid w:val="00945A44"/>
    <w:rsid w:val="00952825"/>
    <w:rsid w:val="0096591A"/>
    <w:rsid w:val="00982233"/>
    <w:rsid w:val="0098308A"/>
    <w:rsid w:val="00992CD7"/>
    <w:rsid w:val="009A0FCD"/>
    <w:rsid w:val="009A4A09"/>
    <w:rsid w:val="009C0E5D"/>
    <w:rsid w:val="009D2BD0"/>
    <w:rsid w:val="009D5180"/>
    <w:rsid w:val="009F01DF"/>
    <w:rsid w:val="009F0BFC"/>
    <w:rsid w:val="009F258F"/>
    <w:rsid w:val="009F7E9F"/>
    <w:rsid w:val="00A25EAB"/>
    <w:rsid w:val="00A40549"/>
    <w:rsid w:val="00A6597C"/>
    <w:rsid w:val="00A72AA0"/>
    <w:rsid w:val="00A8325E"/>
    <w:rsid w:val="00A954F4"/>
    <w:rsid w:val="00AB2B12"/>
    <w:rsid w:val="00AB7F79"/>
    <w:rsid w:val="00AC0DEA"/>
    <w:rsid w:val="00AC5469"/>
    <w:rsid w:val="00AE65B4"/>
    <w:rsid w:val="00AF3224"/>
    <w:rsid w:val="00B47964"/>
    <w:rsid w:val="00B64840"/>
    <w:rsid w:val="00B6727A"/>
    <w:rsid w:val="00B83E4E"/>
    <w:rsid w:val="00B860B3"/>
    <w:rsid w:val="00B92CAA"/>
    <w:rsid w:val="00B92F7F"/>
    <w:rsid w:val="00B97547"/>
    <w:rsid w:val="00BA2989"/>
    <w:rsid w:val="00BA679B"/>
    <w:rsid w:val="00BB3422"/>
    <w:rsid w:val="00BD76D3"/>
    <w:rsid w:val="00BF77F8"/>
    <w:rsid w:val="00C02C3E"/>
    <w:rsid w:val="00C0333A"/>
    <w:rsid w:val="00C048CC"/>
    <w:rsid w:val="00C0717E"/>
    <w:rsid w:val="00C07A45"/>
    <w:rsid w:val="00C12023"/>
    <w:rsid w:val="00C15518"/>
    <w:rsid w:val="00C24BC4"/>
    <w:rsid w:val="00C273C1"/>
    <w:rsid w:val="00C3374A"/>
    <w:rsid w:val="00C40826"/>
    <w:rsid w:val="00C50987"/>
    <w:rsid w:val="00C50CE8"/>
    <w:rsid w:val="00C5415A"/>
    <w:rsid w:val="00C67FDE"/>
    <w:rsid w:val="00C7244E"/>
    <w:rsid w:val="00C779AF"/>
    <w:rsid w:val="00C9784E"/>
    <w:rsid w:val="00CA5DD8"/>
    <w:rsid w:val="00CB0951"/>
    <w:rsid w:val="00CD0D10"/>
    <w:rsid w:val="00CE05BA"/>
    <w:rsid w:val="00CF0017"/>
    <w:rsid w:val="00CF1A44"/>
    <w:rsid w:val="00CF2602"/>
    <w:rsid w:val="00D1092E"/>
    <w:rsid w:val="00D24F4F"/>
    <w:rsid w:val="00D27342"/>
    <w:rsid w:val="00D50E7D"/>
    <w:rsid w:val="00D52D46"/>
    <w:rsid w:val="00D60348"/>
    <w:rsid w:val="00D648ED"/>
    <w:rsid w:val="00D96628"/>
    <w:rsid w:val="00DA4067"/>
    <w:rsid w:val="00DB28D3"/>
    <w:rsid w:val="00DB7527"/>
    <w:rsid w:val="00DC0DFC"/>
    <w:rsid w:val="00DE53C3"/>
    <w:rsid w:val="00DF55C1"/>
    <w:rsid w:val="00E220F2"/>
    <w:rsid w:val="00E25B43"/>
    <w:rsid w:val="00E32811"/>
    <w:rsid w:val="00E371A6"/>
    <w:rsid w:val="00E42E1A"/>
    <w:rsid w:val="00E43C9F"/>
    <w:rsid w:val="00E53AC3"/>
    <w:rsid w:val="00E57EF9"/>
    <w:rsid w:val="00E6703B"/>
    <w:rsid w:val="00E75089"/>
    <w:rsid w:val="00E808CC"/>
    <w:rsid w:val="00E81B55"/>
    <w:rsid w:val="00E83A39"/>
    <w:rsid w:val="00E854A6"/>
    <w:rsid w:val="00E87634"/>
    <w:rsid w:val="00EB0465"/>
    <w:rsid w:val="00EB1703"/>
    <w:rsid w:val="00EB5719"/>
    <w:rsid w:val="00EC03E4"/>
    <w:rsid w:val="00EF3F1D"/>
    <w:rsid w:val="00F01DC1"/>
    <w:rsid w:val="00F05115"/>
    <w:rsid w:val="00F06B0C"/>
    <w:rsid w:val="00F06E49"/>
    <w:rsid w:val="00F074DB"/>
    <w:rsid w:val="00F11FC0"/>
    <w:rsid w:val="00F22078"/>
    <w:rsid w:val="00F25F59"/>
    <w:rsid w:val="00F32893"/>
    <w:rsid w:val="00F45911"/>
    <w:rsid w:val="00F475BA"/>
    <w:rsid w:val="00F55EA9"/>
    <w:rsid w:val="00F56CFC"/>
    <w:rsid w:val="00F60AA7"/>
    <w:rsid w:val="00F70CA4"/>
    <w:rsid w:val="00F943EF"/>
    <w:rsid w:val="00FB2D1F"/>
    <w:rsid w:val="00FC47A7"/>
    <w:rsid w:val="00FF1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050E22-5253-4107-99C9-AEFD4C5F8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0E7D"/>
    <w:pPr>
      <w:spacing w:after="200" w:line="276" w:lineRule="auto"/>
    </w:pPr>
    <w:rPr>
      <w:rFonts w:ascii="Calibri" w:eastAsia="Calibri" w:hAnsi="Calibri" w:cs="Times New Roman"/>
      <w:lang w:val="en-US"/>
    </w:rPr>
  </w:style>
  <w:style w:type="paragraph" w:styleId="Heading5">
    <w:name w:val="heading 5"/>
    <w:basedOn w:val="Normal"/>
    <w:next w:val="Normal"/>
    <w:link w:val="Heading5Char"/>
    <w:uiPriority w:val="9"/>
    <w:semiHidden/>
    <w:unhideWhenUsed/>
    <w:qFormat/>
    <w:rsid w:val="00D50E7D"/>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QHMain">
    <w:name w:val="AQH Main"/>
    <w:basedOn w:val="Heading5"/>
    <w:qFormat/>
    <w:rsid w:val="00D50E7D"/>
    <w:pPr>
      <w:keepLines w:val="0"/>
      <w:numPr>
        <w:numId w:val="1"/>
      </w:numPr>
      <w:tabs>
        <w:tab w:val="clear" w:pos="502"/>
        <w:tab w:val="left" w:pos="-1440"/>
        <w:tab w:val="left" w:pos="-720"/>
        <w:tab w:val="left" w:pos="0"/>
        <w:tab w:val="num" w:pos="360"/>
        <w:tab w:val="left" w:pos="1440"/>
        <w:tab w:val="left" w:pos="2160"/>
        <w:tab w:val="left" w:pos="2880"/>
      </w:tabs>
      <w:spacing w:before="0" w:line="240" w:lineRule="auto"/>
      <w:ind w:left="360" w:firstLine="0"/>
      <w:jc w:val="both"/>
    </w:pPr>
    <w:rPr>
      <w:rFonts w:ascii="Arial" w:eastAsia="Times New Roman" w:hAnsi="Arial" w:cs="Arial"/>
      <w:b/>
      <w:color w:val="auto"/>
      <w:sz w:val="28"/>
      <w:szCs w:val="20"/>
      <w:lang w:val="en-GB" w:eastAsia="en-GB"/>
    </w:rPr>
  </w:style>
  <w:style w:type="table" w:styleId="TableGrid">
    <w:name w:val="Table Grid"/>
    <w:basedOn w:val="TableNormal"/>
    <w:uiPriority w:val="59"/>
    <w:rsid w:val="00D50E7D"/>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
    <w:name w:val="Headings"/>
    <w:uiPriority w:val="99"/>
    <w:rsid w:val="00D50E7D"/>
    <w:pPr>
      <w:numPr>
        <w:numId w:val="2"/>
      </w:numPr>
    </w:pPr>
  </w:style>
  <w:style w:type="character" w:customStyle="1" w:styleId="Heading5Char">
    <w:name w:val="Heading 5 Char"/>
    <w:basedOn w:val="DefaultParagraphFont"/>
    <w:link w:val="Heading5"/>
    <w:uiPriority w:val="9"/>
    <w:semiHidden/>
    <w:rsid w:val="00D50E7D"/>
    <w:rPr>
      <w:rFonts w:asciiTheme="majorHAnsi" w:eastAsiaTheme="majorEastAsia" w:hAnsiTheme="majorHAnsi" w:cstheme="majorBidi"/>
      <w:color w:val="2E74B5" w:themeColor="accent1" w:themeShade="B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parliament.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600</Words>
  <Characters>3425</Characters>
  <Application>Microsoft Office Word</Application>
  <DocSecurity>4</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Louise Holmes (FBAM)</cp:lastModifiedBy>
  <cp:revision>2</cp:revision>
  <dcterms:created xsi:type="dcterms:W3CDTF">2018-09-24T13:49:00Z</dcterms:created>
  <dcterms:modified xsi:type="dcterms:W3CDTF">2018-09-24T13:49:00Z</dcterms:modified>
</cp:coreProperties>
</file>