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50EF44" w14:textId="77777777" w:rsidR="00093E68" w:rsidRDefault="00093E68" w:rsidP="00093E68">
      <w:pPr>
        <w:jc w:val="center"/>
        <w:rPr>
          <w:b/>
          <w:bCs/>
        </w:rPr>
      </w:pPr>
      <w:r>
        <w:rPr>
          <w:b/>
          <w:bCs/>
        </w:rPr>
        <w:t>Component 2</w:t>
      </w:r>
    </w:p>
    <w:p w14:paraId="30F7EF00" w14:textId="77777777" w:rsidR="00093E68" w:rsidRDefault="00093E68" w:rsidP="00093E68">
      <w:pPr>
        <w:jc w:val="center"/>
        <w:rPr>
          <w:b/>
          <w:bCs/>
        </w:rPr>
      </w:pPr>
      <w:r>
        <w:rPr>
          <w:b/>
          <w:bCs/>
        </w:rPr>
        <w:t xml:space="preserve">    </w:t>
      </w:r>
      <w:proofErr w:type="spellStart"/>
      <w:r>
        <w:rPr>
          <w:b/>
          <w:bCs/>
        </w:rPr>
        <w:t>Portofolio</w:t>
      </w:r>
      <w:proofErr w:type="spellEnd"/>
      <w:r>
        <w:rPr>
          <w:b/>
          <w:bCs/>
        </w:rPr>
        <w:t xml:space="preserve"> -New Park-</w:t>
      </w:r>
    </w:p>
    <w:p w14:paraId="3298B109" w14:textId="77777777" w:rsidR="00093E68" w:rsidRDefault="00093E68" w:rsidP="00093E68">
      <w:pPr>
        <w:jc w:val="center"/>
        <w:rPr>
          <w:b/>
          <w:bCs/>
        </w:rPr>
      </w:pPr>
    </w:p>
    <w:p w14:paraId="26CC7E89" w14:textId="77777777" w:rsidR="00093E68" w:rsidRDefault="00093E68" w:rsidP="00093E68">
      <w:pPr>
        <w:jc w:val="center"/>
        <w:rPr>
          <w:rStyle w:val="Strong"/>
          <w:rFonts w:ascii="Times New Roman" w:hAnsi="Times New Roman" w:cs="Times New Roman"/>
          <w:color w:val="1D2125"/>
          <w:shd w:val="clear" w:color="auto" w:fill="FFFFFF"/>
        </w:rPr>
      </w:pPr>
      <w:r w:rsidRPr="00505265">
        <w:rPr>
          <w:rFonts w:ascii="Times New Roman" w:hAnsi="Times New Roman" w:cs="Times New Roman"/>
          <w:b/>
          <w:bCs/>
        </w:rPr>
        <w:t xml:space="preserve">Module </w:t>
      </w:r>
      <w:proofErr w:type="gramStart"/>
      <w:r w:rsidRPr="00505265">
        <w:rPr>
          <w:rFonts w:ascii="Times New Roman" w:hAnsi="Times New Roman" w:cs="Times New Roman"/>
          <w:b/>
          <w:bCs/>
        </w:rPr>
        <w:t>name :</w:t>
      </w:r>
      <w:proofErr w:type="gramEnd"/>
      <w:r w:rsidRPr="00505265">
        <w:rPr>
          <w:rFonts w:ascii="Times New Roman" w:hAnsi="Times New Roman" w:cs="Times New Roman"/>
          <w:color w:val="1D2125"/>
          <w:shd w:val="clear" w:color="auto" w:fill="FFFFFF"/>
        </w:rPr>
        <w:t xml:space="preserve">  </w:t>
      </w:r>
      <w:r w:rsidRPr="00505265">
        <w:rPr>
          <w:rStyle w:val="Strong"/>
          <w:rFonts w:ascii="Times New Roman" w:hAnsi="Times New Roman" w:cs="Times New Roman"/>
          <w:color w:val="1D2125"/>
          <w:shd w:val="clear" w:color="auto" w:fill="FFFFFF"/>
        </w:rPr>
        <w:t>LCBB4013 Stakeholder Engagement </w:t>
      </w:r>
    </w:p>
    <w:p w14:paraId="0E1F2690" w14:textId="77777777" w:rsidR="00093E68" w:rsidRDefault="00093E68" w:rsidP="00093E68">
      <w:pPr>
        <w:jc w:val="center"/>
        <w:rPr>
          <w:rStyle w:val="Strong"/>
          <w:rFonts w:ascii="Times New Roman" w:hAnsi="Times New Roman" w:cs="Times New Roman"/>
          <w:color w:val="1D2125"/>
          <w:shd w:val="clear" w:color="auto" w:fill="FFFFFF"/>
        </w:rPr>
      </w:pPr>
      <w:r>
        <w:rPr>
          <w:rStyle w:val="Strong"/>
          <w:rFonts w:ascii="Times New Roman" w:hAnsi="Times New Roman" w:cs="Times New Roman"/>
          <w:color w:val="1D2125"/>
          <w:shd w:val="clear" w:color="auto" w:fill="FFFFFF"/>
        </w:rPr>
        <w:t>Student name/</w:t>
      </w:r>
      <w:proofErr w:type="spellStart"/>
      <w:proofErr w:type="gramStart"/>
      <w:r>
        <w:rPr>
          <w:rStyle w:val="Strong"/>
          <w:rFonts w:ascii="Times New Roman" w:hAnsi="Times New Roman" w:cs="Times New Roman"/>
          <w:color w:val="1D2125"/>
          <w:shd w:val="clear" w:color="auto" w:fill="FFFFFF"/>
        </w:rPr>
        <w:t>number:Alexandru</w:t>
      </w:r>
      <w:proofErr w:type="spellEnd"/>
      <w:proofErr w:type="gramEnd"/>
      <w:r>
        <w:rPr>
          <w:rStyle w:val="Strong"/>
          <w:rFonts w:ascii="Times New Roman" w:hAnsi="Times New Roman" w:cs="Times New Roman"/>
          <w:color w:val="1D2125"/>
          <w:shd w:val="clear" w:color="auto" w:fill="FFFFFF"/>
        </w:rPr>
        <w:t xml:space="preserve"> Eros 2008584</w:t>
      </w:r>
    </w:p>
    <w:p w14:paraId="5C171F27" w14:textId="77777777" w:rsidR="00093E68" w:rsidRDefault="00093E68" w:rsidP="00093E68">
      <w:pPr>
        <w:jc w:val="center"/>
        <w:rPr>
          <w:rStyle w:val="Strong"/>
          <w:rFonts w:ascii="Times New Roman" w:hAnsi="Times New Roman" w:cs="Times New Roman"/>
          <w:color w:val="1D2125"/>
          <w:shd w:val="clear" w:color="auto" w:fill="FFFFFF"/>
        </w:rPr>
      </w:pPr>
    </w:p>
    <w:p w14:paraId="7E1307E3" w14:textId="77777777" w:rsidR="00093E68" w:rsidRDefault="00093E68" w:rsidP="00093E68">
      <w:pPr>
        <w:jc w:val="center"/>
        <w:rPr>
          <w:rStyle w:val="Strong"/>
          <w:rFonts w:ascii="Times New Roman" w:hAnsi="Times New Roman" w:cs="Times New Roman"/>
          <w:color w:val="1D2125"/>
          <w:shd w:val="clear" w:color="auto" w:fill="FFFFFF"/>
        </w:rPr>
      </w:pPr>
    </w:p>
    <w:p w14:paraId="3B227ECF" w14:textId="77777777" w:rsidR="00093E68" w:rsidRDefault="00093E68" w:rsidP="00093E68">
      <w:pPr>
        <w:jc w:val="center"/>
        <w:rPr>
          <w:rStyle w:val="Strong"/>
          <w:rFonts w:ascii="Times New Roman" w:hAnsi="Times New Roman" w:cs="Times New Roman"/>
          <w:color w:val="1D2125"/>
          <w:shd w:val="clear" w:color="auto" w:fill="FFFFFF"/>
        </w:rPr>
      </w:pPr>
    </w:p>
    <w:p w14:paraId="3567A20B" w14:textId="77777777" w:rsidR="00093E68" w:rsidRDefault="00093E68" w:rsidP="00093E68">
      <w:pPr>
        <w:jc w:val="center"/>
        <w:rPr>
          <w:rStyle w:val="Strong"/>
          <w:rFonts w:ascii="Times New Roman" w:hAnsi="Times New Roman" w:cs="Times New Roman"/>
          <w:color w:val="1D2125"/>
          <w:shd w:val="clear" w:color="auto" w:fill="FFFFFF"/>
        </w:rPr>
      </w:pPr>
    </w:p>
    <w:p w14:paraId="63C0477A" w14:textId="77777777" w:rsidR="00093E68" w:rsidRDefault="00093E68" w:rsidP="00093E68">
      <w:pPr>
        <w:jc w:val="center"/>
        <w:rPr>
          <w:rStyle w:val="Strong"/>
          <w:rFonts w:ascii="Times New Roman" w:hAnsi="Times New Roman" w:cs="Times New Roman"/>
          <w:color w:val="1D2125"/>
          <w:shd w:val="clear" w:color="auto" w:fill="FFFFFF"/>
        </w:rPr>
      </w:pPr>
    </w:p>
    <w:p w14:paraId="6282F819" w14:textId="77777777" w:rsidR="00093E68" w:rsidRDefault="00093E68" w:rsidP="00093E68">
      <w:pPr>
        <w:jc w:val="center"/>
        <w:rPr>
          <w:rStyle w:val="Strong"/>
          <w:rFonts w:ascii="Times New Roman" w:hAnsi="Times New Roman" w:cs="Times New Roman"/>
          <w:color w:val="1D2125"/>
          <w:shd w:val="clear" w:color="auto" w:fill="FFFFFF"/>
        </w:rPr>
      </w:pPr>
    </w:p>
    <w:p w14:paraId="5574BCAF" w14:textId="77777777" w:rsidR="00093E68" w:rsidRDefault="00093E68" w:rsidP="00093E68">
      <w:pPr>
        <w:jc w:val="center"/>
        <w:rPr>
          <w:rStyle w:val="Strong"/>
          <w:rFonts w:ascii="Times New Roman" w:hAnsi="Times New Roman" w:cs="Times New Roman"/>
          <w:color w:val="1D2125"/>
          <w:shd w:val="clear" w:color="auto" w:fill="FFFFFF"/>
        </w:rPr>
      </w:pPr>
    </w:p>
    <w:p w14:paraId="7A776B19" w14:textId="77777777" w:rsidR="00093E68" w:rsidRDefault="00093E68" w:rsidP="00093E68">
      <w:pPr>
        <w:jc w:val="center"/>
        <w:rPr>
          <w:rStyle w:val="Strong"/>
          <w:rFonts w:ascii="Times New Roman" w:hAnsi="Times New Roman" w:cs="Times New Roman"/>
          <w:color w:val="1D2125"/>
          <w:shd w:val="clear" w:color="auto" w:fill="FFFFFF"/>
        </w:rPr>
      </w:pPr>
    </w:p>
    <w:p w14:paraId="5254A301" w14:textId="77777777" w:rsidR="00093E68" w:rsidRDefault="00093E68" w:rsidP="00093E68">
      <w:pPr>
        <w:jc w:val="center"/>
        <w:rPr>
          <w:rStyle w:val="Strong"/>
          <w:rFonts w:ascii="Times New Roman" w:hAnsi="Times New Roman" w:cs="Times New Roman"/>
          <w:color w:val="1D2125"/>
          <w:shd w:val="clear" w:color="auto" w:fill="FFFFFF"/>
        </w:rPr>
      </w:pPr>
    </w:p>
    <w:p w14:paraId="13FE4032" w14:textId="77777777" w:rsidR="00093E68" w:rsidRDefault="00093E68" w:rsidP="00093E68">
      <w:pPr>
        <w:jc w:val="center"/>
        <w:rPr>
          <w:rStyle w:val="Strong"/>
          <w:rFonts w:ascii="Times New Roman" w:hAnsi="Times New Roman" w:cs="Times New Roman"/>
          <w:color w:val="1D2125"/>
          <w:shd w:val="clear" w:color="auto" w:fill="FFFFFF"/>
        </w:rPr>
      </w:pPr>
    </w:p>
    <w:p w14:paraId="1BF1880C" w14:textId="77777777" w:rsidR="00093E68" w:rsidRDefault="00093E68" w:rsidP="00093E68">
      <w:pPr>
        <w:jc w:val="center"/>
        <w:rPr>
          <w:rStyle w:val="Strong"/>
          <w:rFonts w:ascii="Times New Roman" w:hAnsi="Times New Roman" w:cs="Times New Roman"/>
          <w:color w:val="1D2125"/>
          <w:shd w:val="clear" w:color="auto" w:fill="FFFFFF"/>
        </w:rPr>
      </w:pPr>
    </w:p>
    <w:p w14:paraId="1BFCEB96" w14:textId="77777777" w:rsidR="00093E68" w:rsidRDefault="00093E68" w:rsidP="00093E68">
      <w:pPr>
        <w:jc w:val="center"/>
        <w:rPr>
          <w:rStyle w:val="Strong"/>
          <w:rFonts w:ascii="Times New Roman" w:hAnsi="Times New Roman" w:cs="Times New Roman"/>
          <w:color w:val="1D2125"/>
          <w:shd w:val="clear" w:color="auto" w:fill="FFFFFF"/>
        </w:rPr>
      </w:pPr>
    </w:p>
    <w:p w14:paraId="50E687F2" w14:textId="77777777" w:rsidR="00093E68" w:rsidRDefault="00093E68" w:rsidP="00093E68">
      <w:pPr>
        <w:jc w:val="center"/>
        <w:rPr>
          <w:rStyle w:val="Strong"/>
          <w:rFonts w:ascii="Times New Roman" w:hAnsi="Times New Roman" w:cs="Times New Roman"/>
          <w:color w:val="1D2125"/>
          <w:shd w:val="clear" w:color="auto" w:fill="FFFFFF"/>
        </w:rPr>
      </w:pPr>
    </w:p>
    <w:p w14:paraId="36FA406E" w14:textId="77777777" w:rsidR="00093E68" w:rsidRDefault="00093E68" w:rsidP="00093E68">
      <w:pPr>
        <w:jc w:val="center"/>
        <w:rPr>
          <w:rStyle w:val="Strong"/>
          <w:rFonts w:ascii="Times New Roman" w:hAnsi="Times New Roman" w:cs="Times New Roman"/>
          <w:color w:val="1D2125"/>
          <w:shd w:val="clear" w:color="auto" w:fill="FFFFFF"/>
        </w:rPr>
      </w:pPr>
    </w:p>
    <w:p w14:paraId="39869CEB" w14:textId="77777777" w:rsidR="00093E68" w:rsidRDefault="00093E68" w:rsidP="00093E68">
      <w:pPr>
        <w:jc w:val="center"/>
        <w:rPr>
          <w:rStyle w:val="Strong"/>
          <w:rFonts w:ascii="Times New Roman" w:hAnsi="Times New Roman" w:cs="Times New Roman"/>
          <w:color w:val="1D2125"/>
          <w:shd w:val="clear" w:color="auto" w:fill="FFFFFF"/>
        </w:rPr>
      </w:pPr>
    </w:p>
    <w:p w14:paraId="7C3EBEDB" w14:textId="77777777" w:rsidR="00093E68" w:rsidRDefault="00093E68" w:rsidP="00093E68">
      <w:pPr>
        <w:jc w:val="center"/>
        <w:rPr>
          <w:rStyle w:val="Strong"/>
          <w:rFonts w:ascii="Times New Roman" w:hAnsi="Times New Roman" w:cs="Times New Roman"/>
          <w:color w:val="1D2125"/>
          <w:shd w:val="clear" w:color="auto" w:fill="FFFFFF"/>
        </w:rPr>
      </w:pPr>
    </w:p>
    <w:p w14:paraId="0E2CCF72" w14:textId="77777777" w:rsidR="00093E68" w:rsidRDefault="00093E68" w:rsidP="00093E68">
      <w:pPr>
        <w:jc w:val="center"/>
        <w:rPr>
          <w:rStyle w:val="Strong"/>
          <w:rFonts w:ascii="Times New Roman" w:hAnsi="Times New Roman" w:cs="Times New Roman"/>
          <w:color w:val="1D2125"/>
          <w:shd w:val="clear" w:color="auto" w:fill="FFFFFF"/>
        </w:rPr>
      </w:pPr>
    </w:p>
    <w:p w14:paraId="681F13DD" w14:textId="77777777" w:rsidR="00093E68" w:rsidRDefault="00093E68" w:rsidP="00093E68">
      <w:pPr>
        <w:jc w:val="center"/>
        <w:rPr>
          <w:rStyle w:val="Strong"/>
          <w:rFonts w:ascii="Times New Roman" w:hAnsi="Times New Roman" w:cs="Times New Roman"/>
          <w:color w:val="1D2125"/>
          <w:shd w:val="clear" w:color="auto" w:fill="FFFFFF"/>
        </w:rPr>
      </w:pPr>
    </w:p>
    <w:p w14:paraId="0B4A021F" w14:textId="77777777" w:rsidR="00093E68" w:rsidRDefault="00093E68" w:rsidP="00093E68">
      <w:pPr>
        <w:jc w:val="center"/>
        <w:rPr>
          <w:rStyle w:val="Strong"/>
          <w:rFonts w:ascii="Times New Roman" w:hAnsi="Times New Roman" w:cs="Times New Roman"/>
          <w:color w:val="1D2125"/>
          <w:shd w:val="clear" w:color="auto" w:fill="FFFFFF"/>
        </w:rPr>
      </w:pPr>
    </w:p>
    <w:p w14:paraId="314003E7" w14:textId="77777777" w:rsidR="00093E68" w:rsidRDefault="00093E68" w:rsidP="00093E68">
      <w:pPr>
        <w:jc w:val="center"/>
        <w:rPr>
          <w:rStyle w:val="Strong"/>
          <w:rFonts w:ascii="Times New Roman" w:hAnsi="Times New Roman" w:cs="Times New Roman"/>
          <w:color w:val="1D2125"/>
          <w:shd w:val="clear" w:color="auto" w:fill="FFFFFF"/>
        </w:rPr>
      </w:pPr>
    </w:p>
    <w:p w14:paraId="7FE287EF" w14:textId="77777777" w:rsidR="00093E68" w:rsidRDefault="00093E68" w:rsidP="00093E68">
      <w:pPr>
        <w:jc w:val="center"/>
        <w:rPr>
          <w:rStyle w:val="Strong"/>
          <w:rFonts w:ascii="Times New Roman" w:hAnsi="Times New Roman" w:cs="Times New Roman"/>
          <w:color w:val="1D2125"/>
          <w:shd w:val="clear" w:color="auto" w:fill="FFFFFF"/>
        </w:rPr>
      </w:pPr>
    </w:p>
    <w:p w14:paraId="3085E5EB" w14:textId="77777777" w:rsidR="00093E68" w:rsidRDefault="00093E68" w:rsidP="00093E68">
      <w:pPr>
        <w:jc w:val="center"/>
        <w:rPr>
          <w:rStyle w:val="Strong"/>
          <w:rFonts w:ascii="Times New Roman" w:hAnsi="Times New Roman" w:cs="Times New Roman"/>
          <w:color w:val="1D2125"/>
          <w:shd w:val="clear" w:color="auto" w:fill="FFFFFF"/>
        </w:rPr>
      </w:pPr>
    </w:p>
    <w:p w14:paraId="1BD23939" w14:textId="77777777" w:rsidR="00093E68" w:rsidRDefault="00093E68" w:rsidP="00093E68">
      <w:pPr>
        <w:jc w:val="center"/>
        <w:rPr>
          <w:rStyle w:val="Strong"/>
          <w:rFonts w:ascii="Times New Roman" w:hAnsi="Times New Roman" w:cs="Times New Roman"/>
          <w:color w:val="1D2125"/>
          <w:shd w:val="clear" w:color="auto" w:fill="FFFFFF"/>
        </w:rPr>
      </w:pPr>
    </w:p>
    <w:p w14:paraId="6AE9F2CE" w14:textId="77777777" w:rsidR="00093E68" w:rsidRDefault="00093E68" w:rsidP="00093E68">
      <w:pPr>
        <w:jc w:val="center"/>
        <w:rPr>
          <w:rStyle w:val="Strong"/>
          <w:rFonts w:ascii="Times New Roman" w:hAnsi="Times New Roman" w:cs="Times New Roman"/>
          <w:color w:val="1D2125"/>
          <w:shd w:val="clear" w:color="auto" w:fill="FFFFFF"/>
        </w:rPr>
      </w:pPr>
    </w:p>
    <w:p w14:paraId="2C14C465" w14:textId="77777777" w:rsidR="00093E68" w:rsidRDefault="00093E68" w:rsidP="00093E68">
      <w:pPr>
        <w:jc w:val="center"/>
        <w:rPr>
          <w:rStyle w:val="Strong"/>
          <w:rFonts w:ascii="Times New Roman" w:hAnsi="Times New Roman" w:cs="Times New Roman"/>
          <w:color w:val="1D2125"/>
          <w:shd w:val="clear" w:color="auto" w:fill="FFFFFF"/>
        </w:rPr>
      </w:pPr>
      <w:r>
        <w:rPr>
          <w:rStyle w:val="Strong"/>
          <w:rFonts w:ascii="Times New Roman" w:hAnsi="Times New Roman" w:cs="Times New Roman"/>
          <w:color w:val="1D2125"/>
          <w:shd w:val="clear" w:color="auto" w:fill="FFFFFF"/>
        </w:rPr>
        <w:lastRenderedPageBreak/>
        <w:t>Table of Content:</w:t>
      </w:r>
    </w:p>
    <w:p w14:paraId="33BF1E66" w14:textId="77777777" w:rsidR="00093E68" w:rsidRDefault="00093E68" w:rsidP="00093E68">
      <w:pPr>
        <w:rPr>
          <w:rStyle w:val="Strong"/>
          <w:rFonts w:ascii="Times New Roman" w:hAnsi="Times New Roman" w:cs="Times New Roman"/>
          <w:color w:val="1D2125"/>
          <w:shd w:val="clear" w:color="auto" w:fill="FFFFFF"/>
        </w:rPr>
      </w:pPr>
      <w:r>
        <w:rPr>
          <w:rStyle w:val="Strong"/>
          <w:rFonts w:ascii="Times New Roman" w:hAnsi="Times New Roman" w:cs="Times New Roman"/>
          <w:color w:val="1D2125"/>
          <w:shd w:val="clear" w:color="auto" w:fill="FFFFFF"/>
        </w:rPr>
        <w:t>1.Introduction</w:t>
      </w:r>
    </w:p>
    <w:p w14:paraId="45FE0260" w14:textId="77777777" w:rsidR="00093E68" w:rsidRDefault="00093E68" w:rsidP="00093E68">
      <w:pPr>
        <w:rPr>
          <w:rFonts w:ascii="Times New Roman" w:eastAsia="Times New Roman" w:hAnsi="Times New Roman" w:cs="Times New Roman"/>
          <w:b/>
          <w:bCs/>
          <w:kern w:val="0"/>
          <w:lang w:eastAsia="en-GB"/>
          <w14:ligatures w14:val="none"/>
        </w:rPr>
      </w:pPr>
      <w:r>
        <w:rPr>
          <w:rStyle w:val="Strong"/>
          <w:rFonts w:ascii="Times New Roman" w:hAnsi="Times New Roman" w:cs="Times New Roman"/>
          <w:color w:val="1D2125"/>
          <w:shd w:val="clear" w:color="auto" w:fill="FFFFFF"/>
        </w:rPr>
        <w:t>2.</w:t>
      </w:r>
      <w:r w:rsidRPr="000932FC">
        <w:rPr>
          <w:rFonts w:ascii="Times New Roman" w:eastAsia="Times New Roman" w:hAnsi="Times New Roman" w:cs="Times New Roman"/>
          <w:b/>
          <w:bCs/>
          <w:kern w:val="0"/>
          <w:lang w:eastAsia="en-GB"/>
          <w14:ligatures w14:val="none"/>
        </w:rPr>
        <w:t xml:space="preserve"> Application – Strategies for Stakeholder Engagement</w:t>
      </w:r>
    </w:p>
    <w:p w14:paraId="3CADF61D" w14:textId="77777777" w:rsidR="00093E68" w:rsidRDefault="00093E68" w:rsidP="00093E68">
      <w:pPr>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3.</w:t>
      </w:r>
      <w:r w:rsidRPr="000932FC">
        <w:t xml:space="preserve"> </w:t>
      </w:r>
      <w:r w:rsidRPr="000932FC">
        <w:rPr>
          <w:rFonts w:ascii="Times New Roman" w:eastAsia="Times New Roman" w:hAnsi="Times New Roman" w:cs="Times New Roman"/>
          <w:b/>
          <w:bCs/>
          <w:kern w:val="0"/>
          <w:lang w:eastAsia="en-GB"/>
          <w14:ligatures w14:val="none"/>
        </w:rPr>
        <w:t>Ethical considerations in Stakeholders Consultation, Participation and Feedback</w:t>
      </w:r>
    </w:p>
    <w:p w14:paraId="78C79D2F" w14:textId="77777777" w:rsidR="00093E68" w:rsidRDefault="00093E68" w:rsidP="00093E68">
      <w:pPr>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4.</w:t>
      </w:r>
      <w:r w:rsidRPr="000932FC">
        <w:rPr>
          <w:rFonts w:ascii="Times New Roman" w:eastAsia="Times New Roman" w:hAnsi="Times New Roman" w:cs="Times New Roman"/>
          <w:b/>
          <w:bCs/>
          <w:kern w:val="0"/>
          <w:lang w:eastAsia="en-GB"/>
          <w14:ligatures w14:val="none"/>
        </w:rPr>
        <w:t xml:space="preserve"> Summary and Reflection</w:t>
      </w:r>
    </w:p>
    <w:p w14:paraId="1CE60E6F" w14:textId="77777777" w:rsidR="00093E68" w:rsidRDefault="00093E68" w:rsidP="00093E68">
      <w:pPr>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5.Refferences</w:t>
      </w:r>
    </w:p>
    <w:p w14:paraId="40C483A1" w14:textId="77777777" w:rsidR="00093E68" w:rsidRDefault="00093E68" w:rsidP="00093E68">
      <w:pPr>
        <w:rPr>
          <w:rStyle w:val="Strong"/>
          <w:rFonts w:ascii="Times New Roman" w:hAnsi="Times New Roman" w:cs="Times New Roman"/>
          <w:color w:val="1D2125"/>
          <w:shd w:val="clear" w:color="auto" w:fill="FFFFFF"/>
        </w:rPr>
      </w:pPr>
    </w:p>
    <w:p w14:paraId="4DFA8005" w14:textId="77777777" w:rsidR="00093E68" w:rsidRDefault="00093E68" w:rsidP="00093E68">
      <w:pPr>
        <w:jc w:val="center"/>
        <w:rPr>
          <w:b/>
          <w:bCs/>
        </w:rPr>
      </w:pPr>
      <w:r>
        <w:rPr>
          <w:noProof/>
        </w:rPr>
        <mc:AlternateContent>
          <mc:Choice Requires="wps">
            <w:drawing>
              <wp:inline distT="0" distB="0" distL="0" distR="0" wp14:anchorId="45F9C80B" wp14:editId="1A7C267D">
                <wp:extent cx="3329940" cy="2667000"/>
                <wp:effectExtent l="0" t="0" r="0" b="0"/>
                <wp:docPr id="794862070"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329940" cy="2667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567BD51" id="AutoShape 2" o:spid="_x0000_s1026" style="width:262.2pt;height:210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" filled="f" stroked="f">
                <o:lock v:ext="edit" aspectratio="t"/>
                <w10:anchorlock/>
              </v:rect>
            </w:pict>
          </mc:Fallback>
        </mc:AlternateContent>
      </w:r>
    </w:p>
    <w:p w14:paraId="1E0E1310" w14:textId="77777777" w:rsidR="00093E68" w:rsidRDefault="00093E68" w:rsidP="00093E68">
      <w:pPr>
        <w:jc w:val="center"/>
        <w:rPr>
          <w:b/>
          <w:bCs/>
        </w:rPr>
      </w:pPr>
    </w:p>
    <w:p w14:paraId="1CFE1F16" w14:textId="77777777" w:rsidR="00093E68" w:rsidRDefault="00093E68" w:rsidP="00093E68">
      <w:pPr>
        <w:jc w:val="center"/>
        <w:rPr>
          <w:b/>
          <w:bCs/>
        </w:rPr>
      </w:pPr>
    </w:p>
    <w:p w14:paraId="5BFB5366" w14:textId="77777777" w:rsidR="00093E68" w:rsidRDefault="00093E68" w:rsidP="00093E68">
      <w:pPr>
        <w:jc w:val="center"/>
        <w:rPr>
          <w:b/>
          <w:bCs/>
        </w:rPr>
      </w:pPr>
    </w:p>
    <w:p w14:paraId="53BB6A09" w14:textId="77777777" w:rsidR="00093E68" w:rsidRDefault="00093E68" w:rsidP="00093E68">
      <w:pPr>
        <w:jc w:val="center"/>
        <w:rPr>
          <w:b/>
          <w:bCs/>
        </w:rPr>
      </w:pPr>
    </w:p>
    <w:p w14:paraId="57DFD062" w14:textId="77777777" w:rsidR="00093E68" w:rsidRDefault="00093E68" w:rsidP="00093E68">
      <w:pPr>
        <w:jc w:val="center"/>
        <w:rPr>
          <w:b/>
          <w:bCs/>
        </w:rPr>
      </w:pPr>
    </w:p>
    <w:p w14:paraId="404A15C5" w14:textId="77777777" w:rsidR="00093E68" w:rsidRDefault="00093E68" w:rsidP="00093E68">
      <w:pPr>
        <w:jc w:val="center"/>
        <w:rPr>
          <w:b/>
          <w:bCs/>
        </w:rPr>
      </w:pPr>
    </w:p>
    <w:p w14:paraId="7531FC0F" w14:textId="77777777" w:rsidR="00093E68" w:rsidRDefault="00093E68" w:rsidP="00093E68">
      <w:pPr>
        <w:jc w:val="center"/>
        <w:rPr>
          <w:b/>
          <w:bCs/>
        </w:rPr>
      </w:pPr>
    </w:p>
    <w:p w14:paraId="199FAEF5" w14:textId="77777777" w:rsidR="00093E68" w:rsidRDefault="00093E68" w:rsidP="00093E68">
      <w:pPr>
        <w:jc w:val="center"/>
        <w:rPr>
          <w:b/>
          <w:bCs/>
        </w:rPr>
      </w:pPr>
    </w:p>
    <w:p w14:paraId="1E07A8E0" w14:textId="77777777" w:rsidR="00093E68" w:rsidRDefault="00093E68" w:rsidP="00093E68">
      <w:pPr>
        <w:jc w:val="center"/>
        <w:rPr>
          <w:b/>
          <w:bCs/>
        </w:rPr>
      </w:pPr>
    </w:p>
    <w:p w14:paraId="26E651DF" w14:textId="77777777" w:rsidR="00093E68" w:rsidRDefault="00093E68" w:rsidP="00093E68">
      <w:pPr>
        <w:jc w:val="center"/>
        <w:rPr>
          <w:b/>
          <w:bCs/>
        </w:rPr>
      </w:pPr>
    </w:p>
    <w:p w14:paraId="6CDFB033" w14:textId="77777777" w:rsidR="00093E68" w:rsidRDefault="00093E68" w:rsidP="00093E68">
      <w:pPr>
        <w:jc w:val="center"/>
        <w:rPr>
          <w:b/>
          <w:bCs/>
        </w:rPr>
      </w:pPr>
    </w:p>
    <w:p w14:paraId="5C778CB6" w14:textId="77777777" w:rsidR="00093E68" w:rsidRDefault="00093E68" w:rsidP="00093E68">
      <w:pPr>
        <w:jc w:val="center"/>
        <w:rPr>
          <w:b/>
          <w:bCs/>
        </w:rPr>
      </w:pPr>
    </w:p>
    <w:p w14:paraId="715E0971" w14:textId="77777777" w:rsidR="00093E68" w:rsidRDefault="00093E68" w:rsidP="00093E68">
      <w:pPr>
        <w:jc w:val="center"/>
        <w:rPr>
          <w:b/>
          <w:bCs/>
        </w:rPr>
      </w:pPr>
    </w:p>
    <w:p w14:paraId="3F9D2066" w14:textId="77777777" w:rsidR="00093E68" w:rsidRDefault="00093E68" w:rsidP="00093E68">
      <w:pPr>
        <w:jc w:val="center"/>
        <w:rPr>
          <w:b/>
          <w:bCs/>
        </w:rPr>
      </w:pPr>
    </w:p>
    <w:p w14:paraId="09F0B5B6" w14:textId="77777777" w:rsidR="00093E68" w:rsidRDefault="00093E68" w:rsidP="00093E68">
      <w:pPr>
        <w:jc w:val="center"/>
        <w:rPr>
          <w:b/>
          <w:bCs/>
        </w:rPr>
      </w:pPr>
    </w:p>
    <w:p w14:paraId="7277B39F" w14:textId="77777777" w:rsidR="00093E68" w:rsidRDefault="00093E68" w:rsidP="00093E68">
      <w:pPr>
        <w:jc w:val="center"/>
        <w:rPr>
          <w:b/>
          <w:bCs/>
        </w:rPr>
      </w:pPr>
    </w:p>
    <w:p w14:paraId="7532D6EA" w14:textId="77777777" w:rsidR="00093E68" w:rsidRDefault="00093E68" w:rsidP="00093E68">
      <w:pPr>
        <w:jc w:val="center"/>
        <w:rPr>
          <w:b/>
          <w:bCs/>
        </w:rPr>
      </w:pPr>
    </w:p>
    <w:p w14:paraId="3A6BCE76" w14:textId="77777777" w:rsidR="00093E68" w:rsidRPr="007508B7" w:rsidRDefault="00093E68" w:rsidP="00093E68">
      <w:pPr>
        <w:jc w:val="center"/>
        <w:rPr>
          <w:b/>
          <w:bCs/>
          <w:sz w:val="32"/>
          <w:szCs w:val="32"/>
          <w:u w:val="single"/>
        </w:rPr>
      </w:pPr>
    </w:p>
    <w:p w14:paraId="54DC5DA8" w14:textId="77777777" w:rsidR="00093E68" w:rsidRDefault="00093E68" w:rsidP="00093E68">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b/>
          <w:bCs/>
          <w:kern w:val="0"/>
          <w:sz w:val="32"/>
          <w:szCs w:val="32"/>
          <w:u w:val="single"/>
          <w:lang w:eastAsia="en-GB"/>
          <w14:ligatures w14:val="none"/>
        </w:rPr>
        <w:t>Element 1: Introduction</w:t>
      </w:r>
      <w:r w:rsidRPr="000932FC">
        <w:rPr>
          <w:rFonts w:ascii="Times New Roman" w:eastAsia="Times New Roman" w:hAnsi="Times New Roman" w:cs="Times New Roman"/>
          <w:kern w:val="0"/>
          <w:lang w:eastAsia="en-GB"/>
          <w14:ligatures w14:val="none"/>
        </w:rPr>
        <w:t xml:space="preserve"> </w:t>
      </w:r>
    </w:p>
    <w:p w14:paraId="2501D93D" w14:textId="77777777" w:rsidR="00093E68" w:rsidRPr="007508B7" w:rsidRDefault="00093E68" w:rsidP="00093E68">
      <w:pPr>
        <w:spacing w:after="0" w:line="240" w:lineRule="auto"/>
        <w:rPr>
          <w:rFonts w:ascii="Times New Roman" w:eastAsia="Times New Roman" w:hAnsi="Times New Roman" w:cs="Times New Roman"/>
          <w:kern w:val="0"/>
          <w:sz w:val="32"/>
          <w:szCs w:val="32"/>
          <w:u w:val="single"/>
          <w:lang w:eastAsia="en-GB"/>
          <w14:ligatures w14:val="none"/>
        </w:rPr>
      </w:pPr>
      <w:r w:rsidRPr="000932FC">
        <w:rPr>
          <w:rFonts w:ascii="Times New Roman" w:eastAsia="Times New Roman" w:hAnsi="Times New Roman" w:cs="Times New Roman"/>
          <w:kern w:val="0"/>
          <w:lang w:eastAsia="en-GB"/>
          <w14:ligatures w14:val="none"/>
        </w:rPr>
        <w:br/>
        <w:t>The proposed project is the development of a new public park on currently under-utilised brownfield or greenfield land within a local urban or suburban neighbourhood. The park will include landscaped green areas, a children’s playground with inclusive play equipment, accessible walking and cycling paths, seating and rest areas, planting of native trees and wildflowers to support biodiversity, a simple pavilion or shelter for community use, and basic amenities including lighting, waste facilities and, where feasible, drinking-water points. It is designed to increase accessible public open space, support physical and mental wellbeing, enhance local biodiversity and create a lasting focal point for community interaction and informal recreation.</w:t>
      </w:r>
      <w:r w:rsidRPr="000932FC">
        <w:rPr>
          <w:rFonts w:ascii="Times New Roman" w:eastAsia="Times New Roman" w:hAnsi="Times New Roman" w:cs="Times New Roman"/>
          <w:kern w:val="0"/>
          <w:lang w:eastAsia="en-GB"/>
          <w14:ligatures w14:val="none"/>
        </w:rPr>
        <w:br/>
        <w:t>It is now widely accepted that urban green space has multiple, mutually reinforcing co-benefits. Systematic reviews and meta-analyses demonstrate positive associations between access to parks and higher levels of physical activity, improved mental health outcomes (including reduced stress and better mood), stronger social cohesion, and lower all-cause and cardiovascular mortality (Twohig-Bennett and Jones, 2018; Cohen et al., 2022; Harvard T.H. Chan School of Public Health, 2024). Environmental benefits include urban cooling, improved surface-water management, noise reduction and the creation of habitat for pollinators and other wildlife; In the context of contemporary urban densification, shrinking private garden space, rising rates of sedentary behaviour and local-authority obligations around net-zero carbon, public health and biodiversity net gain, the project is therefore both timely and strategically relevant.</w:t>
      </w:r>
      <w:r w:rsidRPr="000932FC">
        <w:rPr>
          <w:rFonts w:ascii="Times New Roman" w:eastAsia="Times New Roman" w:hAnsi="Times New Roman" w:cs="Times New Roman"/>
          <w:kern w:val="0"/>
          <w:lang w:eastAsia="en-GB"/>
          <w14:ligatures w14:val="none"/>
        </w:rPr>
        <w:br/>
        <w:t xml:space="preserve">The project also is framed in terms of stakeholder theory and its importance. Freeman (1984, p.46) defined stakeholders as any group or individual who can affect or is affected by the achievement of an organisation’s objectives. Later refinements stress that organisations (and hence projects) generate sustainable value only when they serve the interests of multiple stakeholders rather than a single dominant interest (Freeman et al., 2010). A public park is a classic multi-stakeholder asset: its success depends on design that meets diverse needs, ongoing community stewardship and political support for maintenance funding. </w:t>
      </w:r>
      <w:r w:rsidRPr="000932FC">
        <w:rPr>
          <w:rFonts w:ascii="Times New Roman" w:eastAsia="Times New Roman" w:hAnsi="Times New Roman" w:cs="Times New Roman"/>
          <w:kern w:val="0"/>
          <w:lang w:eastAsia="en-GB"/>
          <w14:ligatures w14:val="none"/>
        </w:rPr>
        <w:br/>
        <w:t>The project would benefit directly at least 6 key stakeholders:</w:t>
      </w:r>
      <w:r w:rsidRPr="000932FC">
        <w:rPr>
          <w:rFonts w:ascii="Times New Roman" w:eastAsia="Times New Roman" w:hAnsi="Times New Roman" w:cs="Times New Roman"/>
          <w:kern w:val="0"/>
          <w:lang w:eastAsia="en-GB"/>
          <w14:ligatures w14:val="none"/>
        </w:rPr>
        <w:br/>
      </w:r>
      <w:r w:rsidRPr="000932FC">
        <w:rPr>
          <w:rFonts w:ascii="Times New Roman" w:eastAsia="Times New Roman" w:hAnsi="Times New Roman" w:cs="Times New Roman"/>
          <w:kern w:val="0"/>
          <w:lang w:eastAsia="en-GB"/>
          <w14:ligatures w14:val="none"/>
        </w:rPr>
        <w:br/>
        <w:t>Local residents – get free, safe recreational space that improves everyday quality of life, encourages outdoor activity across age groups and provides informal meeting places that strengthen neighbourhood ties.</w:t>
      </w:r>
      <w:r w:rsidRPr="000932FC">
        <w:rPr>
          <w:rFonts w:ascii="Times New Roman" w:eastAsia="Times New Roman" w:hAnsi="Times New Roman" w:cs="Times New Roman"/>
          <w:kern w:val="0"/>
          <w:lang w:eastAsia="en-GB"/>
          <w14:ligatures w14:val="none"/>
        </w:rPr>
        <w:br/>
        <w:t>Children, young people and families – enjoy dedicated, inclusive play equipment and open space that supports physical development, social skills, less screen time and positive family interaction.</w:t>
      </w:r>
      <w:r w:rsidRPr="000932FC">
        <w:rPr>
          <w:rFonts w:ascii="Times New Roman" w:eastAsia="Times New Roman" w:hAnsi="Times New Roman" w:cs="Times New Roman"/>
          <w:kern w:val="0"/>
          <w:lang w:eastAsia="en-GB"/>
          <w14:ligatures w14:val="none"/>
        </w:rPr>
        <w:br/>
        <w:t xml:space="preserve">Local authority / council – delivers demonstrable progress on corporate priorities for public </w:t>
      </w:r>
      <w:r w:rsidRPr="000932FC">
        <w:rPr>
          <w:rFonts w:ascii="Times New Roman" w:eastAsia="Times New Roman" w:hAnsi="Times New Roman" w:cs="Times New Roman"/>
          <w:kern w:val="0"/>
          <w:lang w:eastAsia="en-GB"/>
          <w14:ligatures w14:val="none"/>
        </w:rPr>
        <w:lastRenderedPageBreak/>
        <w:t>health, active travel, biodiversity net gain, climate resilience and community wellbeing, with responsive local governance.</w:t>
      </w:r>
      <w:r w:rsidRPr="000932FC">
        <w:rPr>
          <w:rFonts w:ascii="Times New Roman" w:eastAsia="Times New Roman" w:hAnsi="Times New Roman" w:cs="Times New Roman"/>
          <w:kern w:val="0"/>
          <w:lang w:eastAsia="en-GB"/>
          <w14:ligatures w14:val="none"/>
        </w:rPr>
        <w:br/>
        <w:t xml:space="preserve">Local businesses (cafés, convenience stores, leisure providers near the site) – experience increased footfall and potential for complementary trade as the park becomes a destination and meeting point. </w:t>
      </w:r>
      <w:r w:rsidRPr="000932FC">
        <w:rPr>
          <w:rFonts w:ascii="Times New Roman" w:eastAsia="Times New Roman" w:hAnsi="Times New Roman" w:cs="Times New Roman"/>
          <w:kern w:val="0"/>
          <w:lang w:eastAsia="en-GB"/>
          <w14:ligatures w14:val="none"/>
        </w:rPr>
        <w:br/>
        <w:t>Environmental and conservation groups – a new managed habitat that feeds into local biodiversity targets, and provides opportunities for education, citizen science monitoring and volunteering.</w:t>
      </w:r>
      <w:r w:rsidRPr="000932FC">
        <w:rPr>
          <w:rFonts w:ascii="Times New Roman" w:eastAsia="Times New Roman" w:hAnsi="Times New Roman" w:cs="Times New Roman"/>
          <w:kern w:val="0"/>
          <w:lang w:eastAsia="en-GB"/>
          <w14:ligatures w14:val="none"/>
        </w:rPr>
        <w:br/>
        <w:t>Schools and community organisations – access free outdoor learning and event space for curriculum activities, sports, after school clubs and community gatherings.</w:t>
      </w:r>
      <w:r w:rsidRPr="000932FC">
        <w:rPr>
          <w:rFonts w:ascii="Times New Roman" w:eastAsia="Times New Roman" w:hAnsi="Times New Roman" w:cs="Times New Roman"/>
          <w:kern w:val="0"/>
          <w:lang w:eastAsia="en-GB"/>
          <w14:ligatures w14:val="none"/>
        </w:rPr>
        <w:br/>
      </w:r>
      <w:r w:rsidRPr="000932FC">
        <w:rPr>
          <w:rFonts w:ascii="Times New Roman" w:eastAsia="Times New Roman" w:hAnsi="Times New Roman" w:cs="Times New Roman"/>
          <w:kern w:val="0"/>
          <w:lang w:eastAsia="en-GB"/>
          <w14:ligatures w14:val="none"/>
        </w:rPr>
        <w:br/>
        <w:t xml:space="preserve">Emergency services (through improved access and safer design) Secondary beneficiaries include utility providers (coordinated infrastructure works) and future residents or property owners who benefit from enhanced neighbourhood desirability. By delivering tangible benefits across this range of actors, the project creates a foundation for broad-based support and long-term stewardship, consistent with the value-creation logic of stakeholder theory (Freeman et al., 2010). </w:t>
      </w:r>
      <w:r w:rsidRPr="000932FC">
        <w:rPr>
          <w:rFonts w:ascii="Times New Roman" w:eastAsia="Times New Roman" w:hAnsi="Times New Roman" w:cs="Times New Roman"/>
          <w:kern w:val="0"/>
          <w:lang w:eastAsia="en-GB"/>
          <w14:ligatures w14:val="none"/>
        </w:rPr>
        <w:br/>
      </w:r>
      <w:r w:rsidRPr="000932FC">
        <w:rPr>
          <w:rFonts w:ascii="Times New Roman" w:eastAsia="Times New Roman" w:hAnsi="Times New Roman" w:cs="Times New Roman"/>
          <w:kern w:val="0"/>
          <w:lang w:eastAsia="en-GB"/>
          <w14:ligatures w14:val="none"/>
        </w:rPr>
        <w:br/>
      </w:r>
      <w:r w:rsidRPr="007508B7">
        <w:rPr>
          <w:rFonts w:ascii="Times New Roman" w:eastAsia="Times New Roman" w:hAnsi="Times New Roman" w:cs="Times New Roman"/>
          <w:b/>
          <w:bCs/>
          <w:kern w:val="0"/>
          <w:sz w:val="32"/>
          <w:szCs w:val="32"/>
          <w:u w:val="single"/>
          <w:lang w:eastAsia="en-GB"/>
          <w14:ligatures w14:val="none"/>
        </w:rPr>
        <w:t>Element 2: Application – Strategies for Stakeholder Engagement</w:t>
      </w:r>
      <w:r w:rsidRPr="007508B7">
        <w:rPr>
          <w:rFonts w:ascii="Times New Roman" w:eastAsia="Times New Roman" w:hAnsi="Times New Roman" w:cs="Times New Roman"/>
          <w:kern w:val="0"/>
          <w:sz w:val="32"/>
          <w:szCs w:val="32"/>
          <w:u w:val="single"/>
          <w:lang w:eastAsia="en-GB"/>
          <w14:ligatures w14:val="none"/>
        </w:rPr>
        <w:t xml:space="preserve"> </w:t>
      </w:r>
    </w:p>
    <w:p w14:paraId="52F7BF84" w14:textId="77777777" w:rsidR="00093E68" w:rsidRPr="000932FC" w:rsidRDefault="00093E68" w:rsidP="00093E68">
      <w:pPr>
        <w:spacing w:after="0" w:line="240" w:lineRule="auto"/>
        <w:rPr>
          <w:rFonts w:ascii="Times New Roman" w:eastAsia="Times New Roman" w:hAnsi="Times New Roman" w:cs="Times New Roman"/>
          <w:kern w:val="0"/>
          <w:lang w:eastAsia="en-GB"/>
          <w14:ligatures w14:val="none"/>
        </w:rPr>
      </w:pPr>
      <w:r w:rsidRPr="000932FC">
        <w:rPr>
          <w:rFonts w:ascii="Times New Roman" w:eastAsia="Times New Roman" w:hAnsi="Times New Roman" w:cs="Times New Roman"/>
          <w:kern w:val="0"/>
          <w:lang w:eastAsia="en-GB"/>
          <w14:ligatures w14:val="none"/>
        </w:rPr>
        <w:t>Stakeholder theory is the theoretical basis of the engagement plan. Freeman’s (1984) original formulation and subsequent refinements (Freeman et al., 2010) argue that managers should create value for multiple stakeholders simultaneously rather than prioritising shareholders or a single dominant interest. In project contexts this requires systematic identification and analysis of power and interest, as well as the design of differentiated engagement strategies (Project Management Institute, 2021). The following plan applies these concepts to the new public park.</w:t>
      </w:r>
      <w:r w:rsidRPr="000932FC">
        <w:rPr>
          <w:rFonts w:ascii="Times New Roman" w:eastAsia="Times New Roman" w:hAnsi="Times New Roman" w:cs="Times New Roman"/>
          <w:kern w:val="0"/>
          <w:lang w:eastAsia="en-GB"/>
          <w14:ligatures w14:val="none"/>
        </w:rPr>
        <w:br/>
      </w:r>
      <w:r w:rsidRPr="007508B7">
        <w:rPr>
          <w:rFonts w:ascii="Times New Roman" w:eastAsia="Times New Roman" w:hAnsi="Times New Roman" w:cs="Times New Roman"/>
          <w:b/>
          <w:bCs/>
          <w:kern w:val="0"/>
          <w:lang w:eastAsia="en-GB"/>
          <w14:ligatures w14:val="none"/>
        </w:rPr>
        <w:t>Power-Interest-Influence Table</w:t>
      </w:r>
      <w:r w:rsidRPr="007508B7">
        <w:rPr>
          <w:rFonts w:ascii="Times New Roman" w:eastAsia="Times New Roman" w:hAnsi="Times New Roman" w:cs="Times New Roman"/>
          <w:kern w:val="0"/>
          <w:lang w:eastAsia="en-GB"/>
          <w14:ligatures w14:val="none"/>
        </w:rPr>
        <w:br/>
      </w:r>
      <w:r w:rsidRPr="000932FC">
        <w:rPr>
          <w:rFonts w:ascii="Times New Roman" w:eastAsia="Times New Roman" w:hAnsi="Times New Roman" w:cs="Times New Roman"/>
          <w:kern w:val="0"/>
          <w:lang w:eastAsia="en-GB"/>
          <w14:ligatures w14:val="none"/>
        </w:rPr>
        <w:t xml:space="preserve">Stakeholders were evaluated according to the classic power–interest matrix originally developed by Mendelow (1991) and widely popularised in strategic-management texts (Johnson et al., 2017). An additional influence dimension was added to account for informal networks, social-media reach and potential for organised mobilisation. Ratings are High / Medium / Low. </w:t>
      </w:r>
      <w:r w:rsidRPr="000932FC">
        <w:rPr>
          <w:rFonts w:ascii="Times New Roman" w:eastAsia="Times New Roman" w:hAnsi="Times New Roman" w:cs="Times New Roman"/>
          <w:kern w:val="0"/>
          <w:lang w:eastAsia="en-GB"/>
          <w14:ligatures w14:val="none"/>
        </w:rPr>
        <w:br/>
      </w:r>
      <w:r w:rsidRPr="000932FC">
        <w:rPr>
          <w:rFonts w:ascii="Times New Roman" w:eastAsia="Times New Roman" w:hAnsi="Times New Roman" w:cs="Times New Roman"/>
          <w:kern w:val="0"/>
          <w:lang w:eastAsia="en-GB"/>
          <w14:ligatures w14:val="none"/>
        </w:rPr>
        <w:br/>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34"/>
        <w:gridCol w:w="1293"/>
        <w:gridCol w:w="874"/>
        <w:gridCol w:w="1020"/>
        <w:gridCol w:w="2705"/>
      </w:tblGrid>
      <w:tr w:rsidR="00093E68" w:rsidRPr="007508B7" w14:paraId="3F637B16" w14:textId="77777777" w:rsidTr="00DC3DE5">
        <w:trPr>
          <w:tblHeader/>
          <w:tblCellSpacing w:w="15" w:type="dxa"/>
        </w:trPr>
        <w:tc>
          <w:tcPr>
            <w:tcW w:w="0" w:type="auto"/>
            <w:vAlign w:val="center"/>
            <w:hideMark/>
          </w:tcPr>
          <w:p w14:paraId="057B1A4D" w14:textId="77777777" w:rsidR="00093E68" w:rsidRPr="007508B7" w:rsidRDefault="00093E68" w:rsidP="00DC3DE5">
            <w:pPr>
              <w:spacing w:after="0" w:line="240" w:lineRule="auto"/>
              <w:jc w:val="center"/>
              <w:rPr>
                <w:rFonts w:ascii="Times New Roman" w:eastAsia="Times New Roman" w:hAnsi="Times New Roman" w:cs="Times New Roman"/>
                <w:b/>
                <w:bCs/>
                <w:kern w:val="0"/>
                <w:lang w:eastAsia="en-GB"/>
                <w14:ligatures w14:val="none"/>
              </w:rPr>
            </w:pPr>
            <w:r w:rsidRPr="007508B7">
              <w:rPr>
                <w:rFonts w:ascii="Times New Roman" w:eastAsia="Times New Roman" w:hAnsi="Times New Roman" w:cs="Times New Roman"/>
                <w:b/>
                <w:bCs/>
                <w:kern w:val="0"/>
                <w:lang w:eastAsia="en-GB"/>
                <w14:ligatures w14:val="none"/>
              </w:rPr>
              <w:t>Stakeholder</w:t>
            </w:r>
          </w:p>
        </w:tc>
        <w:tc>
          <w:tcPr>
            <w:tcW w:w="0" w:type="auto"/>
            <w:vAlign w:val="center"/>
            <w:hideMark/>
          </w:tcPr>
          <w:p w14:paraId="5EACAC4D" w14:textId="77777777" w:rsidR="00093E68" w:rsidRPr="007508B7" w:rsidRDefault="00093E68" w:rsidP="00DC3DE5">
            <w:pPr>
              <w:spacing w:after="0" w:line="240" w:lineRule="auto"/>
              <w:jc w:val="center"/>
              <w:rPr>
                <w:rFonts w:ascii="Times New Roman" w:eastAsia="Times New Roman" w:hAnsi="Times New Roman" w:cs="Times New Roman"/>
                <w:b/>
                <w:bCs/>
                <w:kern w:val="0"/>
                <w:lang w:eastAsia="en-GB"/>
                <w14:ligatures w14:val="none"/>
              </w:rPr>
            </w:pPr>
            <w:r w:rsidRPr="007508B7">
              <w:rPr>
                <w:rFonts w:ascii="Times New Roman" w:eastAsia="Times New Roman" w:hAnsi="Times New Roman" w:cs="Times New Roman"/>
                <w:b/>
                <w:bCs/>
                <w:kern w:val="0"/>
                <w:lang w:eastAsia="en-GB"/>
                <w14:ligatures w14:val="none"/>
              </w:rPr>
              <w:t>Power</w:t>
            </w:r>
          </w:p>
        </w:tc>
        <w:tc>
          <w:tcPr>
            <w:tcW w:w="0" w:type="auto"/>
            <w:vAlign w:val="center"/>
            <w:hideMark/>
          </w:tcPr>
          <w:p w14:paraId="215AE5E2" w14:textId="77777777" w:rsidR="00093E68" w:rsidRPr="007508B7" w:rsidRDefault="00093E68" w:rsidP="00DC3DE5">
            <w:pPr>
              <w:spacing w:after="0" w:line="240" w:lineRule="auto"/>
              <w:jc w:val="center"/>
              <w:rPr>
                <w:rFonts w:ascii="Times New Roman" w:eastAsia="Times New Roman" w:hAnsi="Times New Roman" w:cs="Times New Roman"/>
                <w:b/>
                <w:bCs/>
                <w:kern w:val="0"/>
                <w:lang w:eastAsia="en-GB"/>
                <w14:ligatures w14:val="none"/>
              </w:rPr>
            </w:pPr>
            <w:r w:rsidRPr="007508B7">
              <w:rPr>
                <w:rFonts w:ascii="Times New Roman" w:eastAsia="Times New Roman" w:hAnsi="Times New Roman" w:cs="Times New Roman"/>
                <w:b/>
                <w:bCs/>
                <w:kern w:val="0"/>
                <w:lang w:eastAsia="en-GB"/>
                <w14:ligatures w14:val="none"/>
              </w:rPr>
              <w:t>Interest</w:t>
            </w:r>
          </w:p>
        </w:tc>
        <w:tc>
          <w:tcPr>
            <w:tcW w:w="0" w:type="auto"/>
            <w:vAlign w:val="center"/>
            <w:hideMark/>
          </w:tcPr>
          <w:p w14:paraId="3731D5C3" w14:textId="77777777" w:rsidR="00093E68" w:rsidRPr="007508B7" w:rsidRDefault="00093E68" w:rsidP="00DC3DE5">
            <w:pPr>
              <w:spacing w:after="0" w:line="240" w:lineRule="auto"/>
              <w:jc w:val="center"/>
              <w:rPr>
                <w:rFonts w:ascii="Times New Roman" w:eastAsia="Times New Roman" w:hAnsi="Times New Roman" w:cs="Times New Roman"/>
                <w:b/>
                <w:bCs/>
                <w:kern w:val="0"/>
                <w:lang w:eastAsia="en-GB"/>
                <w14:ligatures w14:val="none"/>
              </w:rPr>
            </w:pPr>
            <w:r w:rsidRPr="007508B7">
              <w:rPr>
                <w:rFonts w:ascii="Times New Roman" w:eastAsia="Times New Roman" w:hAnsi="Times New Roman" w:cs="Times New Roman"/>
                <w:b/>
                <w:bCs/>
                <w:kern w:val="0"/>
                <w:lang w:eastAsia="en-GB"/>
                <w14:ligatures w14:val="none"/>
              </w:rPr>
              <w:t>Influence</w:t>
            </w:r>
          </w:p>
        </w:tc>
        <w:tc>
          <w:tcPr>
            <w:tcW w:w="0" w:type="auto"/>
            <w:vAlign w:val="center"/>
            <w:hideMark/>
          </w:tcPr>
          <w:p w14:paraId="0DE25855" w14:textId="77777777" w:rsidR="00093E68" w:rsidRPr="007508B7" w:rsidRDefault="00093E68" w:rsidP="00DC3DE5">
            <w:pPr>
              <w:spacing w:after="0" w:line="240" w:lineRule="auto"/>
              <w:jc w:val="center"/>
              <w:rPr>
                <w:rFonts w:ascii="Times New Roman" w:eastAsia="Times New Roman" w:hAnsi="Times New Roman" w:cs="Times New Roman"/>
                <w:b/>
                <w:bCs/>
                <w:kern w:val="0"/>
                <w:lang w:eastAsia="en-GB"/>
                <w14:ligatures w14:val="none"/>
              </w:rPr>
            </w:pPr>
            <w:r w:rsidRPr="007508B7">
              <w:rPr>
                <w:rFonts w:ascii="Times New Roman" w:eastAsia="Times New Roman" w:hAnsi="Times New Roman" w:cs="Times New Roman"/>
                <w:b/>
                <w:bCs/>
                <w:kern w:val="0"/>
                <w:lang w:eastAsia="en-GB"/>
                <w14:ligatures w14:val="none"/>
              </w:rPr>
              <w:t>Overall Priority</w:t>
            </w:r>
          </w:p>
        </w:tc>
      </w:tr>
      <w:tr w:rsidR="00093E68" w:rsidRPr="007508B7" w14:paraId="0EDCCFC0" w14:textId="77777777" w:rsidTr="00DC3DE5">
        <w:trPr>
          <w:tblCellSpacing w:w="15" w:type="dxa"/>
        </w:trPr>
        <w:tc>
          <w:tcPr>
            <w:tcW w:w="0" w:type="auto"/>
            <w:vAlign w:val="center"/>
            <w:hideMark/>
          </w:tcPr>
          <w:p w14:paraId="6675DC66"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Local Authority / Council</w:t>
            </w:r>
          </w:p>
        </w:tc>
        <w:tc>
          <w:tcPr>
            <w:tcW w:w="0" w:type="auto"/>
            <w:vAlign w:val="center"/>
            <w:hideMark/>
          </w:tcPr>
          <w:p w14:paraId="529513FD"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High</w:t>
            </w:r>
          </w:p>
        </w:tc>
        <w:tc>
          <w:tcPr>
            <w:tcW w:w="0" w:type="auto"/>
            <w:vAlign w:val="center"/>
            <w:hideMark/>
          </w:tcPr>
          <w:p w14:paraId="3C2CB012"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High</w:t>
            </w:r>
          </w:p>
        </w:tc>
        <w:tc>
          <w:tcPr>
            <w:tcW w:w="0" w:type="auto"/>
            <w:vAlign w:val="center"/>
            <w:hideMark/>
          </w:tcPr>
          <w:p w14:paraId="196B703E"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High</w:t>
            </w:r>
          </w:p>
        </w:tc>
        <w:tc>
          <w:tcPr>
            <w:tcW w:w="0" w:type="auto"/>
            <w:vAlign w:val="center"/>
            <w:hideMark/>
          </w:tcPr>
          <w:p w14:paraId="49BDBBDC"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Manage Closely</w:t>
            </w:r>
          </w:p>
        </w:tc>
      </w:tr>
      <w:tr w:rsidR="00093E68" w:rsidRPr="007508B7" w14:paraId="2D856A2E" w14:textId="77777777" w:rsidTr="00DC3DE5">
        <w:trPr>
          <w:tblCellSpacing w:w="15" w:type="dxa"/>
        </w:trPr>
        <w:tc>
          <w:tcPr>
            <w:tcW w:w="0" w:type="auto"/>
            <w:vAlign w:val="center"/>
            <w:hideMark/>
          </w:tcPr>
          <w:p w14:paraId="481AB0A5"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Local Councillors / Ward Members</w:t>
            </w:r>
          </w:p>
        </w:tc>
        <w:tc>
          <w:tcPr>
            <w:tcW w:w="0" w:type="auto"/>
            <w:vAlign w:val="center"/>
            <w:hideMark/>
          </w:tcPr>
          <w:p w14:paraId="42F7971D"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High</w:t>
            </w:r>
          </w:p>
        </w:tc>
        <w:tc>
          <w:tcPr>
            <w:tcW w:w="0" w:type="auto"/>
            <w:vAlign w:val="center"/>
            <w:hideMark/>
          </w:tcPr>
          <w:p w14:paraId="2F6CFFF7"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High</w:t>
            </w:r>
          </w:p>
        </w:tc>
        <w:tc>
          <w:tcPr>
            <w:tcW w:w="0" w:type="auto"/>
            <w:vAlign w:val="center"/>
            <w:hideMark/>
          </w:tcPr>
          <w:p w14:paraId="03A464B3"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High</w:t>
            </w:r>
          </w:p>
        </w:tc>
        <w:tc>
          <w:tcPr>
            <w:tcW w:w="0" w:type="auto"/>
            <w:vAlign w:val="center"/>
            <w:hideMark/>
          </w:tcPr>
          <w:p w14:paraId="54B7E2D2"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Manage Closely</w:t>
            </w:r>
          </w:p>
        </w:tc>
      </w:tr>
      <w:tr w:rsidR="00093E68" w:rsidRPr="007508B7" w14:paraId="020B33BC" w14:textId="77777777" w:rsidTr="00DC3DE5">
        <w:trPr>
          <w:tblCellSpacing w:w="15" w:type="dxa"/>
        </w:trPr>
        <w:tc>
          <w:tcPr>
            <w:tcW w:w="0" w:type="auto"/>
            <w:vAlign w:val="center"/>
            <w:hideMark/>
          </w:tcPr>
          <w:p w14:paraId="72474305"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proofErr w:type="gramStart"/>
            <w:r w:rsidRPr="007508B7">
              <w:rPr>
                <w:rFonts w:ascii="Times New Roman" w:eastAsia="Times New Roman" w:hAnsi="Times New Roman" w:cs="Times New Roman"/>
                <w:kern w:val="0"/>
                <w:lang w:eastAsia="en-GB"/>
                <w14:ligatures w14:val="none"/>
              </w:rPr>
              <w:t>Local Residents</w:t>
            </w:r>
            <w:proofErr w:type="gramEnd"/>
            <w:r w:rsidRPr="007508B7">
              <w:rPr>
                <w:rFonts w:ascii="Times New Roman" w:eastAsia="Times New Roman" w:hAnsi="Times New Roman" w:cs="Times New Roman"/>
                <w:kern w:val="0"/>
                <w:lang w:eastAsia="en-GB"/>
                <w14:ligatures w14:val="none"/>
              </w:rPr>
              <w:t xml:space="preserve"> (general)</w:t>
            </w:r>
          </w:p>
        </w:tc>
        <w:tc>
          <w:tcPr>
            <w:tcW w:w="0" w:type="auto"/>
            <w:vAlign w:val="center"/>
            <w:hideMark/>
          </w:tcPr>
          <w:p w14:paraId="32E30EA1"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Medium</w:t>
            </w:r>
          </w:p>
        </w:tc>
        <w:tc>
          <w:tcPr>
            <w:tcW w:w="0" w:type="auto"/>
            <w:vAlign w:val="center"/>
            <w:hideMark/>
          </w:tcPr>
          <w:p w14:paraId="4BB4FB0C"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High</w:t>
            </w:r>
          </w:p>
        </w:tc>
        <w:tc>
          <w:tcPr>
            <w:tcW w:w="0" w:type="auto"/>
            <w:vAlign w:val="center"/>
            <w:hideMark/>
          </w:tcPr>
          <w:p w14:paraId="790FDCEA"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Medium</w:t>
            </w:r>
          </w:p>
        </w:tc>
        <w:tc>
          <w:tcPr>
            <w:tcW w:w="0" w:type="auto"/>
            <w:vAlign w:val="center"/>
            <w:hideMark/>
          </w:tcPr>
          <w:p w14:paraId="709AE9E0"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Keep Satisfied / Manage Closely</w:t>
            </w:r>
          </w:p>
        </w:tc>
      </w:tr>
      <w:tr w:rsidR="00093E68" w:rsidRPr="007508B7" w14:paraId="1DAB42C6" w14:textId="77777777" w:rsidTr="00DC3DE5">
        <w:trPr>
          <w:tblCellSpacing w:w="15" w:type="dxa"/>
        </w:trPr>
        <w:tc>
          <w:tcPr>
            <w:tcW w:w="0" w:type="auto"/>
            <w:vAlign w:val="center"/>
            <w:hideMark/>
          </w:tcPr>
          <w:p w14:paraId="02CC626E"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Children, Families &amp; Youth Groups</w:t>
            </w:r>
          </w:p>
        </w:tc>
        <w:tc>
          <w:tcPr>
            <w:tcW w:w="0" w:type="auto"/>
            <w:vAlign w:val="center"/>
            <w:hideMark/>
          </w:tcPr>
          <w:p w14:paraId="75E8D31A"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Low</w:t>
            </w:r>
          </w:p>
        </w:tc>
        <w:tc>
          <w:tcPr>
            <w:tcW w:w="0" w:type="auto"/>
            <w:vAlign w:val="center"/>
            <w:hideMark/>
          </w:tcPr>
          <w:p w14:paraId="7FF785AC"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High</w:t>
            </w:r>
          </w:p>
        </w:tc>
        <w:tc>
          <w:tcPr>
            <w:tcW w:w="0" w:type="auto"/>
            <w:vAlign w:val="center"/>
            <w:hideMark/>
          </w:tcPr>
          <w:p w14:paraId="55D00C26"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Medium</w:t>
            </w:r>
          </w:p>
        </w:tc>
        <w:tc>
          <w:tcPr>
            <w:tcW w:w="0" w:type="auto"/>
            <w:vAlign w:val="center"/>
            <w:hideMark/>
          </w:tcPr>
          <w:p w14:paraId="296EE09A"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Keep Informed</w:t>
            </w:r>
          </w:p>
        </w:tc>
      </w:tr>
      <w:tr w:rsidR="00093E68" w:rsidRPr="007508B7" w14:paraId="29439A3F" w14:textId="77777777" w:rsidTr="00DC3DE5">
        <w:trPr>
          <w:tblCellSpacing w:w="15" w:type="dxa"/>
        </w:trPr>
        <w:tc>
          <w:tcPr>
            <w:tcW w:w="0" w:type="auto"/>
            <w:vAlign w:val="center"/>
            <w:hideMark/>
          </w:tcPr>
          <w:p w14:paraId="4E2D5CB4"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Local Businesses</w:t>
            </w:r>
          </w:p>
        </w:tc>
        <w:tc>
          <w:tcPr>
            <w:tcW w:w="0" w:type="auto"/>
            <w:vAlign w:val="center"/>
            <w:hideMark/>
          </w:tcPr>
          <w:p w14:paraId="3D4A36C3"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Medium</w:t>
            </w:r>
          </w:p>
        </w:tc>
        <w:tc>
          <w:tcPr>
            <w:tcW w:w="0" w:type="auto"/>
            <w:vAlign w:val="center"/>
            <w:hideMark/>
          </w:tcPr>
          <w:p w14:paraId="6323BAB8"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Medium</w:t>
            </w:r>
          </w:p>
        </w:tc>
        <w:tc>
          <w:tcPr>
            <w:tcW w:w="0" w:type="auto"/>
            <w:vAlign w:val="center"/>
            <w:hideMark/>
          </w:tcPr>
          <w:p w14:paraId="6CBF038D"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Medium</w:t>
            </w:r>
          </w:p>
        </w:tc>
        <w:tc>
          <w:tcPr>
            <w:tcW w:w="0" w:type="auto"/>
            <w:vAlign w:val="center"/>
            <w:hideMark/>
          </w:tcPr>
          <w:p w14:paraId="76F828D6"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Keep Informed</w:t>
            </w:r>
          </w:p>
        </w:tc>
      </w:tr>
      <w:tr w:rsidR="00093E68" w:rsidRPr="007508B7" w14:paraId="163B5E4C" w14:textId="77777777" w:rsidTr="00DC3DE5">
        <w:trPr>
          <w:tblCellSpacing w:w="15" w:type="dxa"/>
        </w:trPr>
        <w:tc>
          <w:tcPr>
            <w:tcW w:w="0" w:type="auto"/>
            <w:vAlign w:val="center"/>
            <w:hideMark/>
          </w:tcPr>
          <w:p w14:paraId="21812A25"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Environmental / Conservation NGOs</w:t>
            </w:r>
          </w:p>
        </w:tc>
        <w:tc>
          <w:tcPr>
            <w:tcW w:w="0" w:type="auto"/>
            <w:vAlign w:val="center"/>
            <w:hideMark/>
          </w:tcPr>
          <w:p w14:paraId="733A9D50"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Low–Medium</w:t>
            </w:r>
          </w:p>
        </w:tc>
        <w:tc>
          <w:tcPr>
            <w:tcW w:w="0" w:type="auto"/>
            <w:vAlign w:val="center"/>
            <w:hideMark/>
          </w:tcPr>
          <w:p w14:paraId="2AB1F808"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High</w:t>
            </w:r>
          </w:p>
        </w:tc>
        <w:tc>
          <w:tcPr>
            <w:tcW w:w="0" w:type="auto"/>
            <w:vAlign w:val="center"/>
            <w:hideMark/>
          </w:tcPr>
          <w:p w14:paraId="08850907"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Medium</w:t>
            </w:r>
          </w:p>
        </w:tc>
        <w:tc>
          <w:tcPr>
            <w:tcW w:w="0" w:type="auto"/>
            <w:vAlign w:val="center"/>
            <w:hideMark/>
          </w:tcPr>
          <w:p w14:paraId="72B7F4E8"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Keep Informed / Manage Closely</w:t>
            </w:r>
          </w:p>
        </w:tc>
      </w:tr>
      <w:tr w:rsidR="00093E68" w:rsidRPr="007508B7" w14:paraId="0F30348E" w14:textId="77777777" w:rsidTr="00DC3DE5">
        <w:trPr>
          <w:tblCellSpacing w:w="15" w:type="dxa"/>
        </w:trPr>
        <w:tc>
          <w:tcPr>
            <w:tcW w:w="0" w:type="auto"/>
            <w:vAlign w:val="center"/>
            <w:hideMark/>
          </w:tcPr>
          <w:p w14:paraId="7E9D4061"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Schools &amp; Community Organisations</w:t>
            </w:r>
          </w:p>
        </w:tc>
        <w:tc>
          <w:tcPr>
            <w:tcW w:w="0" w:type="auto"/>
            <w:vAlign w:val="center"/>
            <w:hideMark/>
          </w:tcPr>
          <w:p w14:paraId="71BBC0F9"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Low</w:t>
            </w:r>
          </w:p>
        </w:tc>
        <w:tc>
          <w:tcPr>
            <w:tcW w:w="0" w:type="auto"/>
            <w:vAlign w:val="center"/>
            <w:hideMark/>
          </w:tcPr>
          <w:p w14:paraId="4AE6F47C"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High</w:t>
            </w:r>
          </w:p>
        </w:tc>
        <w:tc>
          <w:tcPr>
            <w:tcW w:w="0" w:type="auto"/>
            <w:vAlign w:val="center"/>
            <w:hideMark/>
          </w:tcPr>
          <w:p w14:paraId="193E25C5"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Medium</w:t>
            </w:r>
          </w:p>
        </w:tc>
        <w:tc>
          <w:tcPr>
            <w:tcW w:w="0" w:type="auto"/>
            <w:vAlign w:val="center"/>
            <w:hideMark/>
          </w:tcPr>
          <w:p w14:paraId="003BBF8D"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Keep Informed</w:t>
            </w:r>
          </w:p>
        </w:tc>
      </w:tr>
      <w:tr w:rsidR="00093E68" w:rsidRPr="007508B7" w14:paraId="0F2DC74C" w14:textId="77777777" w:rsidTr="00DC3DE5">
        <w:trPr>
          <w:tblCellSpacing w:w="15" w:type="dxa"/>
        </w:trPr>
        <w:tc>
          <w:tcPr>
            <w:tcW w:w="0" w:type="auto"/>
            <w:vAlign w:val="center"/>
            <w:hideMark/>
          </w:tcPr>
          <w:p w14:paraId="475CE522"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Media / Local Press</w:t>
            </w:r>
          </w:p>
        </w:tc>
        <w:tc>
          <w:tcPr>
            <w:tcW w:w="0" w:type="auto"/>
            <w:vAlign w:val="center"/>
            <w:hideMark/>
          </w:tcPr>
          <w:p w14:paraId="51CF1E60"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Medium</w:t>
            </w:r>
          </w:p>
        </w:tc>
        <w:tc>
          <w:tcPr>
            <w:tcW w:w="0" w:type="auto"/>
            <w:vAlign w:val="center"/>
            <w:hideMark/>
          </w:tcPr>
          <w:p w14:paraId="11CD30CE"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Medium</w:t>
            </w:r>
          </w:p>
        </w:tc>
        <w:tc>
          <w:tcPr>
            <w:tcW w:w="0" w:type="auto"/>
            <w:vAlign w:val="center"/>
            <w:hideMark/>
          </w:tcPr>
          <w:p w14:paraId="07D5FFD8"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High</w:t>
            </w:r>
          </w:p>
        </w:tc>
        <w:tc>
          <w:tcPr>
            <w:tcW w:w="0" w:type="auto"/>
            <w:vAlign w:val="center"/>
            <w:hideMark/>
          </w:tcPr>
          <w:p w14:paraId="37C4AD01" w14:textId="77777777" w:rsidR="00093E68" w:rsidRPr="007508B7" w:rsidRDefault="00093E68" w:rsidP="00DC3DE5">
            <w:pPr>
              <w:spacing w:after="0" w:line="240" w:lineRule="auto"/>
              <w:rPr>
                <w:rFonts w:ascii="Times New Roman" w:eastAsia="Times New Roman" w:hAnsi="Times New Roman" w:cs="Times New Roman"/>
                <w:kern w:val="0"/>
                <w:lang w:eastAsia="en-GB"/>
                <w14:ligatures w14:val="none"/>
              </w:rPr>
            </w:pPr>
            <w:r w:rsidRPr="007508B7">
              <w:rPr>
                <w:rFonts w:ascii="Times New Roman" w:eastAsia="Times New Roman" w:hAnsi="Times New Roman" w:cs="Times New Roman"/>
                <w:kern w:val="0"/>
                <w:lang w:eastAsia="en-GB"/>
                <w14:ligatures w14:val="none"/>
              </w:rPr>
              <w:t>Monitor / Keep Satisfied</w:t>
            </w:r>
          </w:p>
        </w:tc>
      </w:tr>
    </w:tbl>
    <w:p w14:paraId="6A437078" w14:textId="77777777" w:rsidR="00093E68" w:rsidRPr="000932FC" w:rsidRDefault="00093E68" w:rsidP="00093E68">
      <w:pPr>
        <w:spacing w:after="0" w:line="240" w:lineRule="auto"/>
        <w:rPr>
          <w:rFonts w:ascii="Times New Roman" w:eastAsia="Times New Roman" w:hAnsi="Times New Roman" w:cs="Times New Roman"/>
          <w:b/>
          <w:bCs/>
          <w:kern w:val="0"/>
          <w:lang w:eastAsia="en-GB"/>
          <w14:ligatures w14:val="none"/>
        </w:rPr>
      </w:pPr>
      <w:r w:rsidRPr="007508B7">
        <w:rPr>
          <w:rFonts w:ascii="Times New Roman" w:eastAsia="Times New Roman" w:hAnsi="Times New Roman" w:cs="Times New Roman"/>
          <w:b/>
          <w:bCs/>
          <w:kern w:val="0"/>
          <w:lang w:eastAsia="en-GB"/>
          <w14:ligatures w14:val="none"/>
        </w:rPr>
        <w:lastRenderedPageBreak/>
        <w:t>Figure 2 Stakeholder map and rationale</w:t>
      </w:r>
      <w:r w:rsidRPr="000932FC">
        <w:rPr>
          <w:rFonts w:ascii="Times New Roman" w:eastAsia="Times New Roman" w:hAnsi="Times New Roman" w:cs="Times New Roman"/>
          <w:kern w:val="0"/>
          <w:lang w:eastAsia="en-GB"/>
          <w14:ligatures w14:val="none"/>
        </w:rPr>
        <w:br/>
        <w:t>The matrix generates four classic quadrants; each implies a different management approach (Mendelow, 1991; Johnson et al., 2017):</w:t>
      </w:r>
      <w:r w:rsidRPr="000932FC">
        <w:rPr>
          <w:rFonts w:ascii="Times New Roman" w:eastAsia="Times New Roman" w:hAnsi="Times New Roman" w:cs="Times New Roman"/>
          <w:kern w:val="0"/>
          <w:lang w:eastAsia="en-GB"/>
          <w14:ligatures w14:val="none"/>
        </w:rPr>
        <w:br/>
      </w:r>
      <w:r w:rsidRPr="000932FC">
        <w:rPr>
          <w:rFonts w:ascii="Times New Roman" w:eastAsia="Times New Roman" w:hAnsi="Times New Roman" w:cs="Times New Roman"/>
          <w:kern w:val="0"/>
          <w:lang w:eastAsia="en-GB"/>
          <w14:ligatures w14:val="none"/>
        </w:rPr>
        <w:br/>
      </w:r>
      <w:r>
        <w:rPr>
          <w:rFonts w:ascii="Times New Roman" w:eastAsia="Times New Roman" w:hAnsi="Times New Roman" w:cs="Times New Roman"/>
          <w:b/>
          <w:bCs/>
          <w:kern w:val="0"/>
          <w:lang w:eastAsia="en-GB"/>
          <w14:ligatures w14:val="none"/>
        </w:rPr>
        <w:t>-</w:t>
      </w:r>
      <w:r w:rsidRPr="007508B7">
        <w:rPr>
          <w:rFonts w:ascii="Times New Roman" w:eastAsia="Times New Roman" w:hAnsi="Times New Roman" w:cs="Times New Roman"/>
          <w:b/>
          <w:bCs/>
          <w:kern w:val="0"/>
          <w:lang w:eastAsia="en-GB"/>
          <w14:ligatures w14:val="none"/>
        </w:rPr>
        <w:t xml:space="preserve">High Power / High Interest (Manage Closely) </w:t>
      </w:r>
      <w:r w:rsidRPr="007508B7">
        <w:rPr>
          <w:rFonts w:ascii="Times New Roman" w:eastAsia="Times New Roman" w:hAnsi="Times New Roman" w:cs="Times New Roman"/>
          <w:b/>
          <w:bCs/>
          <w:kern w:val="0"/>
          <w:lang w:eastAsia="en-GB"/>
          <w14:ligatures w14:val="none"/>
        </w:rPr>
        <w:br/>
      </w:r>
      <w:r w:rsidRPr="000932FC">
        <w:rPr>
          <w:rFonts w:ascii="Times New Roman" w:eastAsia="Times New Roman" w:hAnsi="Times New Roman" w:cs="Times New Roman"/>
          <w:kern w:val="0"/>
          <w:lang w:eastAsia="en-GB"/>
          <w14:ligatures w14:val="none"/>
        </w:rPr>
        <w:t>This quadrant is occupied by local authority officers, elected ward councillors and any major landowners or external funders. The actors have control of planning permission, capital and revenue budgets and political capital. Their backing – or lack of it – can be the determining factor as to whether the project ever gets off the ground at all. Continuous two-way engagement, including formal progress reports, risk briefings and early involvement in key design decisions, is therefore essential. Literature on major infrastructure projects confirms that a common source of delay and cost overrun is failure to manage high-power stakeholders closely (</w:t>
      </w:r>
      <w:proofErr w:type="spellStart"/>
      <w:r w:rsidRPr="000932FC">
        <w:rPr>
          <w:rFonts w:ascii="Times New Roman" w:eastAsia="Times New Roman" w:hAnsi="Times New Roman" w:cs="Times New Roman"/>
          <w:kern w:val="0"/>
          <w:lang w:eastAsia="en-GB"/>
          <w14:ligatures w14:val="none"/>
        </w:rPr>
        <w:t>Doloi</w:t>
      </w:r>
      <w:proofErr w:type="spellEnd"/>
      <w:r w:rsidRPr="000932FC">
        <w:rPr>
          <w:rFonts w:ascii="Times New Roman" w:eastAsia="Times New Roman" w:hAnsi="Times New Roman" w:cs="Times New Roman"/>
          <w:kern w:val="0"/>
          <w:lang w:eastAsia="en-GB"/>
          <w14:ligatures w14:val="none"/>
        </w:rPr>
        <w:t>, 2020).</w:t>
      </w:r>
      <w:r w:rsidRPr="000932FC">
        <w:rPr>
          <w:rFonts w:ascii="Times New Roman" w:eastAsia="Times New Roman" w:hAnsi="Times New Roman" w:cs="Times New Roman"/>
          <w:kern w:val="0"/>
          <w:lang w:eastAsia="en-GB"/>
          <w14:ligatures w14:val="none"/>
        </w:rPr>
        <w:br/>
      </w:r>
      <w:r>
        <w:rPr>
          <w:rFonts w:ascii="Times New Roman" w:eastAsia="Times New Roman" w:hAnsi="Times New Roman" w:cs="Times New Roman"/>
          <w:b/>
          <w:bCs/>
          <w:kern w:val="0"/>
          <w:lang w:eastAsia="en-GB"/>
          <w14:ligatures w14:val="none"/>
        </w:rPr>
        <w:t>-</w:t>
      </w:r>
      <w:r w:rsidRPr="007508B7">
        <w:rPr>
          <w:rFonts w:ascii="Times New Roman" w:eastAsia="Times New Roman" w:hAnsi="Times New Roman" w:cs="Times New Roman"/>
          <w:b/>
          <w:bCs/>
          <w:kern w:val="0"/>
          <w:lang w:eastAsia="en-GB"/>
          <w14:ligatures w14:val="none"/>
        </w:rPr>
        <w:t>High Power / Low Interest (Manage Satisfactory)</w:t>
      </w:r>
      <w:r w:rsidRPr="007508B7">
        <w:rPr>
          <w:rFonts w:ascii="Times New Roman" w:eastAsia="Times New Roman" w:hAnsi="Times New Roman" w:cs="Times New Roman"/>
          <w:b/>
          <w:bCs/>
          <w:kern w:val="0"/>
          <w:lang w:eastAsia="en-GB"/>
          <w14:ligatures w14:val="none"/>
        </w:rPr>
        <w:br/>
      </w:r>
      <w:r w:rsidRPr="000932FC">
        <w:rPr>
          <w:rFonts w:ascii="Times New Roman" w:eastAsia="Times New Roman" w:hAnsi="Times New Roman" w:cs="Times New Roman"/>
          <w:kern w:val="0"/>
          <w:lang w:eastAsia="en-GB"/>
          <w14:ligatures w14:val="none"/>
        </w:rPr>
        <w:t xml:space="preserve">Parties who may be affected by construction works but have little day to day interest in the park's recreational design include utility companies, statutory consultees or regional transport authorities. The strategy is to deliver clear, timely technical information, minimise disruption and avoid over-engagement that wastes their limited attention. If problems come </w:t>
      </w:r>
      <w:proofErr w:type="gramStart"/>
      <w:r w:rsidRPr="000932FC">
        <w:rPr>
          <w:rFonts w:ascii="Times New Roman" w:eastAsia="Times New Roman" w:hAnsi="Times New Roman" w:cs="Times New Roman"/>
          <w:kern w:val="0"/>
          <w:lang w:eastAsia="en-GB"/>
          <w14:ligatures w14:val="none"/>
        </w:rPr>
        <w:t>up</w:t>
      </w:r>
      <w:proofErr w:type="gramEnd"/>
      <w:r w:rsidRPr="000932FC">
        <w:rPr>
          <w:rFonts w:ascii="Times New Roman" w:eastAsia="Times New Roman" w:hAnsi="Times New Roman" w:cs="Times New Roman"/>
          <w:kern w:val="0"/>
          <w:lang w:eastAsia="en-GB"/>
          <w14:ligatures w14:val="none"/>
        </w:rPr>
        <w:t xml:space="preserve"> they won't go into active opposition if they are kept happy.</w:t>
      </w:r>
      <w:r w:rsidRPr="000932FC">
        <w:rPr>
          <w:rFonts w:ascii="Times New Roman" w:eastAsia="Times New Roman" w:hAnsi="Times New Roman" w:cs="Times New Roman"/>
          <w:kern w:val="0"/>
          <w:lang w:eastAsia="en-GB"/>
          <w14:ligatures w14:val="none"/>
        </w:rPr>
        <w:br/>
      </w:r>
      <w:r>
        <w:rPr>
          <w:rFonts w:ascii="Times New Roman" w:eastAsia="Times New Roman" w:hAnsi="Times New Roman" w:cs="Times New Roman"/>
          <w:b/>
          <w:bCs/>
          <w:kern w:val="0"/>
          <w:lang w:eastAsia="en-GB"/>
          <w14:ligatures w14:val="none"/>
        </w:rPr>
        <w:t>-</w:t>
      </w:r>
      <w:r w:rsidRPr="007508B7">
        <w:rPr>
          <w:rFonts w:ascii="Times New Roman" w:eastAsia="Times New Roman" w:hAnsi="Times New Roman" w:cs="Times New Roman"/>
          <w:b/>
          <w:bCs/>
          <w:kern w:val="0"/>
          <w:lang w:eastAsia="en-GB"/>
          <w14:ligatures w14:val="none"/>
        </w:rPr>
        <w:t>Low Power / High Interest (Monitor)</w:t>
      </w:r>
      <w:r w:rsidRPr="000932FC">
        <w:rPr>
          <w:rFonts w:ascii="Times New Roman" w:eastAsia="Times New Roman" w:hAnsi="Times New Roman" w:cs="Times New Roman"/>
          <w:kern w:val="0"/>
          <w:lang w:eastAsia="en-GB"/>
          <w14:ligatures w14:val="none"/>
        </w:rPr>
        <w:br/>
        <w:t>This quadrant is occupied by residents, families with children, schools, community organisations and environmental NGOs. They have no formal decision-making power but their collective voice, local knowledge, social-media reach and capacity for organised support or protest make them critically important. Frequent, accessible, and transparent communication builds legitimacy and has the potential to turn latent interest into active advocacy. Regeneration of community greenspace research indicates that multi-stakeholder collaboration that authentically includes these groups provides more long-term benefits than top-down approaches (Wang, 2024).</w:t>
      </w:r>
      <w:r w:rsidRPr="000932FC">
        <w:rPr>
          <w:rFonts w:ascii="Times New Roman" w:eastAsia="Times New Roman" w:hAnsi="Times New Roman" w:cs="Times New Roman"/>
          <w:kern w:val="0"/>
          <w:lang w:eastAsia="en-GB"/>
          <w14:ligatures w14:val="none"/>
        </w:rPr>
        <w:br/>
      </w:r>
      <w:r>
        <w:rPr>
          <w:rFonts w:ascii="Times New Roman" w:eastAsia="Times New Roman" w:hAnsi="Times New Roman" w:cs="Times New Roman"/>
          <w:b/>
          <w:bCs/>
          <w:kern w:val="0"/>
          <w:lang w:eastAsia="en-GB"/>
          <w14:ligatures w14:val="none"/>
        </w:rPr>
        <w:t>-</w:t>
      </w:r>
      <w:r w:rsidRPr="007508B7">
        <w:rPr>
          <w:rFonts w:ascii="Times New Roman" w:eastAsia="Times New Roman" w:hAnsi="Times New Roman" w:cs="Times New Roman"/>
          <w:b/>
          <w:bCs/>
          <w:kern w:val="0"/>
          <w:lang w:eastAsia="en-GB"/>
          <w14:ligatures w14:val="none"/>
        </w:rPr>
        <w:t>Low Power / Low Interest (Observe)</w:t>
      </w:r>
      <w:r w:rsidRPr="000932FC">
        <w:rPr>
          <w:rFonts w:ascii="Times New Roman" w:eastAsia="Times New Roman" w:hAnsi="Times New Roman" w:cs="Times New Roman"/>
          <w:kern w:val="0"/>
          <w:lang w:eastAsia="en-GB"/>
          <w14:ligatures w14:val="none"/>
        </w:rPr>
        <w:br/>
        <w:t>Occasional users outside the immediate catchment or remote supply-chain firms need only light-touch monitoring unless their position shifts.</w:t>
      </w:r>
      <w:r w:rsidRPr="000932FC">
        <w:rPr>
          <w:rFonts w:ascii="Times New Roman" w:eastAsia="Times New Roman" w:hAnsi="Times New Roman" w:cs="Times New Roman"/>
          <w:kern w:val="0"/>
          <w:lang w:eastAsia="en-GB"/>
          <w14:ligatures w14:val="none"/>
        </w:rPr>
        <w:br/>
      </w:r>
      <w:r w:rsidRPr="000932FC">
        <w:rPr>
          <w:rFonts w:ascii="Times New Roman" w:eastAsia="Times New Roman" w:hAnsi="Times New Roman" w:cs="Times New Roman"/>
          <w:kern w:val="0"/>
          <w:lang w:eastAsia="en-GB"/>
          <w14:ligatures w14:val="none"/>
        </w:rPr>
        <w:br/>
        <w:t>The map is alive. A very vocal residents’ association or a surprise media campaign can move a group from “Keep Informed” to “Manage Closely.” Thus, the engagement plan includes regular re-assessment, in line with the Project Management Institute’s (2021) focus on ongoing stakeholder monitoring.</w:t>
      </w:r>
      <w:r w:rsidRPr="000932FC">
        <w:rPr>
          <w:rFonts w:ascii="Times New Roman" w:eastAsia="Times New Roman" w:hAnsi="Times New Roman" w:cs="Times New Roman"/>
          <w:kern w:val="0"/>
          <w:lang w:eastAsia="en-GB"/>
          <w14:ligatures w14:val="none"/>
        </w:rPr>
        <w:br/>
        <w:t>Simple Communication Plan and Consultation Approach</w:t>
      </w:r>
      <w:r w:rsidRPr="000932FC">
        <w:rPr>
          <w:rFonts w:ascii="Times New Roman" w:eastAsia="Times New Roman" w:hAnsi="Times New Roman" w:cs="Times New Roman"/>
          <w:kern w:val="0"/>
          <w:lang w:eastAsia="en-GB"/>
          <w14:ligatures w14:val="none"/>
        </w:rPr>
        <w:br/>
        <w:t>Goals</w:t>
      </w:r>
      <w:r w:rsidRPr="000932FC">
        <w:rPr>
          <w:rFonts w:ascii="Times New Roman" w:eastAsia="Times New Roman" w:hAnsi="Times New Roman" w:cs="Times New Roman"/>
          <w:kern w:val="0"/>
          <w:lang w:eastAsia="en-GB"/>
          <w14:ligatures w14:val="none"/>
        </w:rPr>
        <w:br/>
        <w:t>Raise awareness of the project vision, collect meaningful design input, manage expectations regarding construction impacts and secure ongoing community support through transparent, two-way communication.</w:t>
      </w:r>
      <w:r w:rsidRPr="000932FC">
        <w:rPr>
          <w:rFonts w:ascii="Times New Roman" w:eastAsia="Times New Roman" w:hAnsi="Times New Roman" w:cs="Times New Roman"/>
          <w:kern w:val="0"/>
          <w:lang w:eastAsia="en-GB"/>
          <w14:ligatures w14:val="none"/>
        </w:rPr>
        <w:br/>
      </w:r>
      <w:r w:rsidRPr="007508B7">
        <w:rPr>
          <w:rFonts w:ascii="Times New Roman" w:eastAsia="Times New Roman" w:hAnsi="Times New Roman" w:cs="Times New Roman"/>
          <w:b/>
          <w:bCs/>
          <w:kern w:val="0"/>
          <w:lang w:eastAsia="en-GB"/>
          <w14:ligatures w14:val="none"/>
        </w:rPr>
        <w:t>Key audiences, frequency and media, core messages</w:t>
      </w:r>
      <w:r>
        <w:rPr>
          <w:rFonts w:ascii="Times New Roman" w:eastAsia="Times New Roman" w:hAnsi="Times New Roman" w:cs="Times New Roman"/>
          <w:b/>
          <w:bCs/>
          <w:kern w:val="0"/>
          <w:lang w:eastAsia="en-GB"/>
          <w14:ligatures w14:val="none"/>
        </w:rPr>
        <w:t>:</w:t>
      </w:r>
      <w:r w:rsidRPr="000932FC">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u w:val="single"/>
          <w:lang w:eastAsia="en-GB"/>
          <w14:ligatures w14:val="none"/>
        </w:rPr>
        <w:t>-</w:t>
      </w:r>
      <w:r w:rsidRPr="007508B7">
        <w:rPr>
          <w:rFonts w:ascii="Times New Roman" w:eastAsia="Times New Roman" w:hAnsi="Times New Roman" w:cs="Times New Roman"/>
          <w:kern w:val="0"/>
          <w:u w:val="single"/>
          <w:lang w:eastAsia="en-GB"/>
          <w14:ligatures w14:val="none"/>
        </w:rPr>
        <w:t>Local authorities, officers and councillors</w:t>
      </w:r>
      <w:r w:rsidRPr="000932FC">
        <w:rPr>
          <w:rFonts w:ascii="Times New Roman" w:eastAsia="Times New Roman" w:hAnsi="Times New Roman" w:cs="Times New Roman"/>
          <w:kern w:val="0"/>
          <w:lang w:eastAsia="en-GB"/>
          <w14:ligatures w14:val="none"/>
        </w:rPr>
        <w:br/>
        <w:t>Messages: program progress, budget status, risk register, alignment with corporate priorities (public health, biodiversity, net zero).</w:t>
      </w:r>
      <w:r w:rsidRPr="000932FC">
        <w:rPr>
          <w:rFonts w:ascii="Times New Roman" w:eastAsia="Times New Roman" w:hAnsi="Times New Roman" w:cs="Times New Roman"/>
          <w:kern w:val="0"/>
          <w:lang w:eastAsia="en-GB"/>
          <w14:ligatures w14:val="none"/>
        </w:rPr>
        <w:br/>
        <w:t>Frequency: monthly formal written reports + ad-hoc briefings at key decision gates.</w:t>
      </w:r>
      <w:r w:rsidRPr="000932FC">
        <w:rPr>
          <w:rFonts w:ascii="Times New Roman" w:eastAsia="Times New Roman" w:hAnsi="Times New Roman" w:cs="Times New Roman"/>
          <w:kern w:val="0"/>
          <w:lang w:eastAsia="en-GB"/>
          <w14:ligatures w14:val="none"/>
        </w:rPr>
        <w:br/>
        <w:t>Medium: secure email, formal committee documents, face-to-face or online meetings, shared dashboard.</w:t>
      </w:r>
      <w:r w:rsidRPr="000932FC">
        <w:rPr>
          <w:rFonts w:ascii="Times New Roman" w:eastAsia="Times New Roman" w:hAnsi="Times New Roman" w:cs="Times New Roman"/>
          <w:kern w:val="0"/>
          <w:lang w:eastAsia="en-GB"/>
          <w14:ligatures w14:val="none"/>
        </w:rPr>
        <w:br/>
        <w:t>Justification: high-power stakeholders require an auditable trail and senior level contact (Mendelow, 1991).</w:t>
      </w:r>
      <w:r w:rsidRPr="000932FC">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u w:val="single"/>
          <w:lang w:eastAsia="en-GB"/>
          <w14:ligatures w14:val="none"/>
        </w:rPr>
        <w:lastRenderedPageBreak/>
        <w:t>-</w:t>
      </w:r>
      <w:r w:rsidRPr="007508B7">
        <w:rPr>
          <w:rFonts w:ascii="Times New Roman" w:eastAsia="Times New Roman" w:hAnsi="Times New Roman" w:cs="Times New Roman"/>
          <w:kern w:val="0"/>
          <w:u w:val="single"/>
          <w:lang w:eastAsia="en-GB"/>
          <w14:ligatures w14:val="none"/>
        </w:rPr>
        <w:t>Families and residents in the area</w:t>
      </w:r>
      <w:r w:rsidRPr="000932FC">
        <w:rPr>
          <w:rFonts w:ascii="Times New Roman" w:eastAsia="Times New Roman" w:hAnsi="Times New Roman" w:cs="Times New Roman"/>
          <w:kern w:val="0"/>
          <w:lang w:eastAsia="en-GB"/>
          <w14:ligatures w14:val="none"/>
        </w:rPr>
        <w:br/>
        <w:t>Messages: project timeline, design options, expected impacts of construction (noise, access, temporary closures), opportunities to comment and influence the final design.</w:t>
      </w:r>
      <w:r w:rsidRPr="000932FC">
        <w:rPr>
          <w:rFonts w:ascii="Times New Roman" w:eastAsia="Times New Roman" w:hAnsi="Times New Roman" w:cs="Times New Roman"/>
          <w:kern w:val="0"/>
          <w:lang w:eastAsia="en-GB"/>
          <w14:ligatures w14:val="none"/>
        </w:rPr>
        <w:br/>
        <w:t>Frequency: project launch, concept-design stage, detailed-design stage, construction commencement, practical completion and opening.</w:t>
      </w:r>
      <w:r w:rsidRPr="000932FC">
        <w:rPr>
          <w:rFonts w:ascii="Times New Roman" w:eastAsia="Times New Roman" w:hAnsi="Times New Roman" w:cs="Times New Roman"/>
          <w:kern w:val="0"/>
          <w:lang w:eastAsia="en-GB"/>
          <w14:ligatures w14:val="none"/>
        </w:rPr>
        <w:br/>
        <w:t>Medium: letter drop to neighbouring properties, community newsletter, dedicated project web page, social-media posts, physical noticeboards in libraries and schools, two public drop-in exhibitions (one daytime, one evening).</w:t>
      </w:r>
      <w:r w:rsidRPr="000932FC">
        <w:rPr>
          <w:rFonts w:ascii="Times New Roman" w:eastAsia="Times New Roman" w:hAnsi="Times New Roman" w:cs="Times New Roman"/>
          <w:kern w:val="0"/>
          <w:lang w:eastAsia="en-GB"/>
          <w14:ligatures w14:val="none"/>
        </w:rPr>
        <w:br/>
        <w:t>Justification: high-interest groups need accessible, repeated channels to ensure information reaches people with varying levels of digital literacy and free time (Arnstein, 1969; IAP2, n.d.).</w:t>
      </w:r>
      <w:r w:rsidRPr="000932FC">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u w:val="single"/>
          <w:lang w:eastAsia="en-GB"/>
          <w14:ligatures w14:val="none"/>
        </w:rPr>
        <w:t>-</w:t>
      </w:r>
      <w:r w:rsidRPr="007508B7">
        <w:rPr>
          <w:rFonts w:ascii="Times New Roman" w:eastAsia="Times New Roman" w:hAnsi="Times New Roman" w:cs="Times New Roman"/>
          <w:kern w:val="0"/>
          <w:u w:val="single"/>
          <w:lang w:eastAsia="en-GB"/>
          <w14:ligatures w14:val="none"/>
        </w:rPr>
        <w:t>Community organisations and schools</w:t>
      </w:r>
      <w:r w:rsidRPr="007508B7">
        <w:rPr>
          <w:rFonts w:ascii="Times New Roman" w:eastAsia="Times New Roman" w:hAnsi="Times New Roman" w:cs="Times New Roman"/>
          <w:kern w:val="0"/>
          <w:u w:val="single"/>
          <w:lang w:eastAsia="en-GB"/>
          <w14:ligatures w14:val="none"/>
        </w:rPr>
        <w:br/>
      </w:r>
      <w:r w:rsidRPr="000932FC">
        <w:rPr>
          <w:rFonts w:ascii="Times New Roman" w:eastAsia="Times New Roman" w:hAnsi="Times New Roman" w:cs="Times New Roman"/>
          <w:kern w:val="0"/>
          <w:lang w:eastAsia="en-GB"/>
          <w14:ligatures w14:val="none"/>
        </w:rPr>
        <w:t>Messages: possible educational and community use of the park, booking arrangements, safety and safeguarding features, opportunities for curriculum links or events.</w:t>
      </w:r>
      <w:r w:rsidRPr="000932FC">
        <w:rPr>
          <w:rFonts w:ascii="Times New Roman" w:eastAsia="Times New Roman" w:hAnsi="Times New Roman" w:cs="Times New Roman"/>
          <w:kern w:val="0"/>
          <w:lang w:eastAsia="en-GB"/>
          <w14:ligatures w14:val="none"/>
        </w:rPr>
        <w:br/>
        <w:t>Frequency: termly updates and specific workshops during design phases.</w:t>
      </w:r>
      <w:r w:rsidRPr="000932FC">
        <w:rPr>
          <w:rFonts w:ascii="Times New Roman" w:eastAsia="Times New Roman" w:hAnsi="Times New Roman" w:cs="Times New Roman"/>
          <w:kern w:val="0"/>
          <w:lang w:eastAsia="en-GB"/>
          <w14:ligatures w14:val="none"/>
        </w:rPr>
        <w:br/>
        <w:t>Medium: direct email to headteachers and leaders of organisations, short presentations at school assemblies or PTA meetings, site visits.</w:t>
      </w:r>
      <w:r w:rsidRPr="000932FC">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u w:val="single"/>
          <w:lang w:eastAsia="en-GB"/>
          <w14:ligatures w14:val="none"/>
        </w:rPr>
        <w:t>-</w:t>
      </w:r>
      <w:r w:rsidRPr="007508B7">
        <w:rPr>
          <w:rFonts w:ascii="Times New Roman" w:eastAsia="Times New Roman" w:hAnsi="Times New Roman" w:cs="Times New Roman"/>
          <w:kern w:val="0"/>
          <w:u w:val="single"/>
          <w:lang w:eastAsia="en-GB"/>
          <w14:ligatures w14:val="none"/>
        </w:rPr>
        <w:t>The local businesses</w:t>
      </w:r>
      <w:r w:rsidRPr="000932FC">
        <w:rPr>
          <w:rFonts w:ascii="Times New Roman" w:eastAsia="Times New Roman" w:hAnsi="Times New Roman" w:cs="Times New Roman"/>
          <w:kern w:val="0"/>
          <w:lang w:eastAsia="en-GB"/>
          <w14:ligatures w14:val="none"/>
        </w:rPr>
        <w:br/>
        <w:t>Messages: construction traffic management plans, anticipated increase in footfall when the park opens, potential sponsorship or café concessions.</w:t>
      </w:r>
      <w:r w:rsidRPr="000932FC">
        <w:rPr>
          <w:rFonts w:ascii="Times New Roman" w:eastAsia="Times New Roman" w:hAnsi="Times New Roman" w:cs="Times New Roman"/>
          <w:kern w:val="0"/>
          <w:lang w:eastAsia="en-GB"/>
          <w14:ligatures w14:val="none"/>
        </w:rPr>
        <w:br/>
        <w:t>Frequency: quarterly</w:t>
      </w:r>
      <w:r w:rsidRPr="000932FC">
        <w:rPr>
          <w:rFonts w:ascii="Times New Roman" w:eastAsia="Times New Roman" w:hAnsi="Times New Roman" w:cs="Times New Roman"/>
          <w:kern w:val="0"/>
          <w:lang w:eastAsia="en-GB"/>
          <w14:ligatures w14:val="none"/>
        </w:rPr>
        <w:br/>
        <w:t>Medium: email and short face to face meetings.</w:t>
      </w:r>
      <w:r w:rsidRPr="000932FC">
        <w:rPr>
          <w:rFonts w:ascii="Times New Roman" w:eastAsia="Times New Roman" w:hAnsi="Times New Roman" w:cs="Times New Roman"/>
          <w:kern w:val="0"/>
          <w:lang w:eastAsia="en-GB"/>
          <w14:ligatures w14:val="none"/>
        </w:rPr>
        <w:br/>
        <w:t>Environmental and conservation organisations</w:t>
      </w:r>
      <w:r w:rsidRPr="000932FC">
        <w:rPr>
          <w:rFonts w:ascii="Times New Roman" w:eastAsia="Times New Roman" w:hAnsi="Times New Roman" w:cs="Times New Roman"/>
          <w:kern w:val="0"/>
          <w:lang w:eastAsia="en-GB"/>
          <w14:ligatures w14:val="none"/>
        </w:rPr>
        <w:br/>
        <w:t>Messages: biodiversity baseline and net-gain proposals, planting schedule, long term monitoring commitments, volunteering opportunities.</w:t>
      </w:r>
      <w:r w:rsidRPr="000932FC">
        <w:rPr>
          <w:rFonts w:ascii="Times New Roman" w:eastAsia="Times New Roman" w:hAnsi="Times New Roman" w:cs="Times New Roman"/>
          <w:kern w:val="0"/>
          <w:lang w:eastAsia="en-GB"/>
          <w14:ligatures w14:val="none"/>
        </w:rPr>
        <w:br/>
        <w:t>Frequency: at each major design stage, and annually thereafter.</w:t>
      </w:r>
      <w:r w:rsidRPr="000932FC">
        <w:rPr>
          <w:rFonts w:ascii="Times New Roman" w:eastAsia="Times New Roman" w:hAnsi="Times New Roman" w:cs="Times New Roman"/>
          <w:kern w:val="0"/>
          <w:lang w:eastAsia="en-GB"/>
          <w14:ligatures w14:val="none"/>
        </w:rPr>
        <w:br/>
        <w:t>Medium: Joint site walkovers, collaborative workshops, email.</w:t>
      </w:r>
      <w:r w:rsidRPr="000932FC">
        <w:rPr>
          <w:rFonts w:ascii="Times New Roman" w:eastAsia="Times New Roman" w:hAnsi="Times New Roman" w:cs="Times New Roman"/>
          <w:kern w:val="0"/>
          <w:lang w:eastAsia="en-GB"/>
          <w14:ligatures w14:val="none"/>
        </w:rPr>
        <w:br/>
      </w:r>
      <w:r w:rsidRPr="000932FC">
        <w:rPr>
          <w:rFonts w:ascii="Times New Roman" w:eastAsia="Times New Roman" w:hAnsi="Times New Roman" w:cs="Times New Roman"/>
          <w:kern w:val="0"/>
          <w:lang w:eastAsia="en-GB"/>
          <w14:ligatures w14:val="none"/>
        </w:rPr>
        <w:br/>
      </w:r>
      <w:r w:rsidRPr="007508B7">
        <w:rPr>
          <w:rFonts w:ascii="Times New Roman" w:eastAsia="Times New Roman" w:hAnsi="Times New Roman" w:cs="Times New Roman"/>
          <w:b/>
          <w:bCs/>
          <w:kern w:val="0"/>
          <w:lang w:eastAsia="en-GB"/>
          <w14:ligatures w14:val="none"/>
        </w:rPr>
        <w:t>Consultation strategy consistent with existing participation frameworks</w:t>
      </w:r>
      <w:r w:rsidRPr="007508B7">
        <w:rPr>
          <w:rFonts w:ascii="Times New Roman" w:eastAsia="Times New Roman" w:hAnsi="Times New Roman" w:cs="Times New Roman"/>
          <w:b/>
          <w:bCs/>
          <w:kern w:val="0"/>
          <w:lang w:eastAsia="en-GB"/>
          <w14:ligatures w14:val="none"/>
        </w:rPr>
        <w:br/>
      </w:r>
      <w:r w:rsidRPr="000932FC">
        <w:rPr>
          <w:rFonts w:ascii="Times New Roman" w:eastAsia="Times New Roman" w:hAnsi="Times New Roman" w:cs="Times New Roman"/>
          <w:kern w:val="0"/>
          <w:lang w:eastAsia="en-GB"/>
          <w14:ligatures w14:val="none"/>
        </w:rPr>
        <w:t>The strategy deliberately moves beyond one-way information provision to higher levels of the IAP2 Spectrum of Public Participation (Inform → Consult → Involve → Collaborate) and seeks to avoid the lower, tokenistic rungs of Arnstein’s (1969) Ladder of Citizen Participation.</w:t>
      </w:r>
      <w:r w:rsidRPr="000932FC">
        <w:rPr>
          <w:rFonts w:ascii="Times New Roman" w:eastAsia="Times New Roman" w:hAnsi="Times New Roman" w:cs="Times New Roman"/>
          <w:kern w:val="0"/>
          <w:lang w:eastAsia="en-GB"/>
          <w14:ligatures w14:val="none"/>
        </w:rPr>
        <w:br/>
      </w:r>
      <w:r w:rsidRPr="000932FC">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1.</w:t>
      </w:r>
      <w:r w:rsidRPr="000932FC">
        <w:rPr>
          <w:rFonts w:ascii="Times New Roman" w:eastAsia="Times New Roman" w:hAnsi="Times New Roman" w:cs="Times New Roman"/>
          <w:kern w:val="0"/>
          <w:lang w:eastAsia="en-GB"/>
          <w14:ligatures w14:val="none"/>
        </w:rPr>
        <w:t>Phase of early awareness (Inform / early Consult)</w:t>
      </w:r>
      <w:r w:rsidRPr="000932FC">
        <w:rPr>
          <w:rFonts w:ascii="Times New Roman" w:eastAsia="Times New Roman" w:hAnsi="Times New Roman" w:cs="Times New Roman"/>
          <w:kern w:val="0"/>
          <w:lang w:eastAsia="en-GB"/>
          <w14:ligatures w14:val="none"/>
        </w:rPr>
        <w:br/>
        <w:t>Leaflet and social media campaign to explain the vision and to invite initial ideas. Paper copies and Easy-Read versions are available in libraries and community centres.</w:t>
      </w:r>
      <w:r w:rsidRPr="000932FC">
        <w:rPr>
          <w:rFonts w:ascii="Times New Roman" w:eastAsia="Times New Roman" w:hAnsi="Times New Roman" w:cs="Times New Roman"/>
          <w:kern w:val="0"/>
          <w:lang w:eastAsia="en-GB"/>
          <w14:ligatures w14:val="none"/>
        </w:rPr>
        <w:br/>
      </w:r>
      <w:proofErr w:type="gramStart"/>
      <w:r>
        <w:rPr>
          <w:rFonts w:ascii="Times New Roman" w:eastAsia="Times New Roman" w:hAnsi="Times New Roman" w:cs="Times New Roman"/>
          <w:kern w:val="0"/>
          <w:lang w:eastAsia="en-GB"/>
          <w14:ligatures w14:val="none"/>
        </w:rPr>
        <w:t>2.</w:t>
      </w:r>
      <w:r w:rsidRPr="000932FC">
        <w:rPr>
          <w:rFonts w:ascii="Times New Roman" w:eastAsia="Times New Roman" w:hAnsi="Times New Roman" w:cs="Times New Roman"/>
          <w:kern w:val="0"/>
          <w:lang w:eastAsia="en-GB"/>
          <w14:ligatures w14:val="none"/>
        </w:rPr>
        <w:t>Design</w:t>
      </w:r>
      <w:proofErr w:type="gramEnd"/>
      <w:r w:rsidRPr="000932FC">
        <w:rPr>
          <w:rFonts w:ascii="Times New Roman" w:eastAsia="Times New Roman" w:hAnsi="Times New Roman" w:cs="Times New Roman"/>
          <w:kern w:val="0"/>
          <w:lang w:eastAsia="en-GB"/>
          <w14:ligatures w14:val="none"/>
        </w:rPr>
        <w:t xml:space="preserve"> input stage (Consult/Involve)</w:t>
      </w:r>
      <w:r w:rsidRPr="000932FC">
        <w:rPr>
          <w:rFonts w:ascii="Times New Roman" w:eastAsia="Times New Roman" w:hAnsi="Times New Roman" w:cs="Times New Roman"/>
          <w:kern w:val="0"/>
          <w:lang w:eastAsia="en-GB"/>
          <w14:ligatures w14:val="none"/>
        </w:rPr>
        <w:br/>
        <w:t>Two public exhibitions, an online survey with an interactive map and paper questionnaires. Targeted focus groups or walk and talk sessions with under-represented groups (older residents, disabled people, ethnic-minority communities, young people). Where possible independent facilitation used to reduce perceived bias.</w:t>
      </w:r>
      <w:r w:rsidRPr="000932FC">
        <w:rPr>
          <w:rFonts w:ascii="Times New Roman" w:eastAsia="Times New Roman" w:hAnsi="Times New Roman" w:cs="Times New Roman"/>
          <w:kern w:val="0"/>
          <w:lang w:eastAsia="en-GB"/>
          <w14:ligatures w14:val="none"/>
        </w:rPr>
        <w:br/>
      </w:r>
      <w:proofErr w:type="gramStart"/>
      <w:r>
        <w:rPr>
          <w:rFonts w:ascii="Times New Roman" w:eastAsia="Times New Roman" w:hAnsi="Times New Roman" w:cs="Times New Roman"/>
          <w:kern w:val="0"/>
          <w:lang w:eastAsia="en-GB"/>
          <w14:ligatures w14:val="none"/>
        </w:rPr>
        <w:t>3.</w:t>
      </w:r>
      <w:r w:rsidRPr="000932FC">
        <w:rPr>
          <w:rFonts w:ascii="Times New Roman" w:eastAsia="Times New Roman" w:hAnsi="Times New Roman" w:cs="Times New Roman"/>
          <w:kern w:val="0"/>
          <w:lang w:eastAsia="en-GB"/>
          <w14:ligatures w14:val="none"/>
        </w:rPr>
        <w:t>Feedback</w:t>
      </w:r>
      <w:proofErr w:type="gramEnd"/>
      <w:r w:rsidRPr="000932FC">
        <w:rPr>
          <w:rFonts w:ascii="Times New Roman" w:eastAsia="Times New Roman" w:hAnsi="Times New Roman" w:cs="Times New Roman"/>
          <w:kern w:val="0"/>
          <w:lang w:eastAsia="en-GB"/>
          <w14:ligatures w14:val="none"/>
        </w:rPr>
        <w:t xml:space="preserve"> phase response</w:t>
      </w:r>
      <w:r w:rsidRPr="000932FC">
        <w:rPr>
          <w:rFonts w:ascii="Times New Roman" w:eastAsia="Times New Roman" w:hAnsi="Times New Roman" w:cs="Times New Roman"/>
          <w:kern w:val="0"/>
          <w:lang w:eastAsia="en-GB"/>
          <w14:ligatures w14:val="none"/>
        </w:rPr>
        <w:br/>
        <w:t>Publication of a clear “You Said, We Did” summary within six weeks of each major consultation round, outlining which comments influenced the design and why others could not be accommodated (technical, budgetary or safety constraints).</w:t>
      </w:r>
      <w:r w:rsidRPr="000932FC">
        <w:rPr>
          <w:rFonts w:ascii="Times New Roman" w:eastAsia="Times New Roman" w:hAnsi="Times New Roman" w:cs="Times New Roman"/>
          <w:kern w:val="0"/>
          <w:lang w:eastAsia="en-GB"/>
          <w14:ligatures w14:val="none"/>
        </w:rPr>
        <w:br/>
      </w:r>
      <w:proofErr w:type="gramStart"/>
      <w:r>
        <w:rPr>
          <w:rFonts w:ascii="Times New Roman" w:eastAsia="Times New Roman" w:hAnsi="Times New Roman" w:cs="Times New Roman"/>
          <w:kern w:val="0"/>
          <w:lang w:eastAsia="en-GB"/>
          <w14:ligatures w14:val="none"/>
        </w:rPr>
        <w:t>4.</w:t>
      </w:r>
      <w:r w:rsidRPr="000932FC">
        <w:rPr>
          <w:rFonts w:ascii="Times New Roman" w:eastAsia="Times New Roman" w:hAnsi="Times New Roman" w:cs="Times New Roman"/>
          <w:kern w:val="0"/>
          <w:lang w:eastAsia="en-GB"/>
          <w14:ligatures w14:val="none"/>
        </w:rPr>
        <w:t>Construction</w:t>
      </w:r>
      <w:proofErr w:type="gramEnd"/>
      <w:r w:rsidRPr="000932FC">
        <w:rPr>
          <w:rFonts w:ascii="Times New Roman" w:eastAsia="Times New Roman" w:hAnsi="Times New Roman" w:cs="Times New Roman"/>
          <w:kern w:val="0"/>
          <w:lang w:eastAsia="en-GB"/>
          <w14:ligatures w14:val="none"/>
        </w:rPr>
        <w:t xml:space="preserve"> and delivery period</w:t>
      </w:r>
      <w:r w:rsidRPr="000932FC">
        <w:rPr>
          <w:rFonts w:ascii="Times New Roman" w:eastAsia="Times New Roman" w:hAnsi="Times New Roman" w:cs="Times New Roman"/>
          <w:kern w:val="0"/>
          <w:lang w:eastAsia="en-GB"/>
          <w14:ligatures w14:val="none"/>
        </w:rPr>
        <w:br/>
        <w:t>Noticeboard and e-mail list to give weekly site updates. Community involvement – planting days Formal opening event to be hosted jointly with schools and local groups.</w:t>
      </w:r>
      <w:r w:rsidRPr="000932FC">
        <w:rPr>
          <w:rFonts w:ascii="Times New Roman" w:eastAsia="Times New Roman" w:hAnsi="Times New Roman" w:cs="Times New Roman"/>
          <w:kern w:val="0"/>
          <w:lang w:eastAsia="en-GB"/>
          <w14:ligatures w14:val="none"/>
        </w:rPr>
        <w:br/>
      </w:r>
      <w:r w:rsidRPr="000932FC">
        <w:rPr>
          <w:rFonts w:ascii="Times New Roman" w:eastAsia="Times New Roman" w:hAnsi="Times New Roman" w:cs="Times New Roman"/>
          <w:kern w:val="0"/>
          <w:lang w:eastAsia="en-GB"/>
          <w14:ligatures w14:val="none"/>
        </w:rPr>
        <w:br/>
      </w:r>
      <w:r w:rsidRPr="000932FC">
        <w:rPr>
          <w:rFonts w:ascii="Times New Roman" w:eastAsia="Times New Roman" w:hAnsi="Times New Roman" w:cs="Times New Roman"/>
          <w:kern w:val="0"/>
          <w:lang w:eastAsia="en-GB"/>
          <w14:ligatures w14:val="none"/>
        </w:rPr>
        <w:lastRenderedPageBreak/>
        <w:t xml:space="preserve">Front-loading engagement extends the </w:t>
      </w:r>
      <w:proofErr w:type="gramStart"/>
      <w:r w:rsidRPr="000932FC">
        <w:rPr>
          <w:rFonts w:ascii="Times New Roman" w:eastAsia="Times New Roman" w:hAnsi="Times New Roman" w:cs="Times New Roman"/>
          <w:kern w:val="0"/>
          <w:lang w:eastAsia="en-GB"/>
          <w14:ligatures w14:val="none"/>
        </w:rPr>
        <w:t>period of time</w:t>
      </w:r>
      <w:proofErr w:type="gramEnd"/>
      <w:r w:rsidRPr="000932FC">
        <w:rPr>
          <w:rFonts w:ascii="Times New Roman" w:eastAsia="Times New Roman" w:hAnsi="Times New Roman" w:cs="Times New Roman"/>
          <w:kern w:val="0"/>
          <w:lang w:eastAsia="en-GB"/>
          <w14:ligatures w14:val="none"/>
        </w:rPr>
        <w:t xml:space="preserve"> when design is still flexible, and influence is greatest. Different formats and channels are used to overcome digital exclusion and to cater for different communication preferences thereby increasing reach and increasing perceived legitimacy. Evidence from infrastructure and greenspace projects suggests that such iterative, multi-channel approaches increase social value and reduce later conflict (</w:t>
      </w:r>
      <w:proofErr w:type="spellStart"/>
      <w:r w:rsidRPr="000932FC">
        <w:rPr>
          <w:rFonts w:ascii="Times New Roman" w:eastAsia="Times New Roman" w:hAnsi="Times New Roman" w:cs="Times New Roman"/>
          <w:kern w:val="0"/>
          <w:lang w:eastAsia="en-GB"/>
          <w14:ligatures w14:val="none"/>
        </w:rPr>
        <w:t>Doloi</w:t>
      </w:r>
      <w:proofErr w:type="spellEnd"/>
      <w:r w:rsidRPr="000932FC">
        <w:rPr>
          <w:rFonts w:ascii="Times New Roman" w:eastAsia="Times New Roman" w:hAnsi="Times New Roman" w:cs="Times New Roman"/>
          <w:kern w:val="0"/>
          <w:lang w:eastAsia="en-GB"/>
          <w14:ligatures w14:val="none"/>
        </w:rPr>
        <w:t>, 2020; Wang, 2024).</w:t>
      </w:r>
      <w:r w:rsidRPr="000932FC">
        <w:rPr>
          <w:rFonts w:ascii="Times New Roman" w:eastAsia="Times New Roman" w:hAnsi="Times New Roman" w:cs="Times New Roman"/>
          <w:kern w:val="0"/>
          <w:lang w:eastAsia="en-GB"/>
          <w14:ligatures w14:val="none"/>
        </w:rPr>
        <w:br/>
      </w:r>
      <w:r w:rsidRPr="000932FC">
        <w:rPr>
          <w:rFonts w:ascii="Times New Roman" w:eastAsia="Times New Roman" w:hAnsi="Times New Roman" w:cs="Times New Roman"/>
          <w:kern w:val="0"/>
          <w:lang w:eastAsia="en-GB"/>
          <w14:ligatures w14:val="none"/>
        </w:rPr>
        <w:br/>
      </w:r>
      <w:r w:rsidRPr="000932FC">
        <w:rPr>
          <w:rFonts w:ascii="Times New Roman" w:eastAsia="Times New Roman" w:hAnsi="Times New Roman" w:cs="Times New Roman"/>
          <w:b/>
          <w:bCs/>
          <w:kern w:val="0"/>
          <w:lang w:eastAsia="en-GB"/>
          <w14:ligatures w14:val="none"/>
        </w:rPr>
        <w:t xml:space="preserve">3. Ethical considerations in Stakeholders Consultation, Participation and Feedback </w:t>
      </w:r>
    </w:p>
    <w:p w14:paraId="383E9ED6" w14:textId="77777777" w:rsidR="00093E68" w:rsidRDefault="00093E68" w:rsidP="00093E68">
      <w:pPr>
        <w:spacing w:after="0" w:line="240" w:lineRule="auto"/>
        <w:rPr>
          <w:rFonts w:ascii="Times New Roman" w:eastAsia="Times New Roman" w:hAnsi="Times New Roman" w:cs="Times New Roman"/>
          <w:kern w:val="0"/>
          <w:lang w:eastAsia="en-GB"/>
          <w14:ligatures w14:val="none"/>
        </w:rPr>
      </w:pPr>
      <w:r w:rsidRPr="000932FC">
        <w:rPr>
          <w:rFonts w:ascii="Times New Roman" w:eastAsia="Times New Roman" w:hAnsi="Times New Roman" w:cs="Times New Roman"/>
          <w:kern w:val="0"/>
          <w:lang w:eastAsia="en-GB"/>
          <w14:ligatures w14:val="none"/>
        </w:rPr>
        <w:br/>
        <w:t>Consultation needs to be done effectively and ethically if the plan is to be seen as legitimate and if the park is to enjoy long-term stewardship by the community. Four interrelated issues are discussed: selection of the consultation method, ethics of data collection, reduction of bias and embedding of Diversity, Equity and Inclusion (DEI).</w:t>
      </w:r>
      <w:r w:rsidRPr="000932FC">
        <w:rPr>
          <w:rFonts w:ascii="Times New Roman" w:eastAsia="Times New Roman" w:hAnsi="Times New Roman" w:cs="Times New Roman"/>
          <w:kern w:val="0"/>
          <w:lang w:eastAsia="en-GB"/>
          <w14:ligatures w14:val="none"/>
        </w:rPr>
        <w:br/>
      </w:r>
      <w:r w:rsidRPr="007508B7">
        <w:rPr>
          <w:rFonts w:ascii="Times New Roman" w:eastAsia="Times New Roman" w:hAnsi="Times New Roman" w:cs="Times New Roman"/>
          <w:b/>
          <w:bCs/>
          <w:kern w:val="0"/>
          <w:lang w:eastAsia="en-GB"/>
          <w14:ligatures w14:val="none"/>
        </w:rPr>
        <w:t>Consultation method</w:t>
      </w:r>
      <w:r w:rsidRPr="000932FC">
        <w:rPr>
          <w:rFonts w:ascii="Times New Roman" w:eastAsia="Times New Roman" w:hAnsi="Times New Roman" w:cs="Times New Roman"/>
          <w:kern w:val="0"/>
          <w:lang w:eastAsia="en-GB"/>
          <w14:ligatures w14:val="none"/>
        </w:rPr>
        <w:br/>
        <w:t>The study is based on a mixed-methods approach that combines quantitative tools (structured online and paper surveys, interactive mapping) with qualitative methods (public exhibitions, focus groups, facilitated walk-and-talk site visits). Multiple formats reduce participation barriers: digital channels appeal to time-poor working residents; paper and face-to-face options cater to older people or those with limited digital access. Consultation is intended to be iterative rather than a one-off event – initial broad invitation followed by deeper, targeted sessions with groups that are typically under-represented. This approach is deliberately consistent with the middle-to-upper levels of the IAP2 Spectrum (Consult, Involve, Collaborate) and aims to go beyond the lower, non-participatory or tokenistic rungs of Arnstein’s (1969) Ladder (manipulation, therapy, informing, placation). The point is to really change the decisions that are made in design, not just create the illusion of being heard.”</w:t>
      </w:r>
      <w:r w:rsidRPr="000932FC">
        <w:rPr>
          <w:rFonts w:ascii="Times New Roman" w:eastAsia="Times New Roman" w:hAnsi="Times New Roman" w:cs="Times New Roman"/>
          <w:kern w:val="0"/>
          <w:lang w:eastAsia="en-GB"/>
          <w14:ligatures w14:val="none"/>
        </w:rPr>
        <w:br/>
      </w:r>
      <w:r w:rsidRPr="007508B7">
        <w:rPr>
          <w:rFonts w:ascii="Times New Roman" w:eastAsia="Times New Roman" w:hAnsi="Times New Roman" w:cs="Times New Roman"/>
          <w:b/>
          <w:bCs/>
          <w:kern w:val="0"/>
          <w:lang w:eastAsia="en-GB"/>
          <w14:ligatures w14:val="none"/>
        </w:rPr>
        <w:t>Ethics in data collection</w:t>
      </w:r>
      <w:r w:rsidRPr="000932FC">
        <w:rPr>
          <w:rFonts w:ascii="Times New Roman" w:eastAsia="Times New Roman" w:hAnsi="Times New Roman" w:cs="Times New Roman"/>
          <w:kern w:val="0"/>
          <w:lang w:eastAsia="en-GB"/>
          <w14:ligatures w14:val="none"/>
        </w:rPr>
        <w:br/>
        <w:t xml:space="preserve">All personal data are collected with a clear privacy notice in plain language, explaining the purpose for the collection, retention period, who will have access and the rights of data subjects under applicable data-protection legislation. Participation is voluntary. No inducements are offered that could be construed as undue influence or coercion. If someone makes a comment </w:t>
      </w:r>
      <w:proofErr w:type="gramStart"/>
      <w:r w:rsidRPr="000932FC">
        <w:rPr>
          <w:rFonts w:ascii="Times New Roman" w:eastAsia="Times New Roman" w:hAnsi="Times New Roman" w:cs="Times New Roman"/>
          <w:kern w:val="0"/>
          <w:lang w:eastAsia="en-GB"/>
          <w14:ligatures w14:val="none"/>
        </w:rPr>
        <w:t>anonymously</w:t>
      </w:r>
      <w:proofErr w:type="gramEnd"/>
      <w:r w:rsidRPr="000932FC">
        <w:rPr>
          <w:rFonts w:ascii="Times New Roman" w:eastAsia="Times New Roman" w:hAnsi="Times New Roman" w:cs="Times New Roman"/>
          <w:kern w:val="0"/>
          <w:lang w:eastAsia="en-GB"/>
          <w14:ligatures w14:val="none"/>
        </w:rPr>
        <w:t xml:space="preserve"> we will only report it if they agree to be named. Views from children and young people are collected only with parental or guardian consent and through age-appropriate methods (drawings, simple facilitated discussions, school-based activities) led by trained staff. All physical events are risk assessed for access, personal safety and safeguarding.</w:t>
      </w:r>
      <w:r w:rsidRPr="000932FC">
        <w:rPr>
          <w:rFonts w:ascii="Times New Roman" w:eastAsia="Times New Roman" w:hAnsi="Times New Roman" w:cs="Times New Roman"/>
          <w:kern w:val="0"/>
          <w:lang w:eastAsia="en-GB"/>
          <w14:ligatures w14:val="none"/>
        </w:rPr>
        <w:br/>
      </w:r>
      <w:r w:rsidRPr="007508B7">
        <w:rPr>
          <w:rFonts w:ascii="Times New Roman" w:eastAsia="Times New Roman" w:hAnsi="Times New Roman" w:cs="Times New Roman"/>
          <w:b/>
          <w:bCs/>
          <w:kern w:val="0"/>
          <w:lang w:eastAsia="en-GB"/>
          <w14:ligatures w14:val="none"/>
        </w:rPr>
        <w:t>Bias</w:t>
      </w:r>
      <w:r w:rsidRPr="000932FC">
        <w:rPr>
          <w:rFonts w:ascii="Times New Roman" w:eastAsia="Times New Roman" w:hAnsi="Times New Roman" w:cs="Times New Roman"/>
          <w:kern w:val="0"/>
          <w:lang w:eastAsia="en-GB"/>
          <w14:ligatures w14:val="none"/>
        </w:rPr>
        <w:br/>
      </w:r>
      <w:proofErr w:type="gramStart"/>
      <w:r w:rsidRPr="000932FC">
        <w:rPr>
          <w:rFonts w:ascii="Times New Roman" w:eastAsia="Times New Roman" w:hAnsi="Times New Roman" w:cs="Times New Roman"/>
          <w:kern w:val="0"/>
          <w:lang w:eastAsia="en-GB"/>
          <w14:ligatures w14:val="none"/>
        </w:rPr>
        <w:t>A number of</w:t>
      </w:r>
      <w:proofErr w:type="gramEnd"/>
      <w:r w:rsidRPr="000932FC">
        <w:rPr>
          <w:rFonts w:ascii="Times New Roman" w:eastAsia="Times New Roman" w:hAnsi="Times New Roman" w:cs="Times New Roman"/>
          <w:kern w:val="0"/>
          <w:lang w:eastAsia="en-GB"/>
          <w14:ligatures w14:val="none"/>
        </w:rPr>
        <w:t xml:space="preserve"> biases are actively challenged. Selection bias is mitigated by outreach beyond self-selecting online respondents: door-to-door leafleting in streets with lower digital engagement, partnerships with community centres and faith groups, and provision of interpreters or translated materials. Use of independent facilitators for workshops and the requirement to publish both supportive and critical comments in the feedback summary counter the project team’s confirmation bias. Framing bias is minimised by using neutral language when presenting design options and by avoiding leading questions in surveys. We monitor geographic and demographic response rates, and if any significant group is under-represented, we trigger additional targeted outreach before locking in design decisions.</w:t>
      </w:r>
      <w:r w:rsidRPr="000932FC">
        <w:rPr>
          <w:rFonts w:ascii="Times New Roman" w:eastAsia="Times New Roman" w:hAnsi="Times New Roman" w:cs="Times New Roman"/>
          <w:kern w:val="0"/>
          <w:lang w:eastAsia="en-GB"/>
          <w14:ligatures w14:val="none"/>
        </w:rPr>
        <w:br/>
      </w:r>
      <w:r w:rsidRPr="007508B7">
        <w:rPr>
          <w:rFonts w:ascii="Times New Roman" w:eastAsia="Times New Roman" w:hAnsi="Times New Roman" w:cs="Times New Roman"/>
          <w:b/>
          <w:bCs/>
          <w:kern w:val="0"/>
          <w:lang w:eastAsia="en-GB"/>
          <w14:ligatures w14:val="none"/>
        </w:rPr>
        <w:t>Diversity, Equality and Inclusion</w:t>
      </w:r>
      <w:r w:rsidRPr="000932FC">
        <w:rPr>
          <w:rFonts w:ascii="Times New Roman" w:eastAsia="Times New Roman" w:hAnsi="Times New Roman" w:cs="Times New Roman"/>
          <w:kern w:val="0"/>
          <w:lang w:eastAsia="en-GB"/>
          <w14:ligatures w14:val="none"/>
        </w:rPr>
        <w:br/>
        <w:t xml:space="preserve">DEI is in the design from the ground up, not an afterthought. We produce engagement materials in the main community languages spoken locally and in large-print and Easy-Read formats. All venues used for exhibitions or workshops are step free, include quiet spaces and have hearing loops where possible. Event times are day and evening sessions, avoiding major </w:t>
      </w:r>
      <w:r w:rsidRPr="000932FC">
        <w:rPr>
          <w:rFonts w:ascii="Times New Roman" w:eastAsia="Times New Roman" w:hAnsi="Times New Roman" w:cs="Times New Roman"/>
          <w:kern w:val="0"/>
          <w:lang w:eastAsia="en-GB"/>
          <w14:ligatures w14:val="none"/>
        </w:rPr>
        <w:lastRenderedPageBreak/>
        <w:t>religious festivals. Specific sessions are co-designed with local organisations representing young people, older adults, disabled residents and ethnic-minority communities so the agenda and methods reflect their priorities and do not impose a standard format. Equity of outcome is monitored: if feedback from any demographic group is still disproportionately low after reasonable outreach, the consultation timetable is adjusted. The technical design brief for the park itself includes explicit requirements for inclusive play equipment, accessible path gradients, seating at regular intervals and sensory planting, so that the physical asset embodies the same DEI principles applied during consultation (Simon Fraser University Morris J. Wosk Centre for Dialogue, 2020).</w:t>
      </w:r>
      <w:r w:rsidRPr="000932FC">
        <w:rPr>
          <w:rFonts w:ascii="Times New Roman" w:eastAsia="Times New Roman" w:hAnsi="Times New Roman" w:cs="Times New Roman"/>
          <w:kern w:val="0"/>
          <w:lang w:eastAsia="en-GB"/>
          <w14:ligatures w14:val="none"/>
        </w:rPr>
        <w:br/>
      </w:r>
      <w:r w:rsidRPr="00274BCF">
        <w:rPr>
          <w:rFonts w:ascii="Times New Roman" w:eastAsia="Times New Roman" w:hAnsi="Times New Roman" w:cs="Times New Roman"/>
          <w:b/>
          <w:bCs/>
          <w:kern w:val="0"/>
          <w:lang w:eastAsia="en-GB"/>
          <w14:ligatures w14:val="none"/>
        </w:rPr>
        <w:t>Gathering and analysing feedback</w:t>
      </w:r>
      <w:r w:rsidRPr="000932FC">
        <w:rPr>
          <w:rFonts w:ascii="Times New Roman" w:eastAsia="Times New Roman" w:hAnsi="Times New Roman" w:cs="Times New Roman"/>
          <w:kern w:val="0"/>
          <w:lang w:eastAsia="en-GB"/>
          <w14:ligatures w14:val="none"/>
        </w:rPr>
        <w:br/>
        <w:t xml:space="preserve">All feedback – whether it comes in the form of survey responses, comments on exhibitions, emails or workshop notes – is entered into a central searchable database and coded by theme, stakeholder group and geography. Statistical patterns will be sought in the quantitative data. Qualitative comments will be thematically coded by two independent reviewers to enhance inter-coder reliability. The synthesised findings are considered by a cross-departmental review panel (planning, parks/leisure, community development and equalities) who record a formal decision against each major theme as to whether the comment led to a design change, a partial accommodation or a reasoned rejection. The resulting “You Said, We Did” report is published within an agreed </w:t>
      </w:r>
      <w:proofErr w:type="gramStart"/>
      <w:r w:rsidRPr="000932FC">
        <w:rPr>
          <w:rFonts w:ascii="Times New Roman" w:eastAsia="Times New Roman" w:hAnsi="Times New Roman" w:cs="Times New Roman"/>
          <w:kern w:val="0"/>
          <w:lang w:eastAsia="en-GB"/>
          <w14:ligatures w14:val="none"/>
        </w:rPr>
        <w:t>timescale, and</w:t>
      </w:r>
      <w:proofErr w:type="gramEnd"/>
      <w:r w:rsidRPr="000932FC">
        <w:rPr>
          <w:rFonts w:ascii="Times New Roman" w:eastAsia="Times New Roman" w:hAnsi="Times New Roman" w:cs="Times New Roman"/>
          <w:kern w:val="0"/>
          <w:lang w:eastAsia="en-GB"/>
          <w14:ligatures w14:val="none"/>
        </w:rPr>
        <w:t xml:space="preserve"> is open for further comment. This closed-loop process demonstrates accountability, reduces the risk of tokenism and develops the trust that is essential for long-term community stewardship of the park (Arnstein, 1969; IAP2, n.d.).</w:t>
      </w:r>
      <w:r w:rsidRPr="000932FC">
        <w:rPr>
          <w:rFonts w:ascii="Times New Roman" w:eastAsia="Times New Roman" w:hAnsi="Times New Roman" w:cs="Times New Roman"/>
          <w:kern w:val="0"/>
          <w:lang w:eastAsia="en-GB"/>
          <w14:ligatures w14:val="none"/>
        </w:rPr>
        <w:br/>
        <w:t>Together, these ethical safeguards ensure that consultation is not merely a procedural requirement but a genuine contribution to project quality, social legitimacy and intergenerational fairness.</w:t>
      </w:r>
      <w:r w:rsidRPr="000932FC">
        <w:rPr>
          <w:rFonts w:ascii="Times New Roman" w:eastAsia="Times New Roman" w:hAnsi="Times New Roman" w:cs="Times New Roman"/>
          <w:kern w:val="0"/>
          <w:lang w:eastAsia="en-GB"/>
          <w14:ligatures w14:val="none"/>
        </w:rPr>
        <w:br/>
      </w:r>
      <w:r w:rsidRPr="000932FC">
        <w:rPr>
          <w:rFonts w:ascii="Times New Roman" w:eastAsia="Times New Roman" w:hAnsi="Times New Roman" w:cs="Times New Roman"/>
          <w:kern w:val="0"/>
          <w:lang w:eastAsia="en-GB"/>
          <w14:ligatures w14:val="none"/>
        </w:rPr>
        <w:br/>
      </w:r>
      <w:r w:rsidRPr="000932FC">
        <w:rPr>
          <w:rFonts w:ascii="Times New Roman" w:eastAsia="Times New Roman" w:hAnsi="Times New Roman" w:cs="Times New Roman"/>
          <w:b/>
          <w:bCs/>
          <w:kern w:val="0"/>
          <w:lang w:eastAsia="en-GB"/>
          <w14:ligatures w14:val="none"/>
        </w:rPr>
        <w:t xml:space="preserve">Element 4: Summary and Reflection </w:t>
      </w:r>
    </w:p>
    <w:p w14:paraId="55603927" w14:textId="77777777" w:rsidR="00093E68" w:rsidRPr="000932FC" w:rsidRDefault="00093E68" w:rsidP="00093E68">
      <w:pPr>
        <w:spacing w:after="0" w:line="240" w:lineRule="auto"/>
        <w:rPr>
          <w:rFonts w:ascii="Times New Roman" w:eastAsia="Times New Roman" w:hAnsi="Times New Roman" w:cs="Times New Roman"/>
          <w:kern w:val="0"/>
          <w:lang w:eastAsia="en-GB"/>
          <w14:ligatures w14:val="none"/>
        </w:rPr>
      </w:pPr>
      <w:r w:rsidRPr="000932FC">
        <w:rPr>
          <w:rFonts w:ascii="Times New Roman" w:eastAsia="Times New Roman" w:hAnsi="Times New Roman" w:cs="Times New Roman"/>
          <w:kern w:val="0"/>
          <w:lang w:eastAsia="en-GB"/>
          <w14:ligatures w14:val="none"/>
        </w:rPr>
        <w:br/>
        <w:t xml:space="preserve">The Stakeholder Management Plan developed in this portfolio shows that systematic identification, analysis and engagement of stakeholders is not an optional extra but a core determinant of both project success and </w:t>
      </w:r>
      <w:proofErr w:type="gramStart"/>
      <w:r w:rsidRPr="000932FC">
        <w:rPr>
          <w:rFonts w:ascii="Times New Roman" w:eastAsia="Times New Roman" w:hAnsi="Times New Roman" w:cs="Times New Roman"/>
          <w:kern w:val="0"/>
          <w:lang w:eastAsia="en-GB"/>
          <w14:ligatures w14:val="none"/>
        </w:rPr>
        <w:t>long term</w:t>
      </w:r>
      <w:proofErr w:type="gramEnd"/>
      <w:r w:rsidRPr="000932FC">
        <w:rPr>
          <w:rFonts w:ascii="Times New Roman" w:eastAsia="Times New Roman" w:hAnsi="Times New Roman" w:cs="Times New Roman"/>
          <w:kern w:val="0"/>
          <w:lang w:eastAsia="en-GB"/>
          <w14:ligatures w14:val="none"/>
        </w:rPr>
        <w:t xml:space="preserve"> sustainability. Choosing a new public park as the case study, the plan has demonstrated how a relatively modest piece of local infrastructure can generate wide-ranging health, social, environmental and economic benefits, while at the same time illustrating the practical complexity of balancing competing interests.</w:t>
      </w:r>
      <w:r w:rsidRPr="000932FC">
        <w:rPr>
          <w:rFonts w:ascii="Times New Roman" w:eastAsia="Times New Roman" w:hAnsi="Times New Roman" w:cs="Times New Roman"/>
          <w:kern w:val="0"/>
          <w:lang w:eastAsia="en-GB"/>
          <w14:ligatures w14:val="none"/>
        </w:rPr>
        <w:br/>
        <w:t>Applying stakeholder theory (Freeman, 1984; Freeman et al., 2010), Mendelow’s power–interest matrix (Mendelow, 1991; Johnson et al., 2017), and established public-participation frameworks (Arnstein, 1969; IAP2, n.d.) results in a differentiated engagement strategy: high-power decision-makers get formal, frequent contact, while high-interest communities get accessible, iterative channels that allow genuine influence on design. It also guarantees that participation is inclusive and that feedback is demonstrably used. The literature on infrastructure and community greenspace projects confirms that early, genuine engagement increases social value, reduces conflict and supports the voluntary stewardship that keeps parks viable after capital funding ends (</w:t>
      </w:r>
      <w:proofErr w:type="spellStart"/>
      <w:r w:rsidRPr="000932FC">
        <w:rPr>
          <w:rFonts w:ascii="Times New Roman" w:eastAsia="Times New Roman" w:hAnsi="Times New Roman" w:cs="Times New Roman"/>
          <w:kern w:val="0"/>
          <w:lang w:eastAsia="en-GB"/>
          <w14:ligatures w14:val="none"/>
        </w:rPr>
        <w:t>Doloi</w:t>
      </w:r>
      <w:proofErr w:type="spellEnd"/>
      <w:r w:rsidRPr="000932FC">
        <w:rPr>
          <w:rFonts w:ascii="Times New Roman" w:eastAsia="Times New Roman" w:hAnsi="Times New Roman" w:cs="Times New Roman"/>
          <w:kern w:val="0"/>
          <w:lang w:eastAsia="en-GB"/>
          <w14:ligatures w14:val="none"/>
        </w:rPr>
        <w:t>, 2020; Wang, 2024; Cohen et al., 2022). Without these elements even a well-thought-out park is at risk of under-use, vandalism or political controversy; with them the project can become a lasting community asset.</w:t>
      </w:r>
      <w:r w:rsidRPr="000932FC">
        <w:rPr>
          <w:rFonts w:ascii="Times New Roman" w:eastAsia="Times New Roman" w:hAnsi="Times New Roman" w:cs="Times New Roman"/>
          <w:kern w:val="0"/>
          <w:lang w:eastAsia="en-GB"/>
          <w14:ligatures w14:val="none"/>
        </w:rPr>
        <w:br/>
      </w:r>
      <w:r w:rsidRPr="00274BCF">
        <w:rPr>
          <w:rFonts w:ascii="Times New Roman" w:eastAsia="Times New Roman" w:hAnsi="Times New Roman" w:cs="Times New Roman"/>
          <w:b/>
          <w:bCs/>
          <w:kern w:val="0"/>
          <w:lang w:eastAsia="en-GB"/>
          <w14:ligatures w14:val="none"/>
        </w:rPr>
        <w:t>Reflective Essay</w:t>
      </w:r>
      <w:r w:rsidRPr="000932FC">
        <w:rPr>
          <w:rFonts w:ascii="Times New Roman" w:eastAsia="Times New Roman" w:hAnsi="Times New Roman" w:cs="Times New Roman"/>
          <w:kern w:val="0"/>
          <w:lang w:eastAsia="en-GB"/>
          <w14:ligatures w14:val="none"/>
        </w:rPr>
        <w:br/>
        <w:t xml:space="preserve">In the process of doing this assignment as Junior Stakeholder Manager some professional insights have been confirmed. The first step, identifying stakeholders, is deceptively difficult. The “obvious” groups – residents and the local authority – are easy to list, but less visible actors such as schools, small local businesses and environmental volunteers often hold the practical keys to day-to-day success and long-term care of the asset. Mapping power and </w:t>
      </w:r>
      <w:r w:rsidRPr="000932FC">
        <w:rPr>
          <w:rFonts w:ascii="Times New Roman" w:eastAsia="Times New Roman" w:hAnsi="Times New Roman" w:cs="Times New Roman"/>
          <w:kern w:val="0"/>
          <w:lang w:eastAsia="en-GB"/>
          <w14:ligatures w14:val="none"/>
        </w:rPr>
        <w:lastRenderedPageBreak/>
        <w:t>interest necessitated a disciplined prioritisation that avoids both under-engagement of critical actors and wasteful over-communication with peripheral ones.</w:t>
      </w:r>
      <w:r w:rsidRPr="000932FC">
        <w:rPr>
          <w:rFonts w:ascii="Times New Roman" w:eastAsia="Times New Roman" w:hAnsi="Times New Roman" w:cs="Times New Roman"/>
          <w:kern w:val="0"/>
          <w:lang w:eastAsia="en-GB"/>
          <w14:ligatures w14:val="none"/>
        </w:rPr>
        <w:br/>
        <w:t>Second, the exercise underscored the persistent tension between efficiency and inclusivity. Online surveys are cheap and quick but invariably miss older, less well off or digitally excluded residents. Designing multiple channels, and outreach, is more resource intensive, but the ethical and political costs of exclusion are higher still. The “You Said, We Did” mechanism proved to be a particularly potent practical tool: it turns consultation from a one-way information exercise into a visible demonstration of responsiveness and therefore builds the trust on which project legitimacy depends.</w:t>
      </w:r>
      <w:r w:rsidRPr="000932FC">
        <w:rPr>
          <w:rFonts w:ascii="Times New Roman" w:eastAsia="Times New Roman" w:hAnsi="Times New Roman" w:cs="Times New Roman"/>
          <w:kern w:val="0"/>
          <w:lang w:eastAsia="en-GB"/>
          <w14:ligatures w14:val="none"/>
        </w:rPr>
        <w:br/>
        <w:t>Third, the sustainability aspect was more in evidence. A park co-designed with the community is more likely to be used, valued and protected. Once the local people have invested their time and ideas in the design process it is easier to get volunteer litter-picks, friends-of-the-park groups and school adoption schemes going. Effective stakeholder engagement is therefore not just a risk-management activity; it is an investment in the social capital that sustains the asset long after the capital budget has been spent.</w:t>
      </w:r>
      <w:r w:rsidRPr="000932FC">
        <w:rPr>
          <w:rFonts w:ascii="Times New Roman" w:eastAsia="Times New Roman" w:hAnsi="Times New Roman" w:cs="Times New Roman"/>
          <w:kern w:val="0"/>
          <w:lang w:eastAsia="en-GB"/>
          <w14:ligatures w14:val="none"/>
        </w:rPr>
        <w:br/>
        <w:t>Ultimately the role is very relational as well as technical. Tables, matrices and communication plans provide necessary structure, but the real work lies in listening carefully, translating between technical and everyday language, managing expectations honestly and, on occasion, mediating conflict. Completing this portfolio has reinforced my belief that junior practitioners who combine analytical tools with the human skills of engagement will be better placed to deliver projects that are completed on time and budget and more importantly are welcomed, used and sustained by the communities they are intended to serve.</w:t>
      </w:r>
      <w:r w:rsidRPr="000932FC">
        <w:rPr>
          <w:rFonts w:ascii="Times New Roman" w:eastAsia="Times New Roman" w:hAnsi="Times New Roman" w:cs="Times New Roman"/>
          <w:kern w:val="0"/>
          <w:lang w:eastAsia="en-GB"/>
          <w14:ligatures w14:val="none"/>
        </w:rPr>
        <w:br/>
        <w:t>Finally, the public-park project proposed here, supported by the theoretically grounded and ethically informed stakeholder management approach described above, provides a practical example of how rigorous, inclusive engagement can turn a physical infrastructure investment into a lasting social and environmental asset.</w:t>
      </w:r>
    </w:p>
    <w:p w14:paraId="677D7CF5" w14:textId="77777777" w:rsidR="00093E68" w:rsidRDefault="00093E68" w:rsidP="00093E68">
      <w:pPr>
        <w:rPr>
          <w:rFonts w:ascii="Times New Roman" w:hAnsi="Times New Roman" w:cs="Times New Roman"/>
        </w:rPr>
      </w:pPr>
    </w:p>
    <w:p w14:paraId="542FC381" w14:textId="77777777" w:rsidR="00093E68" w:rsidRDefault="00093E68" w:rsidP="00093E68">
      <w:pPr>
        <w:rPr>
          <w:rFonts w:ascii="Times New Roman" w:hAnsi="Times New Roman" w:cs="Times New Roman"/>
        </w:rPr>
      </w:pPr>
    </w:p>
    <w:p w14:paraId="476C1969" w14:textId="77777777" w:rsidR="00093E68" w:rsidRDefault="00093E68" w:rsidP="00093E68">
      <w:pPr>
        <w:rPr>
          <w:rFonts w:ascii="Times New Roman" w:hAnsi="Times New Roman" w:cs="Times New Roman"/>
        </w:rPr>
      </w:pPr>
    </w:p>
    <w:p w14:paraId="19179A0D" w14:textId="77777777" w:rsidR="00093E68" w:rsidRDefault="00093E68" w:rsidP="00093E68">
      <w:pPr>
        <w:rPr>
          <w:rFonts w:ascii="Times New Roman" w:hAnsi="Times New Roman" w:cs="Times New Roman"/>
        </w:rPr>
      </w:pPr>
    </w:p>
    <w:p w14:paraId="397DB472" w14:textId="77777777" w:rsidR="00093E68" w:rsidRDefault="00093E68" w:rsidP="00093E68">
      <w:pPr>
        <w:rPr>
          <w:rFonts w:ascii="Times New Roman" w:hAnsi="Times New Roman" w:cs="Times New Roman"/>
        </w:rPr>
      </w:pPr>
    </w:p>
    <w:p w14:paraId="26805D72" w14:textId="77777777" w:rsidR="00093E68" w:rsidRDefault="00093E68" w:rsidP="00093E68">
      <w:pPr>
        <w:rPr>
          <w:rFonts w:ascii="Times New Roman" w:hAnsi="Times New Roman" w:cs="Times New Roman"/>
        </w:rPr>
      </w:pPr>
    </w:p>
    <w:p w14:paraId="258DA4B3" w14:textId="77777777" w:rsidR="00093E68" w:rsidRDefault="00093E68" w:rsidP="00093E68">
      <w:pPr>
        <w:rPr>
          <w:rFonts w:ascii="Times New Roman" w:hAnsi="Times New Roman" w:cs="Times New Roman"/>
        </w:rPr>
      </w:pPr>
    </w:p>
    <w:p w14:paraId="45F4290A" w14:textId="77777777" w:rsidR="00093E68" w:rsidRDefault="00093E68" w:rsidP="00093E68">
      <w:pPr>
        <w:rPr>
          <w:rFonts w:ascii="Times New Roman" w:hAnsi="Times New Roman" w:cs="Times New Roman"/>
        </w:rPr>
      </w:pPr>
    </w:p>
    <w:p w14:paraId="42D73F72" w14:textId="77777777" w:rsidR="00093E68" w:rsidRDefault="00093E68" w:rsidP="00093E68">
      <w:pPr>
        <w:rPr>
          <w:rFonts w:ascii="Times New Roman" w:hAnsi="Times New Roman" w:cs="Times New Roman"/>
        </w:rPr>
      </w:pPr>
    </w:p>
    <w:p w14:paraId="56A9D7F2" w14:textId="77777777" w:rsidR="00093E68" w:rsidRDefault="00093E68" w:rsidP="00093E68">
      <w:pPr>
        <w:rPr>
          <w:rFonts w:ascii="Times New Roman" w:hAnsi="Times New Roman" w:cs="Times New Roman"/>
        </w:rPr>
      </w:pPr>
    </w:p>
    <w:p w14:paraId="4CCE4F75" w14:textId="77777777" w:rsidR="00093E68" w:rsidRDefault="00093E68" w:rsidP="00093E68">
      <w:pPr>
        <w:rPr>
          <w:rFonts w:ascii="Times New Roman" w:hAnsi="Times New Roman" w:cs="Times New Roman"/>
        </w:rPr>
      </w:pPr>
    </w:p>
    <w:p w14:paraId="21CB0E9A" w14:textId="77777777" w:rsidR="00093E68" w:rsidRDefault="00093E68" w:rsidP="00093E68">
      <w:pPr>
        <w:rPr>
          <w:rFonts w:ascii="Times New Roman" w:hAnsi="Times New Roman" w:cs="Times New Roman"/>
        </w:rPr>
      </w:pPr>
    </w:p>
    <w:p w14:paraId="05FBEE49" w14:textId="77777777" w:rsidR="00093E68" w:rsidRDefault="00093E68" w:rsidP="00093E68">
      <w:pPr>
        <w:rPr>
          <w:rFonts w:ascii="Times New Roman" w:hAnsi="Times New Roman" w:cs="Times New Roman"/>
        </w:rPr>
      </w:pPr>
    </w:p>
    <w:p w14:paraId="2CF10CCF" w14:textId="77777777" w:rsidR="00093E68" w:rsidRDefault="00093E68" w:rsidP="00093E68">
      <w:pPr>
        <w:rPr>
          <w:rFonts w:ascii="Times New Roman" w:hAnsi="Times New Roman" w:cs="Times New Roman"/>
        </w:rPr>
      </w:pPr>
    </w:p>
    <w:p w14:paraId="36853412" w14:textId="77777777" w:rsidR="00093E68" w:rsidRDefault="00093E68" w:rsidP="00093E68">
      <w:pPr>
        <w:rPr>
          <w:rFonts w:ascii="Times New Roman" w:hAnsi="Times New Roman" w:cs="Times New Roman"/>
          <w:b/>
          <w:bCs/>
          <w:sz w:val="32"/>
          <w:szCs w:val="32"/>
        </w:rPr>
      </w:pPr>
      <w:r>
        <w:rPr>
          <w:rFonts w:ascii="Times New Roman" w:hAnsi="Times New Roman" w:cs="Times New Roman"/>
          <w:b/>
          <w:bCs/>
          <w:sz w:val="32"/>
          <w:szCs w:val="32"/>
        </w:rPr>
        <w:lastRenderedPageBreak/>
        <w:t xml:space="preserve">      </w:t>
      </w:r>
      <w:r w:rsidRPr="00274BCF">
        <w:rPr>
          <w:rFonts w:ascii="Times New Roman" w:hAnsi="Times New Roman" w:cs="Times New Roman"/>
          <w:b/>
          <w:bCs/>
          <w:sz w:val="32"/>
          <w:szCs w:val="32"/>
        </w:rPr>
        <w:t>5.Refferences</w:t>
      </w:r>
    </w:p>
    <w:p w14:paraId="2F2B6C55" w14:textId="77777777" w:rsidR="00093E68" w:rsidRDefault="00093E68" w:rsidP="00093E68">
      <w:pPr>
        <w:pStyle w:val="NormalWeb"/>
      </w:pPr>
      <w:r>
        <w:t xml:space="preserve">Arnstein, S.R. (1969) ‘A ladder of citizen participation’, </w:t>
      </w:r>
      <w:r>
        <w:rPr>
          <w:rStyle w:val="Emphasis"/>
        </w:rPr>
        <w:t>Journal of the American Institute of Planners</w:t>
      </w:r>
      <w:r>
        <w:t>, 35(4), pp. 216–224.</w:t>
      </w:r>
    </w:p>
    <w:p w14:paraId="2FE7D1E5" w14:textId="77777777" w:rsidR="00093E68" w:rsidRDefault="00093E68" w:rsidP="00093E68">
      <w:pPr>
        <w:pStyle w:val="NormalWeb"/>
      </w:pPr>
      <w:r>
        <w:t xml:space="preserve">Cohen, M., Burrowes, K. and </w:t>
      </w:r>
      <w:proofErr w:type="spellStart"/>
      <w:r>
        <w:t>Gwam</w:t>
      </w:r>
      <w:proofErr w:type="spellEnd"/>
      <w:r>
        <w:t xml:space="preserve">, P. (2022) </w:t>
      </w:r>
      <w:r>
        <w:rPr>
          <w:rStyle w:val="Emphasis"/>
        </w:rPr>
        <w:t>The health benefits of parks and their economic impacts: a review of the literature</w:t>
      </w:r>
      <w:r>
        <w:t>. Washington, DC: Urban Institute.</w:t>
      </w:r>
    </w:p>
    <w:p w14:paraId="6B6C0FF0" w14:textId="77777777" w:rsidR="00093E68" w:rsidRDefault="00093E68" w:rsidP="00093E68">
      <w:pPr>
        <w:pStyle w:val="NormalWeb"/>
      </w:pPr>
      <w:proofErr w:type="spellStart"/>
      <w:r>
        <w:t>Doloi</w:t>
      </w:r>
      <w:proofErr w:type="spellEnd"/>
      <w:r>
        <w:t xml:space="preserve">, H. (2020) ‘Stakeholder engagement in major infrastructure projects’, in </w:t>
      </w:r>
      <w:r>
        <w:rPr>
          <w:rStyle w:val="Emphasis"/>
        </w:rPr>
        <w:t>Routledge Handbook of Planning and Management of Global Strategic Infrastructure Projects</w:t>
      </w:r>
      <w:r>
        <w:t>. Routledge.</w:t>
      </w:r>
    </w:p>
    <w:p w14:paraId="2BAC4A8C" w14:textId="77777777" w:rsidR="00093E68" w:rsidRDefault="00093E68" w:rsidP="00093E68">
      <w:pPr>
        <w:pStyle w:val="NormalWeb"/>
      </w:pPr>
      <w:r>
        <w:t xml:space="preserve">Freeman, R.E. (1984) </w:t>
      </w:r>
      <w:r>
        <w:rPr>
          <w:rStyle w:val="Emphasis"/>
        </w:rPr>
        <w:t>Strategic management: a stakeholder approach</w:t>
      </w:r>
      <w:r>
        <w:t>. Boston: Pitman (reissued Cambridge University Press, 2010).</w:t>
      </w:r>
    </w:p>
    <w:p w14:paraId="0BB4A71E" w14:textId="77777777" w:rsidR="00093E68" w:rsidRDefault="00093E68" w:rsidP="00093E68">
      <w:pPr>
        <w:pStyle w:val="NormalWeb"/>
      </w:pPr>
      <w:r>
        <w:t xml:space="preserve">Freeman, R.E., Harrison, J.S., Wicks, A.C., Parmar, B. and de Colle, S. (2010) </w:t>
      </w:r>
      <w:r>
        <w:rPr>
          <w:rStyle w:val="Emphasis"/>
        </w:rPr>
        <w:t>Stakeholder theory: the state of the art</w:t>
      </w:r>
      <w:r>
        <w:t>. Cambridge: Cambridge University Press.</w:t>
      </w:r>
    </w:p>
    <w:p w14:paraId="2C7BDD9A" w14:textId="77777777" w:rsidR="00093E68" w:rsidRDefault="00093E68" w:rsidP="00093E68">
      <w:pPr>
        <w:pStyle w:val="NormalWeb"/>
      </w:pPr>
      <w:r>
        <w:t xml:space="preserve">Harvard T.H. Chan School of Public Health (2024) </w:t>
      </w:r>
      <w:r>
        <w:rPr>
          <w:rStyle w:val="Emphasis"/>
        </w:rPr>
        <w:t>Annotated literature review: health benefits of urban greenspace</w:t>
      </w:r>
      <w:r>
        <w:t>. Boston: Harvard T.H. Chan School of Public Health.</w:t>
      </w:r>
    </w:p>
    <w:p w14:paraId="26F11D29" w14:textId="77777777" w:rsidR="00093E68" w:rsidRDefault="00093E68" w:rsidP="00093E68">
      <w:pPr>
        <w:pStyle w:val="NormalWeb"/>
      </w:pPr>
      <w:r>
        <w:t xml:space="preserve">IAP2 (n.d.) </w:t>
      </w:r>
      <w:r>
        <w:rPr>
          <w:rStyle w:val="Emphasis"/>
        </w:rPr>
        <w:t>IAP2 Spectrum of Public Participation</w:t>
      </w:r>
      <w:r>
        <w:t xml:space="preserve">. International Association for Public Participation. Available at: </w:t>
      </w:r>
      <w:hyperlink r:id="rId4" w:tgtFrame="_blank" w:history="1">
        <w:r>
          <w:rPr>
            <w:rStyle w:val="Hyperlink"/>
          </w:rPr>
          <w:t>https://www.iap2.org</w:t>
        </w:r>
      </w:hyperlink>
      <w:r>
        <w:t xml:space="preserve"> (Accessed: 26 July 2026).</w:t>
      </w:r>
    </w:p>
    <w:p w14:paraId="0AF87AED" w14:textId="77777777" w:rsidR="00093E68" w:rsidRDefault="00093E68" w:rsidP="00093E68">
      <w:pPr>
        <w:pStyle w:val="NormalWeb"/>
      </w:pPr>
      <w:r>
        <w:t xml:space="preserve">Johnson, G., Whittington, R., Scholes, K., Angwin, D. and </w:t>
      </w:r>
      <w:proofErr w:type="spellStart"/>
      <w:r>
        <w:t>Regnér</w:t>
      </w:r>
      <w:proofErr w:type="spellEnd"/>
      <w:r>
        <w:t xml:space="preserve">, P. (2017) </w:t>
      </w:r>
      <w:r>
        <w:rPr>
          <w:rStyle w:val="Emphasis"/>
        </w:rPr>
        <w:t>Exploring strategy</w:t>
      </w:r>
      <w:r>
        <w:t xml:space="preserve">. 11th </w:t>
      </w:r>
      <w:proofErr w:type="spellStart"/>
      <w:r>
        <w:t>edn</w:t>
      </w:r>
      <w:proofErr w:type="spellEnd"/>
      <w:r>
        <w:t>. Harlow: Pearson.</w:t>
      </w:r>
    </w:p>
    <w:p w14:paraId="79907F15" w14:textId="77777777" w:rsidR="00093E68" w:rsidRDefault="00093E68" w:rsidP="00093E68">
      <w:pPr>
        <w:pStyle w:val="NormalWeb"/>
      </w:pPr>
      <w:r>
        <w:t xml:space="preserve">Mendelow, A.L. (1991) ‘Environmental scanning: the impact of the stakeholder concept’, in </w:t>
      </w:r>
      <w:r>
        <w:rPr>
          <w:rStyle w:val="Emphasis"/>
        </w:rPr>
        <w:t>Proceedings of the Second International Conference on Information Systems</w:t>
      </w:r>
      <w:r>
        <w:t>. Cambridge, MA.</w:t>
      </w:r>
    </w:p>
    <w:p w14:paraId="3768302E" w14:textId="77777777" w:rsidR="00093E68" w:rsidRDefault="00093E68" w:rsidP="00093E68">
      <w:pPr>
        <w:pStyle w:val="NormalWeb"/>
      </w:pPr>
      <w:r>
        <w:t xml:space="preserve">Project Management Institute (2021) </w:t>
      </w:r>
      <w:r>
        <w:rPr>
          <w:rStyle w:val="Emphasis"/>
        </w:rPr>
        <w:t>A guide to the project management body of knowledge (PMBOK® Guide)</w:t>
      </w:r>
      <w:r>
        <w:t xml:space="preserve">. 7th </w:t>
      </w:r>
      <w:proofErr w:type="spellStart"/>
      <w:r>
        <w:t>edn</w:t>
      </w:r>
      <w:proofErr w:type="spellEnd"/>
      <w:r>
        <w:t>. Newtown Square, PA: Project Management Institute.</w:t>
      </w:r>
    </w:p>
    <w:p w14:paraId="330D2FC0" w14:textId="77777777" w:rsidR="00093E68" w:rsidRDefault="00093E68" w:rsidP="00093E68">
      <w:pPr>
        <w:pStyle w:val="NormalWeb"/>
      </w:pPr>
      <w:r>
        <w:t xml:space="preserve">Simon Fraser University Morris J. Wosk Centre for Dialogue (2020) </w:t>
      </w:r>
      <w:r>
        <w:rPr>
          <w:rStyle w:val="Emphasis"/>
        </w:rPr>
        <w:t>Beyond inclusion: equity in public engagement</w:t>
      </w:r>
      <w:r>
        <w:t>. Vancouver: Simon Fraser University.</w:t>
      </w:r>
    </w:p>
    <w:p w14:paraId="1BEDA6D4" w14:textId="77777777" w:rsidR="00093E68" w:rsidRDefault="00093E68" w:rsidP="00093E68">
      <w:pPr>
        <w:pStyle w:val="NormalWeb"/>
      </w:pPr>
      <w:r>
        <w:t xml:space="preserve">Twohig-Bennett, C. and Jones, A. (2018) ‘The health benefits of the great outdoors: a systematic review and meta-analysis of greenspace exposure and health outcomes’, </w:t>
      </w:r>
      <w:r>
        <w:rPr>
          <w:rStyle w:val="Emphasis"/>
        </w:rPr>
        <w:t>Environmental Research</w:t>
      </w:r>
      <w:r>
        <w:t>, 166, pp. 628–637.</w:t>
      </w:r>
    </w:p>
    <w:p w14:paraId="0725D0D6" w14:textId="77777777" w:rsidR="00093E68" w:rsidRDefault="00093E68" w:rsidP="00093E68">
      <w:pPr>
        <w:pStyle w:val="NormalWeb"/>
      </w:pPr>
      <w:r>
        <w:t xml:space="preserve">Wang, Y. (2024) </w:t>
      </w:r>
      <w:r>
        <w:rPr>
          <w:rStyle w:val="Emphasis"/>
        </w:rPr>
        <w:t>Stakeholder collaboration in community greenspace regeneration: the networks and complex systems</w:t>
      </w:r>
      <w:r>
        <w:t>. PhD thesis. University College London.</w:t>
      </w:r>
    </w:p>
    <w:p w14:paraId="50C94F99" w14:textId="77777777" w:rsidR="00093E68" w:rsidRPr="00274BCF" w:rsidRDefault="00093E68" w:rsidP="00093E68">
      <w:pPr>
        <w:rPr>
          <w:rFonts w:ascii="Times New Roman" w:hAnsi="Times New Roman" w:cs="Times New Roman"/>
        </w:rPr>
      </w:pPr>
    </w:p>
    <w:p w14:paraId="55FF80B7" w14:textId="77777777" w:rsidR="00093E68" w:rsidRPr="00274BCF" w:rsidRDefault="00093E68" w:rsidP="00093E68">
      <w:pPr>
        <w:rPr>
          <w:rFonts w:ascii="Times New Roman" w:hAnsi="Times New Roman" w:cs="Times New Roman"/>
        </w:rPr>
      </w:pPr>
    </w:p>
    <w:p w14:paraId="4E4D27F6" w14:textId="77777777" w:rsidR="005549BB" w:rsidRDefault="005549BB"/>
    <w:sectPr w:rsidR="005549BB" w:rsidSect="00093E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6DA"/>
    <w:rsid w:val="000266DA"/>
    <w:rsid w:val="00093E68"/>
    <w:rsid w:val="005549BB"/>
    <w:rsid w:val="00A34748"/>
    <w:rsid w:val="00EE4C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D9FD27F-98B4-4A9D-9B38-045A409AF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3E68"/>
  </w:style>
  <w:style w:type="paragraph" w:styleId="Heading1">
    <w:name w:val="heading 1"/>
    <w:basedOn w:val="Normal"/>
    <w:next w:val="Normal"/>
    <w:link w:val="Heading1Char"/>
    <w:uiPriority w:val="9"/>
    <w:qFormat/>
    <w:rsid w:val="000266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6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6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6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6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6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6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6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6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6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6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6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6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6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6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6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6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6DA"/>
    <w:rPr>
      <w:rFonts w:eastAsiaTheme="majorEastAsia" w:cstheme="majorBidi"/>
      <w:color w:val="272727" w:themeColor="text1" w:themeTint="D8"/>
    </w:rPr>
  </w:style>
  <w:style w:type="paragraph" w:styleId="Title">
    <w:name w:val="Title"/>
    <w:basedOn w:val="Normal"/>
    <w:next w:val="Normal"/>
    <w:link w:val="TitleChar"/>
    <w:uiPriority w:val="10"/>
    <w:qFormat/>
    <w:rsid w:val="000266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6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6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6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6DA"/>
    <w:pPr>
      <w:spacing w:before="160"/>
      <w:jc w:val="center"/>
    </w:pPr>
    <w:rPr>
      <w:i/>
      <w:iCs/>
      <w:color w:val="404040" w:themeColor="text1" w:themeTint="BF"/>
    </w:rPr>
  </w:style>
  <w:style w:type="character" w:customStyle="1" w:styleId="QuoteChar">
    <w:name w:val="Quote Char"/>
    <w:basedOn w:val="DefaultParagraphFont"/>
    <w:link w:val="Quote"/>
    <w:uiPriority w:val="29"/>
    <w:rsid w:val="000266DA"/>
    <w:rPr>
      <w:i/>
      <w:iCs/>
      <w:color w:val="404040" w:themeColor="text1" w:themeTint="BF"/>
    </w:rPr>
  </w:style>
  <w:style w:type="paragraph" w:styleId="ListParagraph">
    <w:name w:val="List Paragraph"/>
    <w:basedOn w:val="Normal"/>
    <w:uiPriority w:val="34"/>
    <w:qFormat/>
    <w:rsid w:val="000266DA"/>
    <w:pPr>
      <w:ind w:left="720"/>
      <w:contextualSpacing/>
    </w:pPr>
  </w:style>
  <w:style w:type="character" w:styleId="IntenseEmphasis">
    <w:name w:val="Intense Emphasis"/>
    <w:basedOn w:val="DefaultParagraphFont"/>
    <w:uiPriority w:val="21"/>
    <w:qFormat/>
    <w:rsid w:val="000266DA"/>
    <w:rPr>
      <w:i/>
      <w:iCs/>
      <w:color w:val="0F4761" w:themeColor="accent1" w:themeShade="BF"/>
    </w:rPr>
  </w:style>
  <w:style w:type="paragraph" w:styleId="IntenseQuote">
    <w:name w:val="Intense Quote"/>
    <w:basedOn w:val="Normal"/>
    <w:next w:val="Normal"/>
    <w:link w:val="IntenseQuoteChar"/>
    <w:uiPriority w:val="30"/>
    <w:qFormat/>
    <w:rsid w:val="000266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6DA"/>
    <w:rPr>
      <w:i/>
      <w:iCs/>
      <w:color w:val="0F4761" w:themeColor="accent1" w:themeShade="BF"/>
    </w:rPr>
  </w:style>
  <w:style w:type="character" w:styleId="IntenseReference">
    <w:name w:val="Intense Reference"/>
    <w:basedOn w:val="DefaultParagraphFont"/>
    <w:uiPriority w:val="32"/>
    <w:qFormat/>
    <w:rsid w:val="000266DA"/>
    <w:rPr>
      <w:b/>
      <w:bCs/>
      <w:smallCaps/>
      <w:color w:val="0F4761" w:themeColor="accent1" w:themeShade="BF"/>
      <w:spacing w:val="5"/>
    </w:rPr>
  </w:style>
  <w:style w:type="paragraph" w:styleId="NormalWeb">
    <w:name w:val="Normal (Web)"/>
    <w:basedOn w:val="Normal"/>
    <w:uiPriority w:val="99"/>
    <w:semiHidden/>
    <w:unhideWhenUsed/>
    <w:rsid w:val="00093E6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093E68"/>
    <w:rPr>
      <w:i/>
      <w:iCs/>
    </w:rPr>
  </w:style>
  <w:style w:type="character" w:styleId="Hyperlink">
    <w:name w:val="Hyperlink"/>
    <w:basedOn w:val="DefaultParagraphFont"/>
    <w:uiPriority w:val="99"/>
    <w:semiHidden/>
    <w:unhideWhenUsed/>
    <w:rsid w:val="00093E68"/>
    <w:rPr>
      <w:color w:val="0000FF"/>
      <w:u w:val="single"/>
    </w:rPr>
  </w:style>
  <w:style w:type="character" w:styleId="Strong">
    <w:name w:val="Strong"/>
    <w:basedOn w:val="DefaultParagraphFont"/>
    <w:uiPriority w:val="22"/>
    <w:qFormat/>
    <w:rsid w:val="00093E6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iap2.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3697</Words>
  <Characters>21079</Characters>
  <Application>Microsoft Office Word</Application>
  <DocSecurity>0</DocSecurity>
  <Lines>175</Lines>
  <Paragraphs>49</Paragraphs>
  <ScaleCrop>false</ScaleCrop>
  <Company/>
  <LinksUpToDate>false</LinksUpToDate>
  <CharactersWithSpaces>24727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Eros (2008584)</dc:creator>
  <cp:keywords/>
  <dc:description/>
  <cp:lastModifiedBy>Alexandru Eros (2008584)</cp:lastModifiedBy>
  <cp:revision>2</cp:revision>
  <dcterms:created xsi:type="dcterms:W3CDTF">2026-07-26T16:02:00Z</dcterms:created>
  <dcterms:modified xsi:type="dcterms:W3CDTF">2026-07-26T16:03:00Z</dcterms:modified>
</cp:coreProperties>
</file>