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1BF1" w:rsidRPr="00A85BFE" w:rsidRDefault="001A1BF1" w:rsidP="001A1BF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6A66755D" wp14:editId="77B16AE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1A1BF1" w:rsidRPr="00A406E5" w:rsidRDefault="001A1BF1" w:rsidP="001A1BF1"/>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84"/>
      </w:tblGrid>
      <w:tr w:rsidR="001A1BF1" w:rsidRPr="00A406E5" w:rsidTr="00E15FA2">
        <w:tc>
          <w:tcPr>
            <w:tcW w:w="9922" w:type="dxa"/>
            <w:shd w:val="clear" w:color="auto" w:fill="C0C0C0"/>
          </w:tcPr>
          <w:p w:rsidR="001A1BF1" w:rsidRPr="00A406E5" w:rsidRDefault="001A1BF1" w:rsidP="00E15FA2">
            <w:pPr>
              <w:pStyle w:val="Heading4"/>
              <w:rPr>
                <w:b/>
                <w:bCs/>
              </w:rPr>
            </w:pPr>
            <w:r w:rsidRPr="6D4D0207">
              <w:rPr>
                <w:b/>
                <w:bCs/>
              </w:rPr>
              <w:t xml:space="preserve">LEVEL 6 ASSESSMENT SPECIFICATION </w:t>
            </w:r>
          </w:p>
        </w:tc>
      </w:tr>
    </w:tbl>
    <w:p w:rsidR="001A1BF1" w:rsidRPr="00A406E5" w:rsidRDefault="001A1BF1" w:rsidP="001A1BF1">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Student name:</w:t>
            </w:r>
          </w:p>
        </w:tc>
        <w:tc>
          <w:tcPr>
            <w:tcW w:w="3293" w:type="dxa"/>
          </w:tcPr>
          <w:p w:rsidR="001A1BF1" w:rsidRPr="00A406E5" w:rsidRDefault="001A1BF1" w:rsidP="00E15FA2">
            <w:pPr>
              <w:spacing w:before="120" w:after="120"/>
              <w:jc w:val="center"/>
              <w:rPr>
                <w:b/>
                <w:bCs/>
              </w:rPr>
            </w:pPr>
            <w:r w:rsidRPr="7F7528E8">
              <w:fldChar w:fldCharType="begin">
                <w:ffData>
                  <w:name w:val="Text2"/>
                  <w:enabled/>
                  <w:calcOnExit w:val="0"/>
                  <w:textInput/>
                </w:ffData>
              </w:fldChar>
            </w:r>
            <w:r w:rsidRPr="00A406E5">
              <w:rPr>
                <w:b/>
              </w:rPr>
              <w:instrText xml:space="preserve"> FORMTEXT </w:instrText>
            </w:r>
            <w:r w:rsidRPr="7F7528E8">
              <w:rPr>
                <w:b/>
              </w:rPr>
            </w:r>
            <w:r w:rsidRPr="7F7528E8">
              <w:rPr>
                <w:b/>
              </w:rPr>
              <w:fldChar w:fldCharType="separate"/>
            </w:r>
            <w:r w:rsidRPr="7F7528E8">
              <w:rPr>
                <w:b/>
                <w:bCs/>
                <w:noProof/>
              </w:rPr>
              <w:t> </w:t>
            </w:r>
            <w:r w:rsidRPr="7F7528E8">
              <w:rPr>
                <w:b/>
                <w:bCs/>
                <w:noProof/>
              </w:rPr>
              <w:t> </w:t>
            </w:r>
            <w:r w:rsidRPr="7F7528E8">
              <w:rPr>
                <w:b/>
                <w:bCs/>
                <w:noProof/>
              </w:rPr>
              <w:t> </w:t>
            </w:r>
            <w:r w:rsidRPr="7F7528E8">
              <w:rPr>
                <w:b/>
                <w:bCs/>
                <w:noProof/>
              </w:rPr>
              <w:t> </w:t>
            </w:r>
            <w:r w:rsidRPr="7F7528E8">
              <w:rPr>
                <w:b/>
                <w:bCs/>
                <w:noProof/>
              </w:rPr>
              <w:t> </w:t>
            </w:r>
            <w:r w:rsidRPr="7F7528E8">
              <w:fldChar w:fldCharType="end"/>
            </w:r>
            <w:r w:rsidRPr="7F7528E8">
              <w:rPr>
                <w:b/>
                <w:bCs/>
              </w:rPr>
              <w:t>Gemma Williams</w:t>
            </w:r>
          </w:p>
        </w:tc>
        <w:tc>
          <w:tcPr>
            <w:tcW w:w="2268" w:type="dxa"/>
            <w:shd w:val="clear" w:color="auto" w:fill="D9D9D9" w:themeFill="background1" w:themeFillShade="D9"/>
          </w:tcPr>
          <w:p w:rsidR="001A1BF1" w:rsidRPr="00A406E5" w:rsidRDefault="001A1BF1" w:rsidP="00E15FA2">
            <w:pPr>
              <w:spacing w:before="120" w:after="120"/>
              <w:jc w:val="both"/>
              <w:rPr>
                <w:b/>
                <w:bCs/>
              </w:rPr>
            </w:pPr>
            <w:r w:rsidRPr="6D4D0207">
              <w:rPr>
                <w:b/>
                <w:bCs/>
              </w:rPr>
              <w:t>Student ID number:</w:t>
            </w:r>
          </w:p>
        </w:tc>
        <w:tc>
          <w:tcPr>
            <w:tcW w:w="2268" w:type="dxa"/>
          </w:tcPr>
          <w:p w:rsidR="001A1BF1" w:rsidRPr="00A406E5" w:rsidRDefault="001A1BF1" w:rsidP="00E15FA2">
            <w:pPr>
              <w:spacing w:before="120" w:after="120"/>
              <w:jc w:val="center"/>
              <w:rPr>
                <w:b/>
                <w:bCs/>
              </w:rPr>
            </w:pPr>
            <w:r w:rsidRPr="7F7528E8">
              <w:rPr>
                <w:b/>
                <w:bCs/>
              </w:rPr>
              <w:t>1807253</w:t>
            </w: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proofErr w:type="spellStart"/>
            <w:r w:rsidRPr="6D4D0207">
              <w:rPr>
                <w:b/>
                <w:bCs/>
              </w:rPr>
              <w:t>Programme</w:t>
            </w:r>
            <w:proofErr w:type="spellEnd"/>
            <w:r w:rsidRPr="6D4D0207">
              <w:rPr>
                <w:b/>
                <w:bCs/>
              </w:rPr>
              <w:t>:</w:t>
            </w:r>
          </w:p>
        </w:tc>
        <w:tc>
          <w:tcPr>
            <w:tcW w:w="7829" w:type="dxa"/>
            <w:gridSpan w:val="3"/>
          </w:tcPr>
          <w:p w:rsidR="001A1BF1" w:rsidRPr="00A406E5" w:rsidRDefault="001A1BF1" w:rsidP="00E15FA2">
            <w:pPr>
              <w:spacing w:before="120" w:after="120"/>
              <w:jc w:val="both"/>
              <w:rPr>
                <w:b/>
              </w:rPr>
            </w:pPr>
            <w:r>
              <w:rPr>
                <w:b/>
              </w:rPr>
              <w:t>Secondary PGCE</w:t>
            </w: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Module:</w:t>
            </w:r>
          </w:p>
        </w:tc>
        <w:tc>
          <w:tcPr>
            <w:tcW w:w="7829" w:type="dxa"/>
            <w:gridSpan w:val="3"/>
            <w:shd w:val="clear" w:color="auto" w:fill="auto"/>
          </w:tcPr>
          <w:p w:rsidR="001A1BF1" w:rsidRPr="00A406E5" w:rsidRDefault="001A1BF1" w:rsidP="00E15FA2">
            <w:pPr>
              <w:spacing w:before="120" w:after="120"/>
              <w:jc w:val="both"/>
              <w:rPr>
                <w:b/>
              </w:rPr>
            </w:pPr>
            <w:r>
              <w:rPr>
                <w:b/>
              </w:rPr>
              <w:t xml:space="preserve">Principles of Teaching, Learning and Pedagogy in the Secondary Sector </w:t>
            </w: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Module code:</w:t>
            </w:r>
          </w:p>
        </w:tc>
        <w:tc>
          <w:tcPr>
            <w:tcW w:w="3293" w:type="dxa"/>
          </w:tcPr>
          <w:p w:rsidR="001A1BF1" w:rsidRPr="00A406E5" w:rsidRDefault="001A1BF1" w:rsidP="00E15FA2">
            <w:pPr>
              <w:spacing w:before="120" w:after="120"/>
              <w:jc w:val="both"/>
              <w:rPr>
                <w:b/>
              </w:rPr>
            </w:pPr>
            <w:r>
              <w:rPr>
                <w:b/>
              </w:rPr>
              <w:t>ECSP6001</w:t>
            </w:r>
          </w:p>
        </w:tc>
        <w:tc>
          <w:tcPr>
            <w:tcW w:w="2268" w:type="dxa"/>
            <w:shd w:val="clear" w:color="auto" w:fill="D9D9D9" w:themeFill="background1" w:themeFillShade="D9"/>
          </w:tcPr>
          <w:p w:rsidR="001A1BF1" w:rsidRPr="004D5E9B" w:rsidRDefault="001A1BF1" w:rsidP="00E15FA2">
            <w:pPr>
              <w:pStyle w:val="Heading2"/>
              <w:rPr>
                <w:sz w:val="22"/>
                <w:szCs w:val="22"/>
              </w:rPr>
            </w:pPr>
            <w:r w:rsidRPr="6D4D0207">
              <w:rPr>
                <w:sz w:val="22"/>
                <w:szCs w:val="22"/>
              </w:rPr>
              <w:t>Contribution to Overall Module Assessment (%):</w:t>
            </w:r>
          </w:p>
        </w:tc>
        <w:tc>
          <w:tcPr>
            <w:tcW w:w="2268" w:type="dxa"/>
          </w:tcPr>
          <w:p w:rsidR="001A1BF1" w:rsidRPr="00A406E5" w:rsidRDefault="001A1BF1" w:rsidP="00E15FA2">
            <w:pPr>
              <w:spacing w:before="120" w:after="120"/>
              <w:jc w:val="both"/>
              <w:rPr>
                <w:b/>
              </w:rPr>
            </w:pPr>
            <w:r>
              <w:rPr>
                <w:b/>
              </w:rPr>
              <w:t>50%</w:t>
            </w: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Lecturer:</w:t>
            </w:r>
          </w:p>
        </w:tc>
        <w:tc>
          <w:tcPr>
            <w:tcW w:w="3293" w:type="dxa"/>
          </w:tcPr>
          <w:p w:rsidR="001A1BF1" w:rsidRPr="00A406E5" w:rsidRDefault="001A1BF1" w:rsidP="00E15FA2">
            <w:pPr>
              <w:spacing w:before="120" w:after="120"/>
              <w:jc w:val="both"/>
              <w:rPr>
                <w:b/>
              </w:rPr>
            </w:pPr>
            <w:r>
              <w:rPr>
                <w:b/>
              </w:rPr>
              <w:t xml:space="preserve">Alison S Evans </w:t>
            </w:r>
          </w:p>
        </w:tc>
        <w:tc>
          <w:tcPr>
            <w:tcW w:w="2268" w:type="dxa"/>
            <w:shd w:val="clear" w:color="auto" w:fill="D9D9D9" w:themeFill="background1" w:themeFillShade="D9"/>
          </w:tcPr>
          <w:p w:rsidR="001A1BF1" w:rsidRPr="00A406E5" w:rsidRDefault="001A1BF1" w:rsidP="00E15FA2">
            <w:pPr>
              <w:spacing w:before="120" w:after="120"/>
              <w:jc w:val="both"/>
              <w:rPr>
                <w:b/>
                <w:bCs/>
              </w:rPr>
            </w:pPr>
            <w:r w:rsidRPr="6D4D0207">
              <w:rPr>
                <w:b/>
                <w:bCs/>
              </w:rPr>
              <w:t>Internal Verifier:</w:t>
            </w:r>
          </w:p>
        </w:tc>
        <w:tc>
          <w:tcPr>
            <w:tcW w:w="2268" w:type="dxa"/>
          </w:tcPr>
          <w:p w:rsidR="001A1BF1" w:rsidRPr="00A406E5" w:rsidRDefault="001A1BF1" w:rsidP="00E15FA2">
            <w:pPr>
              <w:spacing w:before="120" w:after="120"/>
              <w:jc w:val="both"/>
              <w:rPr>
                <w:b/>
              </w:rPr>
            </w:pP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Assignment Title:</w:t>
            </w:r>
          </w:p>
        </w:tc>
        <w:tc>
          <w:tcPr>
            <w:tcW w:w="3293" w:type="dxa"/>
          </w:tcPr>
          <w:p w:rsidR="001A1BF1" w:rsidRPr="00A406E5" w:rsidRDefault="001A1BF1" w:rsidP="00E15FA2">
            <w:pPr>
              <w:spacing w:before="120" w:after="120"/>
              <w:jc w:val="both"/>
              <w:rPr>
                <w:b/>
              </w:rPr>
            </w:pPr>
            <w:r>
              <w:rPr>
                <w:b/>
              </w:rPr>
              <w:t>Part B, (</w:t>
            </w:r>
            <w:proofErr w:type="spellStart"/>
            <w:r>
              <w:rPr>
                <w:b/>
              </w:rPr>
              <w:t>i</w:t>
            </w:r>
            <w:proofErr w:type="spellEnd"/>
            <w:r>
              <w:rPr>
                <w:b/>
              </w:rPr>
              <w:t xml:space="preserve">) and (ii) </w:t>
            </w:r>
          </w:p>
        </w:tc>
        <w:tc>
          <w:tcPr>
            <w:tcW w:w="2268" w:type="dxa"/>
            <w:shd w:val="clear" w:color="auto" w:fill="auto"/>
          </w:tcPr>
          <w:p w:rsidR="001A1BF1" w:rsidRPr="00A406E5" w:rsidRDefault="001A1BF1" w:rsidP="00E15FA2">
            <w:pPr>
              <w:spacing w:before="120" w:after="120"/>
              <w:jc w:val="both"/>
              <w:rPr>
                <w:b/>
                <w:bCs/>
              </w:rPr>
            </w:pPr>
            <w:r w:rsidRPr="6D4D0207">
              <w:rPr>
                <w:b/>
                <w:bCs/>
              </w:rPr>
              <w:t>Word count (or equivalent):</w:t>
            </w:r>
          </w:p>
        </w:tc>
        <w:tc>
          <w:tcPr>
            <w:tcW w:w="2268" w:type="dxa"/>
          </w:tcPr>
          <w:p w:rsidR="001A1BF1" w:rsidRDefault="001A1BF1" w:rsidP="00E15FA2">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1A1BF1" w:rsidRPr="006E02E8" w:rsidRDefault="001A1BF1" w:rsidP="00E15FA2">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Submission deadline:</w:t>
            </w:r>
          </w:p>
        </w:tc>
        <w:tc>
          <w:tcPr>
            <w:tcW w:w="3293" w:type="dxa"/>
            <w:shd w:val="clear" w:color="auto" w:fill="auto"/>
          </w:tcPr>
          <w:p w:rsidR="001A1BF1" w:rsidRPr="00A406E5" w:rsidRDefault="001A1BF1" w:rsidP="00E15FA2">
            <w:pPr>
              <w:spacing w:before="120" w:after="120"/>
              <w:jc w:val="both"/>
              <w:rPr>
                <w:b/>
              </w:rPr>
            </w:pPr>
            <w:r>
              <w:rPr>
                <w:b/>
              </w:rPr>
              <w:t>26 November 2018</w:t>
            </w:r>
          </w:p>
        </w:tc>
        <w:tc>
          <w:tcPr>
            <w:tcW w:w="2268" w:type="dxa"/>
            <w:shd w:val="clear" w:color="auto" w:fill="auto"/>
          </w:tcPr>
          <w:p w:rsidR="001A1BF1" w:rsidRPr="00A406E5" w:rsidRDefault="001A1BF1" w:rsidP="00E15FA2">
            <w:pPr>
              <w:spacing w:before="120" w:after="120"/>
              <w:jc w:val="both"/>
              <w:rPr>
                <w:b/>
                <w:bCs/>
              </w:rPr>
            </w:pPr>
            <w:r w:rsidRPr="6D4D0207">
              <w:rPr>
                <w:b/>
                <w:bCs/>
              </w:rPr>
              <w:t>Return date of provisional marks &amp; written feedback:</w:t>
            </w:r>
          </w:p>
        </w:tc>
        <w:tc>
          <w:tcPr>
            <w:tcW w:w="2268" w:type="dxa"/>
          </w:tcPr>
          <w:p w:rsidR="001A1BF1" w:rsidRPr="00A406E5" w:rsidRDefault="001A1BF1" w:rsidP="00E15FA2">
            <w:pPr>
              <w:spacing w:before="120" w:after="120"/>
              <w:jc w:val="both"/>
              <w:rPr>
                <w:b/>
              </w:rPr>
            </w:pPr>
            <w:r>
              <w:rPr>
                <w:b/>
              </w:rPr>
              <w:t>17 December 2018</w:t>
            </w:r>
          </w:p>
        </w:tc>
      </w:tr>
      <w:tr w:rsidR="001A1BF1" w:rsidRPr="00A406E5" w:rsidTr="00E15FA2">
        <w:tc>
          <w:tcPr>
            <w:tcW w:w="2093" w:type="dxa"/>
            <w:shd w:val="clear" w:color="auto" w:fill="auto"/>
          </w:tcPr>
          <w:p w:rsidR="001A1BF1" w:rsidRPr="00A406E5" w:rsidRDefault="001A1BF1" w:rsidP="00E15FA2">
            <w:pPr>
              <w:spacing w:before="120" w:after="120"/>
              <w:jc w:val="both"/>
              <w:rPr>
                <w:b/>
                <w:bCs/>
              </w:rPr>
            </w:pPr>
            <w:r w:rsidRPr="6D4D0207">
              <w:rPr>
                <w:b/>
                <w:bCs/>
              </w:rPr>
              <w:t>Submission method:</w:t>
            </w:r>
          </w:p>
        </w:tc>
        <w:tc>
          <w:tcPr>
            <w:tcW w:w="7829" w:type="dxa"/>
            <w:gridSpan w:val="3"/>
            <w:shd w:val="clear" w:color="auto" w:fill="auto"/>
          </w:tcPr>
          <w:p w:rsidR="001A1BF1" w:rsidRPr="00A406E5" w:rsidRDefault="001A1BF1" w:rsidP="00E15FA2">
            <w:r w:rsidRPr="6D4D0207">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A1BF1" w:rsidRPr="00A406E5" w:rsidRDefault="001A1BF1" w:rsidP="00E15FA2">
            <w:pPr>
              <w:spacing w:before="120" w:after="120"/>
              <w:jc w:val="both"/>
              <w:rPr>
                <w:b/>
                <w:bCs/>
              </w:rPr>
            </w:pPr>
            <w:r w:rsidRPr="6D4D0207">
              <w:rPr>
                <w:b/>
                <w:bCs/>
              </w:rPr>
              <w:t xml:space="preserve">Alternative submission method (if applicable): </w:t>
            </w:r>
          </w:p>
          <w:p w:rsidR="001A1BF1" w:rsidRPr="00A406E5" w:rsidRDefault="001A1BF1" w:rsidP="00E15FA2">
            <w:pPr>
              <w:spacing w:before="120" w:after="120"/>
              <w:jc w:val="both"/>
              <w:rPr>
                <w:b/>
                <w:bCs/>
              </w:rPr>
            </w:pPr>
            <w:r w:rsidRPr="6D4D0207">
              <w:rPr>
                <w:b/>
                <w:bCs/>
              </w:rPr>
              <w:t xml:space="preserve">Late submission of the assessment will result in a late penalty mark.  </w:t>
            </w:r>
            <w:r w:rsidRPr="6D4D0207">
              <w:t>Penalties for late submission: Up to one week late, maximum mark of 40%.  Over one week late, 0%.  Only the Extenuating Circumstances Panel may approve a change to submission dates.</w:t>
            </w:r>
          </w:p>
        </w:tc>
      </w:tr>
      <w:tr w:rsidR="001A1BF1" w:rsidRPr="00A406E5" w:rsidTr="00E15FA2">
        <w:tc>
          <w:tcPr>
            <w:tcW w:w="2093" w:type="dxa"/>
            <w:shd w:val="clear" w:color="auto" w:fill="auto"/>
          </w:tcPr>
          <w:p w:rsidR="001A1BF1" w:rsidRPr="00A406E5" w:rsidRDefault="001A1BF1" w:rsidP="00E15FA2">
            <w:pPr>
              <w:spacing w:before="120" w:after="120"/>
              <w:rPr>
                <w:b/>
                <w:bCs/>
              </w:rPr>
            </w:pPr>
            <w:r w:rsidRPr="6D4D0207">
              <w:rPr>
                <w:b/>
                <w:bCs/>
              </w:rPr>
              <w:t>Academic honesty / referencing:</w:t>
            </w:r>
          </w:p>
        </w:tc>
        <w:tc>
          <w:tcPr>
            <w:tcW w:w="7829" w:type="dxa"/>
            <w:gridSpan w:val="3"/>
            <w:shd w:val="clear" w:color="auto" w:fill="auto"/>
          </w:tcPr>
          <w:p w:rsidR="001A1BF1" w:rsidRPr="00A406E5" w:rsidRDefault="001A1BF1" w:rsidP="00E15FA2">
            <w:pPr>
              <w:spacing w:before="120" w:after="120"/>
              <w:jc w:val="both"/>
            </w:pPr>
            <w:r w:rsidRPr="6D4D0207">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1A1BF1" w:rsidRPr="00A406E5" w:rsidRDefault="001A1BF1" w:rsidP="001A1BF1">
      <w:pPr>
        <w:rPr>
          <w:sz w:val="32"/>
        </w:rPr>
      </w:pPr>
    </w:p>
    <w:p w:rsidR="001A1BF1" w:rsidRPr="00A406E5" w:rsidRDefault="001A1BF1" w:rsidP="001A1BF1">
      <w:pPr>
        <w:rPr>
          <w:sz w:val="32"/>
        </w:rPr>
      </w:pPr>
    </w:p>
    <w:p w:rsidR="001A1BF1" w:rsidRPr="00A406E5" w:rsidRDefault="001A1BF1" w:rsidP="001A1BF1">
      <w:pPr>
        <w:rPr>
          <w:sz w:val="32"/>
        </w:rPr>
      </w:pPr>
    </w:p>
    <w:p w:rsidR="001A1BF1" w:rsidRPr="00A406E5" w:rsidRDefault="001A1BF1" w:rsidP="001A1BF1">
      <w:pPr>
        <w:rPr>
          <w:sz w:val="32"/>
        </w:rPr>
      </w:pPr>
    </w:p>
    <w:p w:rsidR="4C3E8020" w:rsidRDefault="4C3E8020">
      <w:bookmarkStart w:id="0" w:name="_GoBack"/>
      <w:bookmarkEnd w:id="0"/>
    </w:p>
    <w:p w:rsidR="00C70CB5" w:rsidRDefault="001A1BF1">
      <w:pPr>
        <w:contextualSpacing w:val="0"/>
      </w:pPr>
      <w:r>
        <w:lastRenderedPageBreak/>
        <w:t>Part B</w:t>
      </w:r>
    </w:p>
    <w:p w:rsidR="00C70CB5" w:rsidRDefault="00C70CB5">
      <w:pPr>
        <w:contextualSpacing w:val="0"/>
      </w:pPr>
    </w:p>
    <w:p w:rsidR="00C70CB5" w:rsidRDefault="001A1BF1">
      <w:pPr>
        <w:contextualSpacing w:val="0"/>
      </w:pPr>
      <w:r>
        <w:t xml:space="preserve"> (</w:t>
      </w:r>
      <w:proofErr w:type="spellStart"/>
      <w:r>
        <w:t>i</w:t>
      </w:r>
      <w:proofErr w:type="spellEnd"/>
      <w:r>
        <w:t>) Use selected literature and professional documents to explain the learning principles which underpin the scheme of work, teaching session and resources. Consider the sequence of your scheme of work or syllabus requirements, differentiation and learnin</w:t>
      </w:r>
      <w:r>
        <w:t xml:space="preserve">g, Y </w:t>
      </w:r>
      <w:proofErr w:type="spellStart"/>
      <w:r>
        <w:t>Cwricwlwm</w:t>
      </w:r>
      <w:proofErr w:type="spellEnd"/>
      <w:r>
        <w:t xml:space="preserve"> </w:t>
      </w:r>
      <w:proofErr w:type="spellStart"/>
      <w:r>
        <w:t>Cymreig</w:t>
      </w:r>
      <w:proofErr w:type="spellEnd"/>
      <w:r>
        <w:t xml:space="preserve">, Literacy and Numeracy framework, Digital Competence Framework, etc. (Approx. 1,500 words) </w:t>
      </w:r>
    </w:p>
    <w:p w:rsidR="00C70CB5" w:rsidRDefault="00C70CB5">
      <w:pPr>
        <w:contextualSpacing w:val="0"/>
      </w:pPr>
    </w:p>
    <w:p w:rsidR="00C70CB5" w:rsidRDefault="001A1BF1">
      <w:pPr>
        <w:contextualSpacing w:val="0"/>
      </w:pPr>
      <w:r>
        <w:t xml:space="preserve">When comprising the Scheme </w:t>
      </w:r>
      <w:proofErr w:type="gramStart"/>
      <w:r>
        <w:t>Of</w:t>
      </w:r>
      <w:proofErr w:type="gramEnd"/>
      <w:r>
        <w:t xml:space="preserve"> Work (SOW) for my microteaching, I took into account many theories and ideas to make the SOW accessible for al</w:t>
      </w:r>
      <w:r>
        <w:t xml:space="preserve">l learners. This essay will seek to identify elements that underpin the SOW. I will firstly evaluate various theories of learning, in particular; </w:t>
      </w:r>
      <w:proofErr w:type="spellStart"/>
      <w:r>
        <w:t>behaviourism</w:t>
      </w:r>
      <w:proofErr w:type="spellEnd"/>
      <w:r>
        <w:t xml:space="preserve"> and constructivism, and how they relate to my teaching approach and the dynamic of the classroom.</w:t>
      </w:r>
      <w:r>
        <w:t xml:space="preserve"> I will then make a link between Vygotsky’s theory and the use of differentiation and the need to make learning accessible to all as my main aim is to include all learners in order to show progression in my lessons. I will also include an analysis of Hatti</w:t>
      </w:r>
      <w:r>
        <w:t xml:space="preserve">e’s theory that a teacher should use the most effective tasks as possible and finally, will then evaluate the use and importance of the Literacy Numeracy Framework and the Digital Competency Framework in my SOW. </w:t>
      </w:r>
    </w:p>
    <w:p w:rsidR="00C70CB5" w:rsidRDefault="00C70CB5">
      <w:pPr>
        <w:contextualSpacing w:val="0"/>
      </w:pPr>
    </w:p>
    <w:p w:rsidR="00C70CB5" w:rsidRDefault="001A1BF1">
      <w:pPr>
        <w:contextualSpacing w:val="0"/>
      </w:pPr>
      <w:r>
        <w:t xml:space="preserve">It is important the identify the teaching </w:t>
      </w:r>
      <w:r>
        <w:t xml:space="preserve">approach when assembling a SOW, and the first approach I </w:t>
      </w:r>
      <w:proofErr w:type="spellStart"/>
      <w:r>
        <w:t>analysed</w:t>
      </w:r>
      <w:proofErr w:type="spellEnd"/>
      <w:r>
        <w:t xml:space="preserve"> was that of </w:t>
      </w:r>
      <w:proofErr w:type="spellStart"/>
      <w:r>
        <w:t>behaviourism</w:t>
      </w:r>
      <w:proofErr w:type="spellEnd"/>
      <w:r>
        <w:t xml:space="preserve">. According to Watson (1913) the ultimate goal of </w:t>
      </w:r>
      <w:proofErr w:type="spellStart"/>
      <w:r>
        <w:t>behaviourism</w:t>
      </w:r>
      <w:proofErr w:type="spellEnd"/>
      <w:r>
        <w:t xml:space="preserve"> is to predict and control different </w:t>
      </w:r>
      <w:proofErr w:type="spellStart"/>
      <w:r>
        <w:t>behaviours</w:t>
      </w:r>
      <w:proofErr w:type="spellEnd"/>
      <w:r>
        <w:t>. In the Modern Foreign Languages (MFL) classroom this tr</w:t>
      </w:r>
      <w:r>
        <w:t>anslates as a teacher led approach as it is the teacher that is in control of giving positive and negative reinforcement, Pritchard (2006). This theory is important throughout my scheme of work as providing positive reinforcement would create positive patt</w:t>
      </w:r>
      <w:r>
        <w:t xml:space="preserve">erns within the learners, Skinner (1963). As the main linguistic resource in the MFL classroom, </w:t>
      </w:r>
      <w:proofErr w:type="spellStart"/>
      <w:r>
        <w:t>Pachler</w:t>
      </w:r>
      <w:proofErr w:type="spellEnd"/>
      <w:r>
        <w:t xml:space="preserve"> et al. (2014), many aspects of the SOW reflect this style, in particular the beginning of lessons where it is necessary to deliver subject content and h</w:t>
      </w:r>
      <w:r>
        <w:t xml:space="preserve">ave provisions ready to deal with </w:t>
      </w:r>
      <w:proofErr w:type="spellStart"/>
      <w:r>
        <w:t>behaviour</w:t>
      </w:r>
      <w:proofErr w:type="spellEnd"/>
      <w:r>
        <w:t xml:space="preserve"> (see part (ii)). </w:t>
      </w:r>
    </w:p>
    <w:p w:rsidR="00C70CB5" w:rsidRDefault="00C70CB5">
      <w:pPr>
        <w:contextualSpacing w:val="0"/>
      </w:pPr>
    </w:p>
    <w:p w:rsidR="00C70CB5" w:rsidRDefault="001A1BF1">
      <w:pPr>
        <w:contextualSpacing w:val="0"/>
      </w:pPr>
      <w:r>
        <w:t>The other teaching approach considered when formulating the SOW was that of constructivism. According to Vygotsky (1978), children process concepts twice, once in a social setting and once in a</w:t>
      </w:r>
      <w:r>
        <w:t xml:space="preserve">n individual one. He identified several key theories, in particular the Zone of Proximal Development (ZPD) which is a concept that distinguishes what a child can do by </w:t>
      </w:r>
      <w:proofErr w:type="spellStart"/>
      <w:r>
        <w:t>themself</w:t>
      </w:r>
      <w:proofErr w:type="spellEnd"/>
      <w:r>
        <w:t xml:space="preserve"> and with a More Knowledgeable Other (MKO), McLeod (2018). The concept is that w</w:t>
      </w:r>
      <w:r>
        <w:t xml:space="preserve">hat a child can do with help from an MKO, they will go on to be able to do on their own </w:t>
      </w:r>
      <w:proofErr w:type="spellStart"/>
      <w:r>
        <w:t>Kozulin</w:t>
      </w:r>
      <w:proofErr w:type="spellEnd"/>
      <w:r>
        <w:t xml:space="preserve"> (2003). Vygotsky (1978) implies that an MKO does not always have to be a teacher, simply a person with better understanding to act as a scaffold. A key element </w:t>
      </w:r>
      <w:r>
        <w:t xml:space="preserve">of my SOW is derived from Vygotsky’s theory of scaffolding, where I used placemats to scaffold students during tasks and, in lesson four once they have a grasp of subject specific vocabulary, we generate a placemat as a class. </w:t>
      </w:r>
    </w:p>
    <w:p w:rsidR="00C70CB5" w:rsidRDefault="00C70CB5">
      <w:pPr>
        <w:contextualSpacing w:val="0"/>
      </w:pPr>
    </w:p>
    <w:p w:rsidR="00C70CB5" w:rsidRDefault="001A1BF1">
      <w:pPr>
        <w:contextualSpacing w:val="0"/>
      </w:pPr>
      <w:r>
        <w:t>Vygotsky’s theory of scaffo</w:t>
      </w:r>
      <w:r>
        <w:t xml:space="preserve">lding heavily influenced the seating plan for the class. Less able children were placed with a child who had similar but slightly better grades in order to challenge all learners so that they are in the struggle zone according to </w:t>
      </w:r>
      <w:proofErr w:type="spellStart"/>
      <w:r>
        <w:t>Senniger</w:t>
      </w:r>
      <w:proofErr w:type="spellEnd"/>
      <w:r>
        <w:t xml:space="preserve"> (2000). This was </w:t>
      </w:r>
      <w:r>
        <w:t xml:space="preserve">one </w:t>
      </w:r>
      <w:r>
        <w:lastRenderedPageBreak/>
        <w:t xml:space="preserve">form of differentiation I used. </w:t>
      </w:r>
      <w:proofErr w:type="spellStart"/>
      <w:r>
        <w:t>Senniger</w:t>
      </w:r>
      <w:proofErr w:type="spellEnd"/>
      <w:r>
        <w:t xml:space="preserve"> (2010) also mentions the idea that a child can only learn when they are put into situations where they are challenged so they stay </w:t>
      </w:r>
      <w:proofErr w:type="spellStart"/>
      <w:r>
        <w:t>with in</w:t>
      </w:r>
      <w:proofErr w:type="spellEnd"/>
      <w:r>
        <w:t xml:space="preserve"> the familiarity of the comfort zone where tasks are too easy. The idea o</w:t>
      </w:r>
      <w:r>
        <w:t xml:space="preserve">f scaffolding was explored within my class resources. In the first lesson students are supplied with a placemat and by the fourth lesson we generate one as a class based on the knowledge learnt during the SOW. </w:t>
      </w:r>
    </w:p>
    <w:p w:rsidR="00C70CB5" w:rsidRDefault="00C70CB5">
      <w:pPr>
        <w:contextualSpacing w:val="0"/>
      </w:pPr>
    </w:p>
    <w:p w:rsidR="00C70CB5" w:rsidRDefault="001A1BF1">
      <w:pPr>
        <w:contextualSpacing w:val="0"/>
      </w:pPr>
      <w:r>
        <w:t>An extension of this is the idea that the le</w:t>
      </w:r>
      <w:r>
        <w:t xml:space="preserve">arning zone is different for every learner should be in the struggle zone </w:t>
      </w:r>
      <w:r>
        <w:rPr>
          <w:sz w:val="24"/>
          <w:szCs w:val="24"/>
          <w:highlight w:val="white"/>
        </w:rPr>
        <w:t>(</w:t>
      </w:r>
      <w:proofErr w:type="spellStart"/>
      <w:r>
        <w:rPr>
          <w:highlight w:val="white"/>
        </w:rPr>
        <w:t>ThemPra</w:t>
      </w:r>
      <w:proofErr w:type="spellEnd"/>
      <w:r>
        <w:rPr>
          <w:highlight w:val="white"/>
        </w:rPr>
        <w:t xml:space="preserve"> Social Pedagogy, 2018). The struggle zone is where a student is forced to think about a subject and this is the optimum learning zone. There is also the comfort zone and the</w:t>
      </w:r>
      <w:r>
        <w:rPr>
          <w:highlight w:val="white"/>
        </w:rPr>
        <w:t xml:space="preserve"> panic zone; it was important to avoid these as a student would find the work either too easy or too difficult, neither of which are conducive to the learning process. The difficulty here is that the zone is different for every learner and it is essential </w:t>
      </w:r>
      <w:r>
        <w:rPr>
          <w:highlight w:val="white"/>
        </w:rPr>
        <w:t xml:space="preserve">that the teacher understands their pupils and how they work best, and also anything that would impair a child’s ability to learn whether it be circumstances at home or a disability.  </w:t>
      </w:r>
      <w:proofErr w:type="spellStart"/>
      <w:r>
        <w:t>Schweiter</w:t>
      </w:r>
      <w:proofErr w:type="spellEnd"/>
      <w:r>
        <w:t xml:space="preserve"> (2010) develops on Vygotsky’s ideas by conducting a study to sh</w:t>
      </w:r>
      <w:r>
        <w:t xml:space="preserve">ow that learners who were scaffolded during the learning process greatly improved their second language writing skills, and, as the assessment at the end of my SOW was written, it was logical that I used methods of scaffolding throughout my SOW. </w:t>
      </w:r>
    </w:p>
    <w:p w:rsidR="00C70CB5" w:rsidRDefault="00C70CB5">
      <w:pPr>
        <w:contextualSpacing w:val="0"/>
      </w:pPr>
    </w:p>
    <w:p w:rsidR="00C70CB5" w:rsidRDefault="001A1BF1">
      <w:pPr>
        <w:contextualSpacing w:val="0"/>
      </w:pPr>
      <w:r>
        <w:t>There ar</w:t>
      </w:r>
      <w:r>
        <w:t xml:space="preserve">e presumptions about differentiation and that it is mainly </w:t>
      </w:r>
      <w:proofErr w:type="spellStart"/>
      <w:r>
        <w:t>focussed</w:t>
      </w:r>
      <w:proofErr w:type="spellEnd"/>
      <w:r>
        <w:t xml:space="preserve"> on students with additional learning needs (ALN). Students with ALN, such as ADHD or ASD (autism spectrum disorder) or with physical impairments will need extra support and need to be scaf</w:t>
      </w:r>
      <w:r>
        <w:t>folded as their learning zone is different to a student without these needs. However, on the other end of the spectrum there are more able and talented (MAT) students. They need more of a challenge to get into the learning zone and need extension tasks for</w:t>
      </w:r>
      <w:r>
        <w:t xml:space="preserve"> when they complete work early (Welsh government, 2016). </w:t>
      </w:r>
    </w:p>
    <w:p w:rsidR="00C70CB5" w:rsidRDefault="00C70CB5">
      <w:pPr>
        <w:contextualSpacing w:val="0"/>
      </w:pPr>
    </w:p>
    <w:p w:rsidR="00C70CB5" w:rsidRDefault="001A1BF1">
      <w:pPr>
        <w:contextualSpacing w:val="0"/>
      </w:pPr>
      <w:r>
        <w:t>As well as the aforementioned strategies of a seating plan and scaffolding, I also used other methods of differentiation. Tomlinson, (2014) explains that a differentiated classroom is a flexible on</w:t>
      </w:r>
      <w:r>
        <w:t xml:space="preserve">e, being able to adapt to the needs of its learners. I provided a </w:t>
      </w:r>
      <w:proofErr w:type="spellStart"/>
      <w:r>
        <w:t>seperate</w:t>
      </w:r>
      <w:proofErr w:type="spellEnd"/>
      <w:r>
        <w:t xml:space="preserve"> copy of my resources to a child that had visual impairment and took extra care to ensure that students with learning difficulties were on task and understood the expectations of my </w:t>
      </w:r>
      <w:r>
        <w:t>classroom and the work that they were undertaking. According to Petty (2014) differentiation is the act of creating the conditions most conducive to learning for all learners which means making sure all students can access the lesson. This is why I made su</w:t>
      </w:r>
      <w:r>
        <w:t>re to create different resources and provisions for students who I knew would struggle but also had extension tasks for my MAT learners.</w:t>
      </w:r>
    </w:p>
    <w:p w:rsidR="00C70CB5" w:rsidRDefault="00C70CB5">
      <w:pPr>
        <w:contextualSpacing w:val="0"/>
      </w:pPr>
    </w:p>
    <w:p w:rsidR="00C70CB5" w:rsidRDefault="001A1BF1">
      <w:pPr>
        <w:contextualSpacing w:val="0"/>
      </w:pPr>
      <w:r>
        <w:t>There are also other theories that take into account to cognitive processes that occur during learning. One could argu</w:t>
      </w:r>
      <w:r>
        <w:t>e that the idea that information must pass from short term memory into long term memory in order to be retained is fundamental to the learning and teaching process. If a student is given information too quickly it cannot be retained longer than the lesson;</w:t>
      </w:r>
      <w:r>
        <w:t xml:space="preserve"> in order to avoid </w:t>
      </w:r>
      <w:proofErr w:type="gramStart"/>
      <w:r>
        <w:t>this happening students</w:t>
      </w:r>
      <w:proofErr w:type="gramEnd"/>
      <w:r>
        <w:t xml:space="preserve"> must fully comprehend what they must know before it can be moved to the long term memory (Petty, 2014).</w:t>
      </w:r>
    </w:p>
    <w:p w:rsidR="00C70CB5" w:rsidRDefault="00C70CB5">
      <w:pPr>
        <w:contextualSpacing w:val="0"/>
      </w:pPr>
    </w:p>
    <w:p w:rsidR="00C70CB5" w:rsidRDefault="001A1BF1">
      <w:pPr>
        <w:contextualSpacing w:val="0"/>
      </w:pPr>
      <w:r>
        <w:lastRenderedPageBreak/>
        <w:t>Another aspect that I took into account when designing my SOW was John Hattie and the idea of visible learni</w:t>
      </w:r>
      <w:r>
        <w:t>ng. His key message is the idea that teachers should “know thy impact” (Hattie 2014). As such he collected large amounts of data in order to determine the impact a teacher and a task has on the learner and has identified the tasks most conducive to learnin</w:t>
      </w:r>
      <w:r>
        <w:t>g. Time in the classroom is limited especially for MFL where they may only be exposed to the language for one hour a week, so it is important to use the time effectively and choose tasks that will be most beneficial to the learning process. Hattie (2014) i</w:t>
      </w:r>
      <w:r>
        <w:t xml:space="preserve">dentifies tasks where students are required to be creative amongst those with the highest impact which Is why I chose my final activity where students had to draw a weather map and create their own sentences based on what they have drawn. </w:t>
      </w:r>
    </w:p>
    <w:p w:rsidR="00C70CB5" w:rsidRDefault="00C70CB5">
      <w:pPr>
        <w:contextualSpacing w:val="0"/>
      </w:pPr>
    </w:p>
    <w:p w:rsidR="00C70CB5" w:rsidRDefault="001A1BF1">
      <w:pPr>
        <w:contextualSpacing w:val="0"/>
      </w:pPr>
      <w:r>
        <w:t xml:space="preserve">A vital aspect </w:t>
      </w:r>
      <w:r>
        <w:t xml:space="preserve">of my SOW is the Literacy Numeracy Framework (LNF) but also the Digital Competency Framework (DCF). The LNF set out to include literacy and numeracy in all aspects of the </w:t>
      </w:r>
      <w:proofErr w:type="spellStart"/>
      <w:proofErr w:type="gramStart"/>
      <w:r>
        <w:t>curriculum,Welsh</w:t>
      </w:r>
      <w:proofErr w:type="spellEnd"/>
      <w:proofErr w:type="gramEnd"/>
      <w:r>
        <w:t xml:space="preserve"> government (2013) and according to Donaldson (2015) these skills are</w:t>
      </w:r>
      <w:r>
        <w:t xml:space="preserve"> essential to living and working independently. As a result, many of the starter activities in my SOW would have included tasks that included either literacy of numeracy. Although not evident in my microteaching lesson, digital competency is a skill that u</w:t>
      </w:r>
      <w:r>
        <w:t xml:space="preserve">nderpins my SOW. Online games such as Kahoot! are a useful tool for teaching as they can act as plenaries, a revision tool or simply a way of </w:t>
      </w:r>
      <w:proofErr w:type="spellStart"/>
      <w:r>
        <w:t>practising</w:t>
      </w:r>
      <w:proofErr w:type="spellEnd"/>
      <w:r>
        <w:t xml:space="preserve"> new vocabulary. As a result, students can participate in the lesson through their phones or devices and</w:t>
      </w:r>
      <w:r>
        <w:t xml:space="preserve"> are developing this vital skill for lining in the 21st century. Since being on placement and having more experience I have learned more ways to include the LNF in my teaching (which I will explore in part (ii)) but have not had a significant opportunity t</w:t>
      </w:r>
      <w:r>
        <w:t>o develop DCF skills as the school has a blanket ban on mobile phones and they are not allowed in school. I plan to develop these skills further in my next placement and in the meantime make use of the iPads and computer suites available at the moment</w:t>
      </w:r>
    </w:p>
    <w:p w:rsidR="00C70CB5" w:rsidRDefault="00C70CB5">
      <w:pPr>
        <w:contextualSpacing w:val="0"/>
      </w:pPr>
    </w:p>
    <w:p w:rsidR="00C70CB5" w:rsidRDefault="001A1BF1">
      <w:pPr>
        <w:contextualSpacing w:val="0"/>
      </w:pPr>
      <w:r>
        <w:t xml:space="preserve">To </w:t>
      </w:r>
      <w:r>
        <w:t>conclude, the main aim of the lessons in the SOW was to include all learners in the learning process and the importance of differentiation. I did this using a variety of methods according to Vygotsky (1978), such as scaffolding. It is then important to con</w:t>
      </w:r>
      <w:r>
        <w:t xml:space="preserve">sider the tasks that are most effective for learning and retaining information and the impact they have on the classroom. </w:t>
      </w:r>
      <w:proofErr w:type="gramStart"/>
      <w:r>
        <w:t>Finally</w:t>
      </w:r>
      <w:proofErr w:type="gramEnd"/>
      <w:r>
        <w:t xml:space="preserve"> I considered the importance of the LNF and DCF in my SOW and how I used them. With this in mind, there are many positive aspec</w:t>
      </w:r>
      <w:r>
        <w:t>ts of my microteaching but there are many other aspects, theories and strategies that I could have considered or expanded upon which I will explore in part (ii).</w:t>
      </w:r>
    </w:p>
    <w:p w:rsidR="00C70CB5" w:rsidRDefault="00C70CB5">
      <w:pPr>
        <w:contextualSpacing w:val="0"/>
      </w:pPr>
    </w:p>
    <w:p w:rsidR="00C70CB5" w:rsidRDefault="001A1BF1">
      <w:pPr>
        <w:contextualSpacing w:val="0"/>
      </w:pPr>
      <w:r>
        <w:t>ii) Since being in a classroom on placement, I have gained further experience with teaching a</w:t>
      </w:r>
      <w:r>
        <w:t xml:space="preserve">nd have identified a number of aspects that I could have done differently or improved upon. I am now going to evaluate my microteaching based on this new experience. Most notably, I have experienced issues with </w:t>
      </w:r>
      <w:proofErr w:type="spellStart"/>
      <w:r>
        <w:t>behaviour</w:t>
      </w:r>
      <w:proofErr w:type="spellEnd"/>
      <w:r>
        <w:t xml:space="preserve"> management and will explore the tec</w:t>
      </w:r>
      <w:r>
        <w:t xml:space="preserve">hniques I am currently using and how these issues affected my microteaching. In </w:t>
      </w:r>
      <w:proofErr w:type="gramStart"/>
      <w:r>
        <w:t>addition</w:t>
      </w:r>
      <w:proofErr w:type="gramEnd"/>
      <w:r>
        <w:t xml:space="preserve"> I will evaluate the importance of further refining my seating plan and how the idea of being split boy/girl is beneficial for students. I will then assess the importan</w:t>
      </w:r>
      <w:r>
        <w:t xml:space="preserve">ce of assessment for learning, not just compared to assessment of learning but also how knowing what the students know and how you can improve the learning process for them. I will then consider the new specification for </w:t>
      </w:r>
      <w:r>
        <w:lastRenderedPageBreak/>
        <w:t>WJEC GCSE exams. This will affect m</w:t>
      </w:r>
      <w:r>
        <w:t>y teaching because I need to appropriately prepare students for the exams. I will go on to explain the importance of subject knowledge and finally growth mindset.</w:t>
      </w:r>
    </w:p>
    <w:p w:rsidR="00C70CB5" w:rsidRDefault="00C70CB5">
      <w:pPr>
        <w:contextualSpacing w:val="0"/>
      </w:pPr>
    </w:p>
    <w:p w:rsidR="00C70CB5" w:rsidRDefault="00C70CB5">
      <w:pPr>
        <w:contextualSpacing w:val="0"/>
      </w:pPr>
    </w:p>
    <w:p w:rsidR="00C70CB5" w:rsidRDefault="001A1BF1">
      <w:pPr>
        <w:contextualSpacing w:val="0"/>
      </w:pPr>
      <w:r>
        <w:t xml:space="preserve">In terms of </w:t>
      </w:r>
      <w:proofErr w:type="spellStart"/>
      <w:r>
        <w:t>behaviour</w:t>
      </w:r>
      <w:proofErr w:type="spellEnd"/>
      <w:r>
        <w:t xml:space="preserve"> management, I did not experience many issues during my microteaching, especially compared to being on placement and it is in these instances I refer back to Watson’s theories of </w:t>
      </w:r>
      <w:proofErr w:type="spellStart"/>
      <w:r>
        <w:t>behaviourism</w:t>
      </w:r>
      <w:proofErr w:type="spellEnd"/>
      <w:r>
        <w:t>, Watson (1913). I have found that making su</w:t>
      </w:r>
      <w:r>
        <w:t xml:space="preserve">re that I have a reward or a punishment depending on the </w:t>
      </w:r>
      <w:proofErr w:type="spellStart"/>
      <w:r>
        <w:t>behaviour</w:t>
      </w:r>
      <w:proofErr w:type="spellEnd"/>
      <w:r>
        <w:t xml:space="preserve"> is enough, more often than not, in order to encourage students to misbehave. In </w:t>
      </w:r>
      <w:proofErr w:type="spellStart"/>
      <w:r>
        <w:t>practise</w:t>
      </w:r>
      <w:proofErr w:type="spellEnd"/>
      <w:r>
        <w:t xml:space="preserve"> I have seen myself adopt a </w:t>
      </w:r>
      <w:proofErr w:type="spellStart"/>
      <w:r>
        <w:t>behaviourist</w:t>
      </w:r>
      <w:proofErr w:type="spellEnd"/>
      <w:r>
        <w:t xml:space="preserve"> approach, where I lead students and reward or punish </w:t>
      </w:r>
      <w:proofErr w:type="spellStart"/>
      <w:r>
        <w:t>behavio</w:t>
      </w:r>
      <w:r>
        <w:t>urs</w:t>
      </w:r>
      <w:proofErr w:type="spellEnd"/>
      <w:r>
        <w:t xml:space="preserve">. One aspect of </w:t>
      </w:r>
      <w:proofErr w:type="spellStart"/>
      <w:r>
        <w:t>behaviour</w:t>
      </w:r>
      <w:proofErr w:type="spellEnd"/>
      <w:r>
        <w:t xml:space="preserve"> management that I had not considered thoroughly enough was the link between classroom management and pupil disengagement. Creating a positive environment, through strategies like praise and avoiding confrontation with students,</w:t>
      </w:r>
      <w:r>
        <w:t xml:space="preserve"> is vital to aiding the learning process as the focus can be on learning the topic and not have a negative tone with students not wanting to participate (Haydn, 2009). In light of my experience so far, my approach to teaching will aim to provide more rewar</w:t>
      </w:r>
      <w:r>
        <w:t xml:space="preserve">ds than punishments but still be </w:t>
      </w:r>
      <w:proofErr w:type="spellStart"/>
      <w:r>
        <w:t>focussed</w:t>
      </w:r>
      <w:proofErr w:type="spellEnd"/>
      <w:r>
        <w:t xml:space="preserve"> on the idea that </w:t>
      </w:r>
    </w:p>
    <w:p w:rsidR="00C70CB5" w:rsidRDefault="00C70CB5">
      <w:pPr>
        <w:contextualSpacing w:val="0"/>
      </w:pPr>
    </w:p>
    <w:p w:rsidR="00C70CB5" w:rsidRDefault="00C70CB5">
      <w:pPr>
        <w:contextualSpacing w:val="0"/>
      </w:pPr>
    </w:p>
    <w:p w:rsidR="00C70CB5" w:rsidRDefault="001A1BF1">
      <w:pPr>
        <w:contextualSpacing w:val="0"/>
      </w:pPr>
      <w:r>
        <w:t xml:space="preserve">One aspect that was not fully explored in my microteaching is the importance of seating plans arranged in a boy/girl style. Due to the fact that there was not an equal balance in the class with </w:t>
      </w:r>
      <w:r>
        <w:t xml:space="preserve">which I conducted my microteaching, I have since been learning of the benefits of a boy/girl seating plan and the impact of learners in that environment. According to Stephen and </w:t>
      </w:r>
      <w:proofErr w:type="spellStart"/>
      <w:r>
        <w:t>Gurian</w:t>
      </w:r>
      <w:proofErr w:type="spellEnd"/>
      <w:r>
        <w:t xml:space="preserve"> (2013), each gender has a natural, in built skill superiority. As such</w:t>
      </w:r>
      <w:r>
        <w:t xml:space="preserve"> it would have been optimal to have a boy/girl seating arrangement as this reverts back to Vygotsky’s ideas of the more knowledgeable other, Vygotsky (1978), ensuring that students can play on each other’s strengths and encourage the learning process. </w:t>
      </w:r>
    </w:p>
    <w:p w:rsidR="00C70CB5" w:rsidRDefault="00C70CB5">
      <w:pPr>
        <w:contextualSpacing w:val="0"/>
      </w:pPr>
    </w:p>
    <w:p w:rsidR="00C70CB5" w:rsidRDefault="001A1BF1">
      <w:pPr>
        <w:contextualSpacing w:val="0"/>
      </w:pPr>
      <w:r>
        <w:t>Si</w:t>
      </w:r>
      <w:r>
        <w:t>nce being on placement I have been exposed to the new specification for the WJEC which is something I could have been more aware of. The new specification includes more aspects of grammar and translation (WJEC.co.uk, 2018). Even though I chose to teach a y</w:t>
      </w:r>
      <w:r>
        <w:t xml:space="preserve">ear 8 class for my microteaching, I could still have included more aspects of this in order to prepare them for the future and develop their translation skills and their knowledge of grammar as even if they do not choose languages for GCSE, they are still </w:t>
      </w:r>
      <w:r>
        <w:t>developing their literacy skills.</w:t>
      </w:r>
    </w:p>
    <w:p w:rsidR="00C70CB5" w:rsidRDefault="00C70CB5">
      <w:pPr>
        <w:contextualSpacing w:val="0"/>
      </w:pPr>
    </w:p>
    <w:p w:rsidR="00C70CB5" w:rsidRDefault="001A1BF1">
      <w:pPr>
        <w:contextualSpacing w:val="0"/>
      </w:pPr>
      <w:r>
        <w:t>Returning to the LNF, I have found during my experience that I can include it in different ways. I thought initially, based on the definition (</w:t>
      </w:r>
      <w:r>
        <w:rPr>
          <w:highlight w:val="white"/>
        </w:rPr>
        <w:t>Oxford Dictionaries | English, 2018) that literacy based simply the ability to</w:t>
      </w:r>
      <w:r>
        <w:rPr>
          <w:highlight w:val="white"/>
        </w:rPr>
        <w:t xml:space="preserve"> read and write but using the LNF document (Welsh government, 2015) and my experience I have been able to develop my resources and my skills of implementing the framework since my microteaching. An example of this is using starter activities that use unjum</w:t>
      </w:r>
      <w:r>
        <w:rPr>
          <w:highlight w:val="white"/>
        </w:rPr>
        <w:t xml:space="preserve">bling of letters, numbers and sequences in French in order for students to manipulate language and improve spelling. As a result, I could have included more aspects of the LNF and examples of it in my SOW. </w:t>
      </w:r>
    </w:p>
    <w:p w:rsidR="00C70CB5" w:rsidRDefault="00C70CB5">
      <w:pPr>
        <w:contextualSpacing w:val="0"/>
      </w:pPr>
    </w:p>
    <w:p w:rsidR="00C70CB5" w:rsidRDefault="001A1BF1">
      <w:pPr>
        <w:contextualSpacing w:val="0"/>
      </w:pPr>
      <w:r>
        <w:lastRenderedPageBreak/>
        <w:t>Some of the other theories and strategies that I</w:t>
      </w:r>
      <w:r>
        <w:t xml:space="preserve"> could have included more of if I had to do this again are those surrounding Assessment for Learning (</w:t>
      </w:r>
      <w:proofErr w:type="spellStart"/>
      <w:r>
        <w:t>AfL</w:t>
      </w:r>
      <w:proofErr w:type="spellEnd"/>
      <w:r>
        <w:t>) and Assessment of Learning (</w:t>
      </w:r>
      <w:proofErr w:type="spellStart"/>
      <w:r>
        <w:t>AoL</w:t>
      </w:r>
      <w:proofErr w:type="spellEnd"/>
      <w:r>
        <w:t xml:space="preserve">) and in particular </w:t>
      </w:r>
      <w:proofErr w:type="spellStart"/>
      <w:r>
        <w:t>AfL</w:t>
      </w:r>
      <w:proofErr w:type="spellEnd"/>
      <w:r>
        <w:t xml:space="preserve">. One of the key theorists for this concept is Dylan </w:t>
      </w:r>
      <w:proofErr w:type="spellStart"/>
      <w:r>
        <w:t>Wiliam</w:t>
      </w:r>
      <w:proofErr w:type="spellEnd"/>
      <w:r>
        <w:t xml:space="preserve"> who explains that </w:t>
      </w:r>
      <w:proofErr w:type="spellStart"/>
      <w:r>
        <w:t>AfL</w:t>
      </w:r>
      <w:proofErr w:type="spellEnd"/>
      <w:r>
        <w:t xml:space="preserve"> acts as an im</w:t>
      </w:r>
      <w:r>
        <w:t xml:space="preserve">portant and dynamic way of helping teachers and learners to </w:t>
      </w:r>
      <w:proofErr w:type="spellStart"/>
      <w:r>
        <w:t>optimise</w:t>
      </w:r>
      <w:proofErr w:type="spellEnd"/>
      <w:r>
        <w:t xml:space="preserve"> the learning process (</w:t>
      </w:r>
      <w:proofErr w:type="spellStart"/>
      <w:r>
        <w:t>Wiliam</w:t>
      </w:r>
      <w:proofErr w:type="spellEnd"/>
      <w:r>
        <w:t xml:space="preserve"> 2011). During my microteaching, I could have used more techniques of including formative assessment into the lesson as I have been on placement. Since being i</w:t>
      </w:r>
      <w:r>
        <w:t xml:space="preserve">n classes I have learnt, both from my school tutor and researching theories surrounding </w:t>
      </w:r>
      <w:proofErr w:type="spellStart"/>
      <w:r>
        <w:t>AfL</w:t>
      </w:r>
      <w:proofErr w:type="spellEnd"/>
      <w:r>
        <w:t xml:space="preserve"> and how to use them practically. He outlines 5 key strategies for </w:t>
      </w:r>
      <w:proofErr w:type="spellStart"/>
      <w:r>
        <w:t>AfL</w:t>
      </w:r>
      <w:proofErr w:type="spellEnd"/>
      <w:r>
        <w:t xml:space="preserve"> which include assessment from the teacher, peer and </w:t>
      </w:r>
      <w:proofErr w:type="spellStart"/>
      <w:r>
        <w:t>self assessment</w:t>
      </w:r>
      <w:proofErr w:type="spellEnd"/>
      <w:r>
        <w:t xml:space="preserve"> (</w:t>
      </w:r>
      <w:proofErr w:type="spellStart"/>
      <w:r>
        <w:t>Education.gov.scot</w:t>
      </w:r>
      <w:proofErr w:type="spellEnd"/>
      <w:r>
        <w:t>, 2015)</w:t>
      </w:r>
      <w:r>
        <w:t xml:space="preserve"> and I have found these incredibly useful during my placement as it allows the teacher to accurately assess a pupil’s understanding as well as giving them a chance to grow and improve. The first principle of </w:t>
      </w:r>
      <w:proofErr w:type="spellStart"/>
      <w:r>
        <w:t>AfL</w:t>
      </w:r>
      <w:proofErr w:type="spellEnd"/>
      <w:r>
        <w:t xml:space="preserve"> according to </w:t>
      </w:r>
      <w:proofErr w:type="spellStart"/>
      <w:r>
        <w:t>Wiliam</w:t>
      </w:r>
      <w:proofErr w:type="spellEnd"/>
      <w:r>
        <w:t xml:space="preserve"> (2011) is questioning, w</w:t>
      </w:r>
      <w:r>
        <w:t xml:space="preserve">hich is something I could have also included more in </w:t>
      </w:r>
      <w:proofErr w:type="spellStart"/>
      <w:r>
        <w:t>thw</w:t>
      </w:r>
      <w:proofErr w:type="spellEnd"/>
      <w:r>
        <w:t xml:space="preserve"> SOW. Using questioning as a way of revising certain aspects and making sure that everyone in the class can access all materials </w:t>
      </w:r>
      <w:proofErr w:type="spellStart"/>
      <w:r>
        <w:t>eg.</w:t>
      </w:r>
      <w:proofErr w:type="spellEnd"/>
      <w:r>
        <w:t xml:space="preserve"> I was surprised how many younger students did not know the word plu</w:t>
      </w:r>
      <w:r>
        <w:t xml:space="preserve">ral and as such it is important to make sure that everyone in the class knows this. </w:t>
      </w:r>
      <w:proofErr w:type="spellStart"/>
      <w:r>
        <w:t>Chistodoulou</w:t>
      </w:r>
      <w:proofErr w:type="spellEnd"/>
      <w:r>
        <w:t xml:space="preserve"> (2015) expands on </w:t>
      </w:r>
      <w:proofErr w:type="spellStart"/>
      <w:r>
        <w:t>Wiliam’s</w:t>
      </w:r>
      <w:proofErr w:type="spellEnd"/>
      <w:r>
        <w:t xml:space="preserve"> findings and explains that </w:t>
      </w:r>
      <w:proofErr w:type="spellStart"/>
      <w:r>
        <w:t>AfL</w:t>
      </w:r>
      <w:proofErr w:type="spellEnd"/>
      <w:r>
        <w:t xml:space="preserve"> is sometimes more important the </w:t>
      </w:r>
      <w:proofErr w:type="spellStart"/>
      <w:r>
        <w:t>AoL</w:t>
      </w:r>
      <w:proofErr w:type="spellEnd"/>
      <w:r>
        <w:t xml:space="preserve"> as exams only provide results for a two-</w:t>
      </w:r>
      <w:proofErr w:type="gramStart"/>
      <w:r>
        <w:t>three hour</w:t>
      </w:r>
      <w:proofErr w:type="gramEnd"/>
      <w:r>
        <w:t xml:space="preserve"> window whereas</w:t>
      </w:r>
      <w:r>
        <w:t xml:space="preserve"> </w:t>
      </w:r>
      <w:proofErr w:type="spellStart"/>
      <w:r>
        <w:t>AfL</w:t>
      </w:r>
      <w:proofErr w:type="spellEnd"/>
      <w:r>
        <w:t xml:space="preserve"> provides more of a true reflection of where a child is and their level of understanding of a topic. An aspect of my teaching that I am improving is being able to react effectively to my students; I often have very intricate lesson plans with little sc</w:t>
      </w:r>
      <w:r>
        <w:t>ope to adapt if students do not understand or need to revise a topic.</w:t>
      </w:r>
    </w:p>
    <w:p w:rsidR="00C70CB5" w:rsidRDefault="00C70CB5">
      <w:pPr>
        <w:contextualSpacing w:val="0"/>
      </w:pPr>
    </w:p>
    <w:p w:rsidR="00C70CB5" w:rsidRDefault="001A1BF1">
      <w:pPr>
        <w:contextualSpacing w:val="0"/>
      </w:pPr>
      <w:r>
        <w:t>Another aspect that I could improve on is making errors and subject knowledge. During my microteaching I made a spelling error on the board and it could have been avoided if I have chec</w:t>
      </w:r>
      <w:r>
        <w:t>ked before the lesson. The subject knowledge of the teacher according to Hattie (2014) is does not have that great of an effect on the learning process. However, according to Shulman (1987) knowledge of pedagogy is just as important as subject knowledge. W</w:t>
      </w:r>
      <w:r>
        <w:t>ith this in mind, I am aware that, although my mistake is not ideal, my teaching strategies are just as important. In school have been ensuring that I have been prepared for student questions without panicking if I cannot answer one; instead helping a stud</w:t>
      </w:r>
      <w:r>
        <w:t xml:space="preserve">ent find the answer for themselves as it would help them convert the information from their short term to their </w:t>
      </w:r>
      <w:proofErr w:type="gramStart"/>
      <w:r>
        <w:t>long term</w:t>
      </w:r>
      <w:proofErr w:type="gramEnd"/>
      <w:r>
        <w:t xml:space="preserve"> memory as they understand it for themselves without having the answer given to them and then forgotten.  </w:t>
      </w:r>
    </w:p>
    <w:p w:rsidR="00C70CB5" w:rsidRDefault="00C70CB5">
      <w:pPr>
        <w:contextualSpacing w:val="0"/>
      </w:pPr>
    </w:p>
    <w:p w:rsidR="00C70CB5" w:rsidRDefault="001A1BF1">
      <w:pPr>
        <w:contextualSpacing w:val="0"/>
      </w:pPr>
      <w:r>
        <w:t>A key theory that I could h</w:t>
      </w:r>
      <w:r>
        <w:t xml:space="preserve">ave explored further during my microteaching was that of growth and fixed mindset. First </w:t>
      </w:r>
      <w:proofErr w:type="spellStart"/>
      <w:r>
        <w:t>theorised</w:t>
      </w:r>
      <w:proofErr w:type="spellEnd"/>
      <w:r>
        <w:t xml:space="preserve"> by Dweck, it is the idea that praise should come mainly for effort and not results otherwise it could result in a fixed mindset. According to Dweck (2006) a </w:t>
      </w:r>
      <w:r>
        <w:t xml:space="preserve">fixed mindset is never a good thing as learners are not interested in progress and only interested in tasks that they already know that they can complete. On the other </w:t>
      </w:r>
      <w:proofErr w:type="gramStart"/>
      <w:r>
        <w:t>hand</w:t>
      </w:r>
      <w:proofErr w:type="gramEnd"/>
      <w:r>
        <w:t xml:space="preserve"> she found that students that were praised for effort had a growth mindset. This is </w:t>
      </w:r>
      <w:r>
        <w:t>where students are not driven by results and instead what they can gain from the task. In the classroom this means that it is important to encourage students to try tasks and praise them for their effort therefore this is something I would like to incorpor</w:t>
      </w:r>
      <w:r>
        <w:t xml:space="preserve">ate into my teaching in order to get the best out of my pupils. </w:t>
      </w:r>
    </w:p>
    <w:p w:rsidR="00C70CB5" w:rsidRDefault="00C70CB5">
      <w:pPr>
        <w:contextualSpacing w:val="0"/>
      </w:pPr>
    </w:p>
    <w:p w:rsidR="00C70CB5" w:rsidRDefault="001A1BF1">
      <w:pPr>
        <w:contextualSpacing w:val="0"/>
      </w:pPr>
      <w:r>
        <w:lastRenderedPageBreak/>
        <w:t xml:space="preserve">To conclude, I included many positive and well thought out aspects of my microteaching which I explored in the first part of this essay. I considered the importance of differentiation using </w:t>
      </w:r>
      <w:r>
        <w:t>the theories of Vygotsky (1978) and also explored the range of learners in the classroom and the best strategies to ensure every student is in the learning zone and not the panic or the comfort zone. I then assessed Hattie’s theories of teacher impact on s</w:t>
      </w:r>
      <w:r>
        <w:t xml:space="preserve">tudent learning; the most effective tasks for maximum learning potential. I then evaluated the importance of the various frameworks </w:t>
      </w:r>
      <w:proofErr w:type="spellStart"/>
      <w:r>
        <w:t>eg</w:t>
      </w:r>
      <w:proofErr w:type="spellEnd"/>
      <w:r>
        <w:t xml:space="preserve"> LNF in my SOW. In part (ii) I critically evaluated the microteaching experience in light of my first few weeks of placeme</w:t>
      </w:r>
      <w:r>
        <w:t>nt and therefore the experience I have of teaching in a school. I shared issues that I have had both on placement and during my teaching in school but also comparing them to the issues I faced during the microteaching experience. In particular I noted issu</w:t>
      </w:r>
      <w:r>
        <w:t xml:space="preserve">es with </w:t>
      </w:r>
      <w:proofErr w:type="spellStart"/>
      <w:r>
        <w:t>behaviour</w:t>
      </w:r>
      <w:proofErr w:type="spellEnd"/>
      <w:r>
        <w:t xml:space="preserve"> management and strategies on how to tackle them, especially seating plans and their effect on the dynamic of the class. Since being on placement, a substantial difference noted by teachers is the new WJEC specification which includes a di</w:t>
      </w:r>
      <w:r>
        <w:t xml:space="preserve">fferent approach to exams for </w:t>
      </w:r>
      <w:proofErr w:type="spellStart"/>
      <w:r>
        <w:t>eg</w:t>
      </w:r>
      <w:proofErr w:type="spellEnd"/>
      <w:r>
        <w:t xml:space="preserve"> using more translation and grammar skills. </w:t>
      </w:r>
    </w:p>
    <w:p w:rsidR="00C70CB5" w:rsidRDefault="4C3E8020">
      <w:pPr>
        <w:contextualSpacing w:val="0"/>
      </w:pPr>
      <w:r>
        <w:t>I then explained how I have developed on my knowledge of the frameworks from part(</w:t>
      </w:r>
      <w:proofErr w:type="spellStart"/>
      <w:r>
        <w:t>i</w:t>
      </w:r>
      <w:proofErr w:type="spellEnd"/>
      <w:r>
        <w:t xml:space="preserve">) through my experience. I explored techniques and the importance of </w:t>
      </w:r>
      <w:proofErr w:type="spellStart"/>
      <w:r>
        <w:t>AfL</w:t>
      </w:r>
      <w:proofErr w:type="spellEnd"/>
      <w:r>
        <w:t xml:space="preserve"> and different principles and strategies that I could implement in a classroom environment to ensure pupil understanding. </w:t>
      </w:r>
      <w:proofErr w:type="gramStart"/>
      <w:r>
        <w:t>Finally</w:t>
      </w:r>
      <w:proofErr w:type="gramEnd"/>
      <w:r>
        <w:t xml:space="preserve"> I assessed the impact of learner mindset on teaching, in particular the best way to create a growth mindset amongst my students which enables them to be interested in language without fear of failure, which is a common aspect of language learning. Having explored and identified these strategies, found either through experience or research, I am not armed with the tools to implement them and get the most out of all learners in my classroom.</w:t>
      </w:r>
    </w:p>
    <w:p w:rsidR="4C3E8020" w:rsidRDefault="4C3E8020" w:rsidP="4C3E8020"/>
    <w:p w:rsidR="4C3E8020" w:rsidRDefault="4C3E8020" w:rsidP="4C3E8020"/>
    <w:p w:rsidR="4C3E8020" w:rsidRDefault="4C3E8020" w:rsidP="4C3E8020"/>
    <w:p w:rsidR="4C3E8020" w:rsidRDefault="4C3E8020" w:rsidP="4C3E8020"/>
    <w:p w:rsidR="4C3E8020" w:rsidRDefault="4C3E8020" w:rsidP="4C3E8020">
      <w:pPr>
        <w:rPr>
          <w:sz w:val="24"/>
          <w:szCs w:val="24"/>
        </w:rPr>
      </w:pPr>
      <w:r w:rsidRPr="4C3E8020">
        <w:rPr>
          <w:sz w:val="24"/>
          <w:szCs w:val="24"/>
        </w:rPr>
        <w:t>Reference list</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CERI - Centre for Educational Research and Innovation (2008). </w:t>
      </w:r>
      <w:r w:rsidRPr="4C3E8020">
        <w:rPr>
          <w:rFonts w:ascii="Calibri" w:eastAsia="Calibri" w:hAnsi="Calibri" w:cs="Calibri"/>
          <w:i/>
          <w:iCs/>
          <w:sz w:val="24"/>
          <w:szCs w:val="24"/>
        </w:rPr>
        <w:t>Assessment for Learning - Formative Assessment</w:t>
      </w:r>
      <w:r w:rsidRPr="4C3E8020">
        <w:rPr>
          <w:rFonts w:ascii="Calibri" w:eastAsia="Calibri" w:hAnsi="Calibri" w:cs="Calibri"/>
          <w:sz w:val="24"/>
          <w:szCs w:val="24"/>
        </w:rPr>
        <w:t>.</w:t>
      </w:r>
    </w:p>
    <w:p w:rsidR="4C3E8020" w:rsidRDefault="4C3E8020" w:rsidP="4C3E8020">
      <w:pPr>
        <w:rPr>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Christodoulou, D. (2015). Assessment Knowledge. </w:t>
      </w:r>
      <w:r w:rsidRPr="4C3E8020">
        <w:rPr>
          <w:rFonts w:ascii="Calibri" w:eastAsia="Calibri" w:hAnsi="Calibri" w:cs="Calibri"/>
          <w:i/>
          <w:iCs/>
          <w:sz w:val="24"/>
          <w:szCs w:val="24"/>
        </w:rPr>
        <w:t>Knowledge and the Curriculum</w:t>
      </w:r>
      <w:r w:rsidRPr="4C3E8020">
        <w:rPr>
          <w:rFonts w:ascii="Calibri" w:eastAsia="Calibri" w:hAnsi="Calibri" w:cs="Calibri"/>
          <w:sz w:val="24"/>
          <w:szCs w:val="24"/>
        </w:rPr>
        <w:t>, pp.22-25.</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Donaldson, G. (2015). </w:t>
      </w:r>
      <w:r w:rsidRPr="4C3E8020">
        <w:rPr>
          <w:rFonts w:ascii="Calibri" w:eastAsia="Calibri" w:hAnsi="Calibri" w:cs="Calibri"/>
          <w:i/>
          <w:iCs/>
          <w:sz w:val="24"/>
          <w:szCs w:val="24"/>
        </w:rPr>
        <w:t>Successful Futures</w:t>
      </w:r>
      <w:r w:rsidRPr="4C3E8020">
        <w:rPr>
          <w:rFonts w:ascii="Calibri" w:eastAsia="Calibri" w:hAnsi="Calibri" w:cs="Calibri"/>
          <w:sz w:val="24"/>
          <w:szCs w:val="24"/>
        </w:rPr>
        <w:t>.</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Dweck, C (2006) </w:t>
      </w:r>
      <w:r w:rsidRPr="4C3E8020">
        <w:rPr>
          <w:rFonts w:ascii="Calibri" w:eastAsia="Calibri" w:hAnsi="Calibri" w:cs="Calibri"/>
          <w:i/>
          <w:iCs/>
          <w:sz w:val="24"/>
          <w:szCs w:val="24"/>
        </w:rPr>
        <w:t xml:space="preserve">Mindset, </w:t>
      </w:r>
      <w:r w:rsidRPr="4C3E8020">
        <w:rPr>
          <w:rFonts w:ascii="Calibri" w:eastAsia="Calibri" w:hAnsi="Calibri" w:cs="Calibri"/>
          <w:sz w:val="24"/>
          <w:szCs w:val="24"/>
        </w:rPr>
        <w:t>New York: The Random House Publishing Group</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t>Education.gov.scot</w:t>
      </w:r>
      <w:proofErr w:type="spellEnd"/>
      <w:r w:rsidRPr="4C3E8020">
        <w:rPr>
          <w:rFonts w:ascii="Calibri" w:eastAsia="Calibri" w:hAnsi="Calibri" w:cs="Calibri"/>
          <w:sz w:val="24"/>
          <w:szCs w:val="24"/>
        </w:rPr>
        <w:t xml:space="preserve">. (2015). </w:t>
      </w:r>
      <w:r w:rsidRPr="4C3E8020">
        <w:rPr>
          <w:rFonts w:ascii="Calibri" w:eastAsia="Calibri" w:hAnsi="Calibri" w:cs="Calibri"/>
          <w:i/>
          <w:iCs/>
          <w:sz w:val="24"/>
          <w:szCs w:val="24"/>
        </w:rPr>
        <w:t xml:space="preserve">Dylan </w:t>
      </w:r>
      <w:proofErr w:type="spellStart"/>
      <w:r w:rsidRPr="4C3E8020">
        <w:rPr>
          <w:rFonts w:ascii="Calibri" w:eastAsia="Calibri" w:hAnsi="Calibri" w:cs="Calibri"/>
          <w:i/>
          <w:iCs/>
          <w:sz w:val="24"/>
          <w:szCs w:val="24"/>
        </w:rPr>
        <w:t>Wiliam</w:t>
      </w:r>
      <w:proofErr w:type="spellEnd"/>
      <w:r w:rsidRPr="4C3E8020">
        <w:rPr>
          <w:rFonts w:ascii="Calibri" w:eastAsia="Calibri" w:hAnsi="Calibri" w:cs="Calibri"/>
          <w:i/>
          <w:iCs/>
          <w:sz w:val="24"/>
          <w:szCs w:val="24"/>
        </w:rPr>
        <w:t>: Assessment strategies</w:t>
      </w:r>
      <w:r w:rsidRPr="4C3E8020">
        <w:rPr>
          <w:rFonts w:ascii="Calibri" w:eastAsia="Calibri" w:hAnsi="Calibri" w:cs="Calibri"/>
          <w:sz w:val="24"/>
          <w:szCs w:val="24"/>
        </w:rPr>
        <w:t xml:space="preserve">. [online] Available at: </w:t>
      </w:r>
      <w:hyperlink r:id="rId7">
        <w:r w:rsidRPr="4C3E8020">
          <w:rPr>
            <w:rStyle w:val="Hyperlink"/>
            <w:rFonts w:ascii="Calibri" w:eastAsia="Calibri" w:hAnsi="Calibri" w:cs="Calibri"/>
            <w:sz w:val="24"/>
            <w:szCs w:val="24"/>
          </w:rPr>
          <w:t>https://education.gov.scot/improvement/learning-resources/Dylan%20Wiliam:%20Assessment%20strategies</w:t>
        </w:r>
      </w:hyperlink>
      <w:r w:rsidRPr="4C3E8020">
        <w:rPr>
          <w:rFonts w:ascii="Calibri" w:eastAsia="Calibri" w:hAnsi="Calibri" w:cs="Calibri"/>
          <w:sz w:val="24"/>
          <w:szCs w:val="24"/>
        </w:rPr>
        <w:t xml:space="preserve"> [Accessed 25 Nov. 2018].</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lastRenderedPageBreak/>
        <w:t xml:space="preserve">Hattie, J. and Yates, G. (2014). </w:t>
      </w:r>
      <w:r w:rsidRPr="4C3E8020">
        <w:rPr>
          <w:rFonts w:ascii="Calibri" w:eastAsia="Calibri" w:hAnsi="Calibri" w:cs="Calibri"/>
          <w:i/>
          <w:iCs/>
          <w:sz w:val="24"/>
          <w:szCs w:val="24"/>
        </w:rPr>
        <w:t>Visible learning and the science of how we learn</w:t>
      </w:r>
      <w:r w:rsidRPr="4C3E8020">
        <w:rPr>
          <w:rFonts w:ascii="Calibri" w:eastAsia="Calibri" w:hAnsi="Calibri" w:cs="Calibri"/>
          <w:sz w:val="24"/>
          <w:szCs w:val="24"/>
        </w:rPr>
        <w:t>. London: Routledge, Taylor &amp; Francis Group.</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Haydn, T. (2007). </w:t>
      </w:r>
      <w:r w:rsidRPr="4C3E8020">
        <w:rPr>
          <w:rFonts w:ascii="Calibri" w:eastAsia="Calibri" w:hAnsi="Calibri" w:cs="Calibri"/>
          <w:i/>
          <w:iCs/>
          <w:sz w:val="24"/>
          <w:szCs w:val="24"/>
        </w:rPr>
        <w:t xml:space="preserve">Managing pupil </w:t>
      </w:r>
      <w:proofErr w:type="spellStart"/>
      <w:r w:rsidRPr="4C3E8020">
        <w:rPr>
          <w:rFonts w:ascii="Calibri" w:eastAsia="Calibri" w:hAnsi="Calibri" w:cs="Calibri"/>
          <w:i/>
          <w:iCs/>
          <w:sz w:val="24"/>
          <w:szCs w:val="24"/>
        </w:rPr>
        <w:t>behaviour</w:t>
      </w:r>
      <w:proofErr w:type="spellEnd"/>
      <w:r w:rsidRPr="4C3E8020">
        <w:rPr>
          <w:rFonts w:ascii="Calibri" w:eastAsia="Calibri" w:hAnsi="Calibri" w:cs="Calibri"/>
          <w:sz w:val="24"/>
          <w:szCs w:val="24"/>
        </w:rPr>
        <w:t>. London: Routledge.</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t>Kozulin</w:t>
      </w:r>
      <w:proofErr w:type="spellEnd"/>
      <w:r w:rsidRPr="4C3E8020">
        <w:rPr>
          <w:rFonts w:ascii="Calibri" w:eastAsia="Calibri" w:hAnsi="Calibri" w:cs="Calibri"/>
          <w:sz w:val="24"/>
          <w:szCs w:val="24"/>
        </w:rPr>
        <w:t xml:space="preserve">, A., 2003. </w:t>
      </w:r>
      <w:r w:rsidRPr="4C3E8020">
        <w:rPr>
          <w:rFonts w:ascii="Calibri" w:eastAsia="Calibri" w:hAnsi="Calibri" w:cs="Calibri"/>
          <w:i/>
          <w:iCs/>
          <w:sz w:val="24"/>
          <w:szCs w:val="24"/>
        </w:rPr>
        <w:t>Vygotsky's Educational Theory in Cultural Context</w:t>
      </w:r>
      <w:r w:rsidRPr="4C3E8020">
        <w:rPr>
          <w:rFonts w:ascii="Calibri" w:eastAsia="Calibri" w:hAnsi="Calibri" w:cs="Calibri"/>
          <w:sz w:val="24"/>
          <w:szCs w:val="24"/>
        </w:rPr>
        <w:t>. Cambridge University Press.</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t>Pachler</w:t>
      </w:r>
      <w:proofErr w:type="spellEnd"/>
      <w:r w:rsidRPr="4C3E8020">
        <w:rPr>
          <w:rFonts w:ascii="Calibri" w:eastAsia="Calibri" w:hAnsi="Calibri" w:cs="Calibri"/>
          <w:sz w:val="24"/>
          <w:szCs w:val="24"/>
        </w:rPr>
        <w:t xml:space="preserve"> et al (2014) </w:t>
      </w:r>
      <w:r w:rsidRPr="4C3E8020">
        <w:rPr>
          <w:rFonts w:ascii="Calibri" w:eastAsia="Calibri" w:hAnsi="Calibri" w:cs="Calibri"/>
          <w:i/>
          <w:iCs/>
          <w:sz w:val="24"/>
          <w:szCs w:val="24"/>
        </w:rPr>
        <w:t xml:space="preserve">Learning to teach foreign languages in the secondary school, </w:t>
      </w:r>
      <w:r w:rsidRPr="4C3E8020">
        <w:rPr>
          <w:rFonts w:ascii="Calibri" w:eastAsia="Calibri" w:hAnsi="Calibri" w:cs="Calibri"/>
          <w:sz w:val="24"/>
          <w:szCs w:val="24"/>
        </w:rPr>
        <w:t>New York, Routledge.</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Pritchard, A. (2009). </w:t>
      </w:r>
      <w:r w:rsidRPr="4C3E8020">
        <w:rPr>
          <w:rFonts w:ascii="Calibri" w:eastAsia="Calibri" w:hAnsi="Calibri" w:cs="Calibri"/>
          <w:i/>
          <w:iCs/>
          <w:sz w:val="24"/>
          <w:szCs w:val="24"/>
        </w:rPr>
        <w:t>Ways of learning</w:t>
      </w:r>
      <w:r w:rsidRPr="4C3E8020">
        <w:rPr>
          <w:rFonts w:ascii="Calibri" w:eastAsia="Calibri" w:hAnsi="Calibri" w:cs="Calibri"/>
          <w:sz w:val="24"/>
          <w:szCs w:val="24"/>
        </w:rPr>
        <w:t>. London: Routledge.</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McLeod. 2018. </w:t>
      </w:r>
      <w:r w:rsidRPr="4C3E8020">
        <w:rPr>
          <w:rFonts w:ascii="Calibri" w:eastAsia="Calibri" w:hAnsi="Calibri" w:cs="Calibri"/>
          <w:i/>
          <w:iCs/>
          <w:sz w:val="24"/>
          <w:szCs w:val="24"/>
        </w:rPr>
        <w:t>Lev Vygotsky</w:t>
      </w:r>
      <w:r w:rsidRPr="4C3E8020">
        <w:rPr>
          <w:rFonts w:ascii="Calibri" w:eastAsia="Calibri" w:hAnsi="Calibri" w:cs="Calibri"/>
          <w:sz w:val="24"/>
          <w:szCs w:val="24"/>
        </w:rPr>
        <w:t xml:space="preserve">. [ONLINE] Available at: </w:t>
      </w:r>
      <w:hyperlink r:id="rId8">
        <w:r w:rsidRPr="4C3E8020">
          <w:rPr>
            <w:rStyle w:val="Hyperlink"/>
            <w:rFonts w:ascii="Calibri" w:eastAsia="Calibri" w:hAnsi="Calibri" w:cs="Calibri"/>
            <w:sz w:val="24"/>
            <w:szCs w:val="24"/>
          </w:rPr>
          <w:t>https://www.simplypsychology.org/vygotsky.html</w:t>
        </w:r>
      </w:hyperlink>
      <w:r w:rsidRPr="4C3E8020">
        <w:rPr>
          <w:rFonts w:ascii="Calibri" w:eastAsia="Calibri" w:hAnsi="Calibri" w:cs="Calibri"/>
          <w:sz w:val="24"/>
          <w:szCs w:val="24"/>
          <w:u w:val="single"/>
        </w:rPr>
        <w:t>. [Accessed 3 November 2018].</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Oxford Dictionaries | English. (2018). </w:t>
      </w:r>
      <w:r w:rsidRPr="4C3E8020">
        <w:rPr>
          <w:rFonts w:ascii="Calibri" w:eastAsia="Calibri" w:hAnsi="Calibri" w:cs="Calibri"/>
          <w:i/>
          <w:iCs/>
          <w:sz w:val="24"/>
          <w:szCs w:val="24"/>
        </w:rPr>
        <w:t>literacy | Definition of literacy in English by Oxford Dictionaries</w:t>
      </w:r>
      <w:r w:rsidRPr="4C3E8020">
        <w:rPr>
          <w:rFonts w:ascii="Calibri" w:eastAsia="Calibri" w:hAnsi="Calibri" w:cs="Calibri"/>
          <w:sz w:val="24"/>
          <w:szCs w:val="24"/>
        </w:rPr>
        <w:t xml:space="preserve">. [online] Available at: </w:t>
      </w:r>
      <w:hyperlink r:id="rId9">
        <w:r w:rsidRPr="4C3E8020">
          <w:rPr>
            <w:rStyle w:val="Hyperlink"/>
            <w:rFonts w:ascii="Calibri" w:eastAsia="Calibri" w:hAnsi="Calibri" w:cs="Calibri"/>
            <w:sz w:val="24"/>
            <w:szCs w:val="24"/>
          </w:rPr>
          <w:t>https://en.oxforddictionaries.com/definition/literacy</w:t>
        </w:r>
      </w:hyperlink>
      <w:r w:rsidRPr="4C3E8020">
        <w:rPr>
          <w:rFonts w:ascii="Calibri" w:eastAsia="Calibri" w:hAnsi="Calibri" w:cs="Calibri"/>
          <w:sz w:val="24"/>
          <w:szCs w:val="24"/>
        </w:rPr>
        <w:t xml:space="preserve"> [Accessed 25 Nov. 2018].</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Petty, G. (2014). </w:t>
      </w:r>
      <w:r w:rsidRPr="4C3E8020">
        <w:rPr>
          <w:rFonts w:ascii="Calibri" w:eastAsia="Calibri" w:hAnsi="Calibri" w:cs="Calibri"/>
          <w:i/>
          <w:iCs/>
          <w:sz w:val="24"/>
          <w:szCs w:val="24"/>
        </w:rPr>
        <w:t>Teaching today</w:t>
      </w:r>
      <w:r w:rsidRPr="4C3E8020">
        <w:rPr>
          <w:rFonts w:ascii="Calibri" w:eastAsia="Calibri" w:hAnsi="Calibri" w:cs="Calibri"/>
          <w:sz w:val="24"/>
          <w:szCs w:val="24"/>
        </w:rPr>
        <w:t>. 5th ed. Oxford: Oxford University Press.</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t>Schwieter</w:t>
      </w:r>
      <w:proofErr w:type="spellEnd"/>
      <w:r w:rsidRPr="4C3E8020">
        <w:rPr>
          <w:rFonts w:ascii="Calibri" w:eastAsia="Calibri" w:hAnsi="Calibri" w:cs="Calibri"/>
          <w:sz w:val="24"/>
          <w:szCs w:val="24"/>
        </w:rPr>
        <w:t xml:space="preserve">, J. (2010). Developing Second Language Writing Through Scaffolding </w:t>
      </w:r>
      <w:proofErr w:type="gramStart"/>
      <w:r w:rsidRPr="4C3E8020">
        <w:rPr>
          <w:rFonts w:ascii="Calibri" w:eastAsia="Calibri" w:hAnsi="Calibri" w:cs="Calibri"/>
          <w:sz w:val="24"/>
          <w:szCs w:val="24"/>
        </w:rPr>
        <w:t>In</w:t>
      </w:r>
      <w:proofErr w:type="gramEnd"/>
      <w:r w:rsidRPr="4C3E8020">
        <w:rPr>
          <w:rFonts w:ascii="Calibri" w:eastAsia="Calibri" w:hAnsi="Calibri" w:cs="Calibri"/>
          <w:sz w:val="24"/>
          <w:szCs w:val="24"/>
        </w:rPr>
        <w:t xml:space="preserve"> The ZPD: A Magazine Project For An Authentic Audience. </w:t>
      </w:r>
      <w:r w:rsidRPr="4C3E8020">
        <w:rPr>
          <w:rFonts w:ascii="Calibri" w:eastAsia="Calibri" w:hAnsi="Calibri" w:cs="Calibri"/>
          <w:i/>
          <w:iCs/>
          <w:sz w:val="24"/>
          <w:szCs w:val="24"/>
        </w:rPr>
        <w:t>Journal of College Teaching &amp; Learning (TLC)</w:t>
      </w:r>
      <w:r w:rsidRPr="4C3E8020">
        <w:rPr>
          <w:rFonts w:ascii="Calibri" w:eastAsia="Calibri" w:hAnsi="Calibri" w:cs="Calibri"/>
          <w:sz w:val="24"/>
          <w:szCs w:val="24"/>
        </w:rPr>
        <w:t>, 7(10).</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t>Senninger</w:t>
      </w:r>
      <w:proofErr w:type="spellEnd"/>
      <w:r w:rsidRPr="4C3E8020">
        <w:rPr>
          <w:rFonts w:ascii="Calibri" w:eastAsia="Calibri" w:hAnsi="Calibri" w:cs="Calibri"/>
          <w:sz w:val="24"/>
          <w:szCs w:val="24"/>
        </w:rPr>
        <w:t xml:space="preserve"> (2000). </w:t>
      </w:r>
      <w:r w:rsidRPr="4C3E8020">
        <w:rPr>
          <w:rFonts w:ascii="Calibri" w:eastAsia="Calibri" w:hAnsi="Calibri" w:cs="Calibri"/>
          <w:i/>
          <w:iCs/>
          <w:sz w:val="24"/>
          <w:szCs w:val="24"/>
        </w:rPr>
        <w:t xml:space="preserve">The Learning Zone Model - </w:t>
      </w:r>
      <w:proofErr w:type="spellStart"/>
      <w:r w:rsidRPr="4C3E8020">
        <w:rPr>
          <w:rFonts w:ascii="Calibri" w:eastAsia="Calibri" w:hAnsi="Calibri" w:cs="Calibri"/>
          <w:i/>
          <w:iCs/>
          <w:sz w:val="24"/>
          <w:szCs w:val="24"/>
        </w:rPr>
        <w:t>ThemPra</w:t>
      </w:r>
      <w:proofErr w:type="spellEnd"/>
      <w:r w:rsidRPr="4C3E8020">
        <w:rPr>
          <w:rFonts w:ascii="Calibri" w:eastAsia="Calibri" w:hAnsi="Calibri" w:cs="Calibri"/>
          <w:i/>
          <w:iCs/>
          <w:sz w:val="24"/>
          <w:szCs w:val="24"/>
        </w:rPr>
        <w:t xml:space="preserve"> Social Pedagogy</w:t>
      </w:r>
      <w:r w:rsidRPr="4C3E8020">
        <w:rPr>
          <w:rFonts w:ascii="Calibri" w:eastAsia="Calibri" w:hAnsi="Calibri" w:cs="Calibri"/>
          <w:sz w:val="24"/>
          <w:szCs w:val="24"/>
        </w:rPr>
        <w:t xml:space="preserve">. [online] </w:t>
      </w:r>
      <w:proofErr w:type="spellStart"/>
      <w:r w:rsidRPr="4C3E8020">
        <w:rPr>
          <w:rFonts w:ascii="Calibri" w:eastAsia="Calibri" w:hAnsi="Calibri" w:cs="Calibri"/>
          <w:sz w:val="24"/>
          <w:szCs w:val="24"/>
        </w:rPr>
        <w:t>ThemPra</w:t>
      </w:r>
      <w:proofErr w:type="spellEnd"/>
      <w:r w:rsidRPr="4C3E8020">
        <w:rPr>
          <w:rFonts w:ascii="Calibri" w:eastAsia="Calibri" w:hAnsi="Calibri" w:cs="Calibri"/>
          <w:sz w:val="24"/>
          <w:szCs w:val="24"/>
        </w:rPr>
        <w:t xml:space="preserve"> Social Pedagogy. Available at: </w:t>
      </w:r>
      <w:hyperlink r:id="rId10">
        <w:r w:rsidRPr="4C3E8020">
          <w:rPr>
            <w:rStyle w:val="Hyperlink"/>
            <w:rFonts w:ascii="Calibri" w:eastAsia="Calibri" w:hAnsi="Calibri" w:cs="Calibri"/>
            <w:sz w:val="24"/>
            <w:szCs w:val="24"/>
          </w:rPr>
          <w:t>http://www.thempra.org.uk/social-pedagogy/key-concepts-in-social-pedagogy/the-learning-zone-model/</w:t>
        </w:r>
      </w:hyperlink>
      <w:r w:rsidRPr="4C3E8020">
        <w:rPr>
          <w:rFonts w:ascii="Calibri" w:eastAsia="Calibri" w:hAnsi="Calibri" w:cs="Calibri"/>
          <w:sz w:val="24"/>
          <w:szCs w:val="24"/>
        </w:rPr>
        <w:t xml:space="preserve"> [Accessed 4 Nov. 2018].</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Shulman L (</w:t>
      </w:r>
      <w:r w:rsidRPr="4C3E8020">
        <w:rPr>
          <w:rFonts w:ascii="Calibri" w:eastAsia="Calibri" w:hAnsi="Calibri" w:cs="Calibri"/>
          <w:i/>
          <w:iCs/>
          <w:sz w:val="24"/>
          <w:szCs w:val="24"/>
        </w:rPr>
        <w:t>1987</w:t>
      </w:r>
      <w:r w:rsidRPr="4C3E8020">
        <w:rPr>
          <w:rFonts w:ascii="Calibri" w:eastAsia="Calibri" w:hAnsi="Calibri" w:cs="Calibri"/>
          <w:sz w:val="24"/>
          <w:szCs w:val="24"/>
        </w:rPr>
        <w:t xml:space="preserve">) </w:t>
      </w:r>
      <w:r w:rsidRPr="4C3E8020">
        <w:rPr>
          <w:rFonts w:ascii="Calibri" w:eastAsia="Calibri" w:hAnsi="Calibri" w:cs="Calibri"/>
          <w:i/>
          <w:iCs/>
          <w:sz w:val="24"/>
          <w:szCs w:val="24"/>
        </w:rPr>
        <w:t>Knowledge and Teaching: Foundations of the New Reform</w:t>
      </w:r>
      <w:r w:rsidRPr="4C3E8020">
        <w:rPr>
          <w:rFonts w:ascii="Calibri" w:eastAsia="Calibri" w:hAnsi="Calibri" w:cs="Calibri"/>
          <w:sz w:val="24"/>
          <w:szCs w:val="24"/>
        </w:rPr>
        <w:t>. Harvard Educational Review</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Skinner, B. F. (1963). Operant behavior. American Psychologist, 18(8), 503-515</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Stevens, K. and </w:t>
      </w:r>
      <w:proofErr w:type="spellStart"/>
      <w:r w:rsidRPr="4C3E8020">
        <w:rPr>
          <w:rFonts w:ascii="Calibri" w:eastAsia="Calibri" w:hAnsi="Calibri" w:cs="Calibri"/>
          <w:sz w:val="24"/>
          <w:szCs w:val="24"/>
        </w:rPr>
        <w:t>Gurian</w:t>
      </w:r>
      <w:proofErr w:type="spellEnd"/>
      <w:r w:rsidRPr="4C3E8020">
        <w:rPr>
          <w:rFonts w:ascii="Calibri" w:eastAsia="Calibri" w:hAnsi="Calibri" w:cs="Calibri"/>
          <w:sz w:val="24"/>
          <w:szCs w:val="24"/>
        </w:rPr>
        <w:t xml:space="preserve">, M. (2013). </w:t>
      </w:r>
      <w:r w:rsidRPr="4C3E8020">
        <w:rPr>
          <w:rFonts w:ascii="Calibri" w:eastAsia="Calibri" w:hAnsi="Calibri" w:cs="Calibri"/>
          <w:i/>
          <w:iCs/>
          <w:sz w:val="24"/>
          <w:szCs w:val="24"/>
        </w:rPr>
        <w:t>Boys and girls learn differently! a guide for teachers and parents</w:t>
      </w:r>
      <w:r w:rsidRPr="4C3E8020">
        <w:rPr>
          <w:rFonts w:ascii="Calibri" w:eastAsia="Calibri" w:hAnsi="Calibri" w:cs="Calibri"/>
          <w:sz w:val="24"/>
          <w:szCs w:val="24"/>
        </w:rPr>
        <w:t>. San Francisco, Calif.: Jossey-Bass.</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lastRenderedPageBreak/>
        <w:t>ThemPra</w:t>
      </w:r>
      <w:proofErr w:type="spellEnd"/>
      <w:r w:rsidRPr="4C3E8020">
        <w:rPr>
          <w:rFonts w:ascii="Calibri" w:eastAsia="Calibri" w:hAnsi="Calibri" w:cs="Calibri"/>
          <w:sz w:val="24"/>
          <w:szCs w:val="24"/>
        </w:rPr>
        <w:t xml:space="preserve"> Social Pedagogy. (2018). </w:t>
      </w:r>
      <w:r w:rsidRPr="4C3E8020">
        <w:rPr>
          <w:rFonts w:ascii="Calibri" w:eastAsia="Calibri" w:hAnsi="Calibri" w:cs="Calibri"/>
          <w:i/>
          <w:iCs/>
          <w:sz w:val="24"/>
          <w:szCs w:val="24"/>
        </w:rPr>
        <w:t xml:space="preserve">The Learning Zone Model - </w:t>
      </w:r>
      <w:proofErr w:type="spellStart"/>
      <w:r w:rsidRPr="4C3E8020">
        <w:rPr>
          <w:rFonts w:ascii="Calibri" w:eastAsia="Calibri" w:hAnsi="Calibri" w:cs="Calibri"/>
          <w:i/>
          <w:iCs/>
          <w:sz w:val="24"/>
          <w:szCs w:val="24"/>
        </w:rPr>
        <w:t>ThemPra</w:t>
      </w:r>
      <w:proofErr w:type="spellEnd"/>
      <w:r w:rsidRPr="4C3E8020">
        <w:rPr>
          <w:rFonts w:ascii="Calibri" w:eastAsia="Calibri" w:hAnsi="Calibri" w:cs="Calibri"/>
          <w:i/>
          <w:iCs/>
          <w:sz w:val="24"/>
          <w:szCs w:val="24"/>
        </w:rPr>
        <w:t xml:space="preserve"> Social Pedagogy</w:t>
      </w:r>
      <w:r w:rsidRPr="4C3E8020">
        <w:rPr>
          <w:rFonts w:ascii="Calibri" w:eastAsia="Calibri" w:hAnsi="Calibri" w:cs="Calibri"/>
          <w:sz w:val="24"/>
          <w:szCs w:val="24"/>
        </w:rPr>
        <w:t xml:space="preserve">. [online] Available at: </w:t>
      </w:r>
      <w:hyperlink r:id="rId11">
        <w:r w:rsidRPr="4C3E8020">
          <w:rPr>
            <w:rStyle w:val="Hyperlink"/>
            <w:rFonts w:ascii="Calibri" w:eastAsia="Calibri" w:hAnsi="Calibri" w:cs="Calibri"/>
            <w:sz w:val="24"/>
            <w:szCs w:val="24"/>
          </w:rPr>
          <w:t>http://www.thempra.org.uk/social-pedagogy/key-concepts-in-social-pedagogy/the-learning-zone-model/</w:t>
        </w:r>
      </w:hyperlink>
      <w:r w:rsidRPr="4C3E8020">
        <w:rPr>
          <w:rFonts w:ascii="Calibri" w:eastAsia="Calibri" w:hAnsi="Calibri" w:cs="Calibri"/>
          <w:sz w:val="24"/>
          <w:szCs w:val="24"/>
        </w:rPr>
        <w:t xml:space="preserve"> [Accessed 17 Nov. 2018].</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Tomlinson, C. (2014). </w:t>
      </w:r>
      <w:r w:rsidRPr="4C3E8020">
        <w:rPr>
          <w:rFonts w:ascii="Calibri" w:eastAsia="Calibri" w:hAnsi="Calibri" w:cs="Calibri"/>
          <w:i/>
          <w:iCs/>
          <w:sz w:val="24"/>
          <w:szCs w:val="24"/>
        </w:rPr>
        <w:t>The differentiated classroom</w:t>
      </w:r>
      <w:r w:rsidRPr="4C3E8020">
        <w:rPr>
          <w:rFonts w:ascii="Calibri" w:eastAsia="Calibri" w:hAnsi="Calibri" w:cs="Calibri"/>
          <w:sz w:val="24"/>
          <w:szCs w:val="24"/>
        </w:rPr>
        <w:t>. 2nd ed. Alexandria, VA: ASCD</w:t>
      </w:r>
    </w:p>
    <w:p w:rsidR="4C3E8020" w:rsidRDefault="4C3E8020" w:rsidP="4C3E8020">
      <w:pPr>
        <w:rPr>
          <w:rFonts w:ascii="Calibri" w:eastAsia="Calibri" w:hAnsi="Calibri" w:cs="Calibri"/>
          <w:sz w:val="24"/>
          <w:szCs w:val="24"/>
          <w:lang w:val="es-ES"/>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Watson, J (1913) ‘Psychology as the </w:t>
      </w:r>
      <w:proofErr w:type="spellStart"/>
      <w:r w:rsidRPr="4C3E8020">
        <w:rPr>
          <w:rFonts w:ascii="Calibri" w:eastAsia="Calibri" w:hAnsi="Calibri" w:cs="Calibri"/>
          <w:sz w:val="24"/>
          <w:szCs w:val="24"/>
        </w:rPr>
        <w:t>Behaviourist</w:t>
      </w:r>
      <w:proofErr w:type="spellEnd"/>
      <w:r w:rsidRPr="4C3E8020">
        <w:rPr>
          <w:rFonts w:ascii="Calibri" w:eastAsia="Calibri" w:hAnsi="Calibri" w:cs="Calibri"/>
          <w:sz w:val="24"/>
          <w:szCs w:val="24"/>
        </w:rPr>
        <w:t xml:space="preserve"> Views It’ </w:t>
      </w:r>
      <w:r w:rsidRPr="4C3E8020">
        <w:rPr>
          <w:rFonts w:ascii="Calibri" w:eastAsia="Calibri" w:hAnsi="Calibri" w:cs="Calibri"/>
          <w:i/>
          <w:iCs/>
          <w:sz w:val="24"/>
          <w:szCs w:val="24"/>
        </w:rPr>
        <w:t xml:space="preserve">Psychological review </w:t>
      </w:r>
      <w:r w:rsidRPr="4C3E8020">
        <w:rPr>
          <w:rFonts w:ascii="Calibri" w:eastAsia="Calibri" w:hAnsi="Calibri" w:cs="Calibri"/>
          <w:sz w:val="24"/>
          <w:szCs w:val="24"/>
        </w:rPr>
        <w:t>20</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Vygotsky, L. S (1978) </w:t>
      </w:r>
      <w:r w:rsidRPr="4C3E8020">
        <w:rPr>
          <w:rFonts w:ascii="Calibri" w:eastAsia="Calibri" w:hAnsi="Calibri" w:cs="Calibri"/>
          <w:i/>
          <w:iCs/>
          <w:sz w:val="24"/>
          <w:szCs w:val="24"/>
        </w:rPr>
        <w:t xml:space="preserve">Mind in Society </w:t>
      </w:r>
      <w:proofErr w:type="spellStart"/>
      <w:proofErr w:type="gramStart"/>
      <w:r w:rsidRPr="4C3E8020">
        <w:rPr>
          <w:rFonts w:ascii="Calibri" w:eastAsia="Calibri" w:hAnsi="Calibri" w:cs="Calibri"/>
          <w:sz w:val="24"/>
          <w:szCs w:val="24"/>
        </w:rPr>
        <w:t>Cambridge,MA</w:t>
      </w:r>
      <w:proofErr w:type="spellEnd"/>
      <w:proofErr w:type="gramEnd"/>
      <w:r w:rsidRPr="4C3E8020">
        <w:rPr>
          <w:rFonts w:ascii="Calibri" w:eastAsia="Calibri" w:hAnsi="Calibri" w:cs="Calibri"/>
          <w:sz w:val="24"/>
          <w:szCs w:val="24"/>
        </w:rPr>
        <w:t>; MIT Press</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Welsh Government (2013). </w:t>
      </w:r>
      <w:r w:rsidRPr="4C3E8020">
        <w:rPr>
          <w:rFonts w:ascii="Calibri" w:eastAsia="Calibri" w:hAnsi="Calibri" w:cs="Calibri"/>
          <w:i/>
          <w:iCs/>
          <w:sz w:val="24"/>
          <w:szCs w:val="24"/>
        </w:rPr>
        <w:t>National Literacy and Numeracy Framework</w:t>
      </w:r>
      <w:r w:rsidRPr="4C3E8020">
        <w:rPr>
          <w:rFonts w:ascii="Calibri" w:eastAsia="Calibri" w:hAnsi="Calibri" w:cs="Calibri"/>
          <w:sz w:val="24"/>
          <w:szCs w:val="24"/>
        </w:rPr>
        <w:t>.</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proofErr w:type="spellStart"/>
      <w:r w:rsidRPr="4C3E8020">
        <w:rPr>
          <w:rFonts w:ascii="Calibri" w:eastAsia="Calibri" w:hAnsi="Calibri" w:cs="Calibri"/>
          <w:sz w:val="24"/>
          <w:szCs w:val="24"/>
        </w:rPr>
        <w:t>Wiliam</w:t>
      </w:r>
      <w:proofErr w:type="spellEnd"/>
      <w:r w:rsidRPr="4C3E8020">
        <w:rPr>
          <w:rFonts w:ascii="Calibri" w:eastAsia="Calibri" w:hAnsi="Calibri" w:cs="Calibri"/>
          <w:sz w:val="24"/>
          <w:szCs w:val="24"/>
        </w:rPr>
        <w:t xml:space="preserve">, D. (2011). </w:t>
      </w:r>
      <w:r w:rsidRPr="4C3E8020">
        <w:rPr>
          <w:rFonts w:ascii="Calibri" w:eastAsia="Calibri" w:hAnsi="Calibri" w:cs="Calibri"/>
          <w:i/>
          <w:iCs/>
          <w:sz w:val="24"/>
          <w:szCs w:val="24"/>
        </w:rPr>
        <w:t>Embedded formative assessment</w:t>
      </w:r>
      <w:r w:rsidRPr="4C3E8020">
        <w:rPr>
          <w:rFonts w:ascii="Calibri" w:eastAsia="Calibri" w:hAnsi="Calibri" w:cs="Calibri"/>
          <w:sz w:val="24"/>
          <w:szCs w:val="24"/>
        </w:rPr>
        <w:t>. Bloomington: Solution Tree Press.</w:t>
      </w:r>
    </w:p>
    <w:p w:rsidR="4C3E8020" w:rsidRDefault="4C3E8020" w:rsidP="4C3E8020">
      <w:pPr>
        <w:rPr>
          <w:rFonts w:ascii="Calibri" w:eastAsia="Calibri" w:hAnsi="Calibri" w:cs="Calibri"/>
          <w:sz w:val="24"/>
          <w:szCs w:val="24"/>
        </w:rPr>
      </w:pPr>
    </w:p>
    <w:p w:rsidR="4C3E8020" w:rsidRDefault="4C3E8020" w:rsidP="4C3E8020">
      <w:pPr>
        <w:rPr>
          <w:rFonts w:ascii="Calibri" w:eastAsia="Calibri" w:hAnsi="Calibri" w:cs="Calibri"/>
          <w:sz w:val="24"/>
          <w:szCs w:val="24"/>
        </w:rPr>
      </w:pPr>
      <w:r w:rsidRPr="4C3E8020">
        <w:rPr>
          <w:rFonts w:ascii="Calibri" w:eastAsia="Calibri" w:hAnsi="Calibri" w:cs="Calibri"/>
          <w:sz w:val="24"/>
          <w:szCs w:val="24"/>
        </w:rPr>
        <w:t xml:space="preserve">Wjec.co.uk. (2018). </w:t>
      </w:r>
      <w:r w:rsidRPr="4C3E8020">
        <w:rPr>
          <w:rFonts w:ascii="Calibri" w:eastAsia="Calibri" w:hAnsi="Calibri" w:cs="Calibri"/>
          <w:i/>
          <w:iCs/>
          <w:sz w:val="24"/>
          <w:szCs w:val="24"/>
        </w:rPr>
        <w:t>Modern Foreign Languages</w:t>
      </w:r>
      <w:r w:rsidRPr="4C3E8020">
        <w:rPr>
          <w:rFonts w:ascii="Calibri" w:eastAsia="Calibri" w:hAnsi="Calibri" w:cs="Calibri"/>
          <w:sz w:val="24"/>
          <w:szCs w:val="24"/>
        </w:rPr>
        <w:t xml:space="preserve">. [online] Available at: </w:t>
      </w:r>
      <w:hyperlink r:id="rId12">
        <w:r w:rsidRPr="4C3E8020">
          <w:rPr>
            <w:rStyle w:val="Hyperlink"/>
            <w:rFonts w:ascii="Calibri" w:eastAsia="Calibri" w:hAnsi="Calibri" w:cs="Calibri"/>
            <w:sz w:val="24"/>
            <w:szCs w:val="24"/>
          </w:rPr>
          <w:t>https://www.wjec.co.uk/qualifications/modern-foreign-languages/</w:t>
        </w:r>
      </w:hyperlink>
      <w:r w:rsidRPr="4C3E8020">
        <w:rPr>
          <w:rFonts w:ascii="Calibri" w:eastAsia="Calibri" w:hAnsi="Calibri" w:cs="Calibri"/>
          <w:sz w:val="24"/>
          <w:szCs w:val="24"/>
        </w:rPr>
        <w:t xml:space="preserve"> [Accessed 25 Nov. 2018].</w:t>
      </w:r>
    </w:p>
    <w:p w:rsidR="4C3E8020" w:rsidRDefault="4C3E8020" w:rsidP="4C3E8020"/>
    <w:sectPr w:rsidR="4C3E8020">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4C3E8020"/>
    <w:rsid w:val="001A1BF1"/>
    <w:rsid w:val="00C70CB5"/>
    <w:rsid w:val="4C3E8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F960E"/>
  <w15:docId w15:val="{1CA540C1-EE52-4E0F-A83D-CAF92773D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Header">
    <w:name w:val="header"/>
    <w:basedOn w:val="Normal"/>
    <w:link w:val="HeaderChar"/>
    <w:rsid w:val="001A1BF1"/>
    <w:pPr>
      <w:tabs>
        <w:tab w:val="center" w:pos="4153"/>
        <w:tab w:val="right" w:pos="8306"/>
      </w:tabs>
      <w:spacing w:line="240" w:lineRule="auto"/>
      <w:contextualSpacing w:val="0"/>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rsid w:val="001A1BF1"/>
    <w:rPr>
      <w:rFonts w:ascii="Times New Roman" w:eastAsia="Times New Roman" w:hAnsi="Times New Roman" w:cs="Times New Roman"/>
      <w:sz w:val="20"/>
      <w:szCs w:val="20"/>
      <w:lang w:val="en-GB"/>
    </w:rPr>
  </w:style>
  <w:style w:type="paragraph" w:styleId="ListParagraph">
    <w:name w:val="List Paragraph"/>
    <w:basedOn w:val="Normal"/>
    <w:uiPriority w:val="34"/>
    <w:qFormat/>
    <w:rsid w:val="001A1BF1"/>
    <w:pPr>
      <w:spacing w:line="240" w:lineRule="auto"/>
      <w:ind w:left="720"/>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ducation.gov.scot/improvement/learning-resources/Dylan%20Wiliam:%20Assessment%20strategies" TargetMode="External"/><Relationship Id="rId12" Type="http://schemas.openxmlformats.org/officeDocument/2006/relationships/hyperlink" Target="https://www.wjec.co.uk/qualifications/modern-foreign-languag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www.thempra.org.uk/social-pedagogy/key-concepts-in-social-pedagogy/the-learning-zone-model/" TargetMode="External"/><Relationship Id="rId5" Type="http://schemas.openxmlformats.org/officeDocument/2006/relationships/image" Target="media/image1.png"/><Relationship Id="rId10" Type="http://schemas.openxmlformats.org/officeDocument/2006/relationships/hyperlink" Target="http://www.thempra.org.uk/social-pedagogy/key-concepts-in-social-pedagogy/the-learning-zone-model/" TargetMode="External"/><Relationship Id="rId4" Type="http://schemas.openxmlformats.org/officeDocument/2006/relationships/webSettings" Target="webSettings.xml"/><Relationship Id="rId9" Type="http://schemas.openxmlformats.org/officeDocument/2006/relationships/hyperlink" Target="https://en.oxforddictionaries.com/definition/litera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3643</Words>
  <Characters>20766</Characters>
  <Application>Microsoft Office Word</Application>
  <DocSecurity>0</DocSecurity>
  <Lines>173</Lines>
  <Paragraphs>48</Paragraphs>
  <ScaleCrop>false</ScaleCrop>
  <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Alun Thomas</cp:lastModifiedBy>
  <cp:revision>2</cp:revision>
  <dcterms:created xsi:type="dcterms:W3CDTF">2018-11-30T07:33:00Z</dcterms:created>
  <dcterms:modified xsi:type="dcterms:W3CDTF">2018-11-30T07:34:00Z</dcterms:modified>
</cp:coreProperties>
</file>