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79D36" w14:textId="7DA1CA05" w:rsidR="00DE4700" w:rsidRDefault="00A60887" w:rsidP="00D861F8">
      <w:pPr>
        <w:spacing w:line="360" w:lineRule="auto"/>
        <w:rPr>
          <w:rFonts w:ascii="Times New Roman" w:hAnsi="Times New Roman" w:cs="Times New Roman"/>
          <w:b/>
          <w:bCs/>
          <w:lang w:val="en-GB"/>
        </w:rPr>
      </w:pPr>
      <w:r>
        <w:rPr>
          <w:rFonts w:ascii="Times New Roman" w:hAnsi="Times New Roman" w:cs="Times New Roman"/>
          <w:b/>
          <w:bCs/>
          <w:lang w:val="en-GB"/>
        </w:rPr>
        <w:t>LCHS4003</w:t>
      </w:r>
    </w:p>
    <w:p w14:paraId="4765182A" w14:textId="3553F525" w:rsidR="00A60887" w:rsidRDefault="00122719" w:rsidP="00D861F8">
      <w:pPr>
        <w:spacing w:line="360" w:lineRule="auto"/>
        <w:rPr>
          <w:rFonts w:ascii="Times New Roman" w:hAnsi="Times New Roman" w:cs="Times New Roman"/>
          <w:b/>
          <w:bCs/>
          <w:lang w:val="en-GB"/>
        </w:rPr>
      </w:pPr>
      <w:r>
        <w:rPr>
          <w:rFonts w:ascii="Times New Roman" w:hAnsi="Times New Roman" w:cs="Times New Roman"/>
          <w:b/>
          <w:bCs/>
          <w:lang w:val="en-GB"/>
        </w:rPr>
        <w:t>INTRO</w:t>
      </w:r>
      <w:r w:rsidR="00930ED7">
        <w:rPr>
          <w:rFonts w:ascii="Times New Roman" w:hAnsi="Times New Roman" w:cs="Times New Roman"/>
          <w:b/>
          <w:bCs/>
          <w:lang w:val="en-GB"/>
        </w:rPr>
        <w:t>DUCTION TO HEALTH AND SOCIAL CARE</w:t>
      </w:r>
    </w:p>
    <w:p w14:paraId="73752E3E" w14:textId="77777777" w:rsidR="00DE4700" w:rsidRDefault="00DE4700" w:rsidP="00492226">
      <w:pPr>
        <w:spacing w:line="360" w:lineRule="auto"/>
        <w:jc w:val="center"/>
        <w:rPr>
          <w:rFonts w:ascii="Times New Roman" w:hAnsi="Times New Roman" w:cs="Times New Roman"/>
          <w:b/>
          <w:bCs/>
          <w:lang w:val="en-GB"/>
        </w:rPr>
      </w:pPr>
    </w:p>
    <w:p w14:paraId="3B8B4475" w14:textId="77777777" w:rsidR="00DE4700" w:rsidRDefault="00DE4700" w:rsidP="00492226">
      <w:pPr>
        <w:spacing w:line="360" w:lineRule="auto"/>
        <w:jc w:val="center"/>
        <w:rPr>
          <w:rFonts w:ascii="Times New Roman" w:hAnsi="Times New Roman" w:cs="Times New Roman"/>
          <w:b/>
          <w:bCs/>
          <w:lang w:val="en-GB"/>
        </w:rPr>
      </w:pPr>
    </w:p>
    <w:p w14:paraId="45A37AFC" w14:textId="77777777" w:rsidR="00DE4700" w:rsidRDefault="00DE4700" w:rsidP="00492226">
      <w:pPr>
        <w:spacing w:line="360" w:lineRule="auto"/>
        <w:jc w:val="center"/>
        <w:rPr>
          <w:rFonts w:ascii="Times New Roman" w:hAnsi="Times New Roman" w:cs="Times New Roman"/>
          <w:b/>
          <w:bCs/>
          <w:lang w:val="en-GB"/>
        </w:rPr>
      </w:pPr>
    </w:p>
    <w:p w14:paraId="64EBB29E" w14:textId="77777777" w:rsidR="00DE4700" w:rsidRDefault="00DE4700" w:rsidP="00492226">
      <w:pPr>
        <w:spacing w:line="360" w:lineRule="auto"/>
        <w:jc w:val="center"/>
        <w:rPr>
          <w:rFonts w:ascii="Times New Roman" w:hAnsi="Times New Roman" w:cs="Times New Roman"/>
          <w:b/>
          <w:bCs/>
          <w:lang w:val="en-GB"/>
        </w:rPr>
      </w:pPr>
    </w:p>
    <w:p w14:paraId="72C0AD1A" w14:textId="77777777" w:rsidR="00DE4700" w:rsidRDefault="00DE4700" w:rsidP="00492226">
      <w:pPr>
        <w:spacing w:line="360" w:lineRule="auto"/>
        <w:jc w:val="center"/>
        <w:rPr>
          <w:rFonts w:ascii="Times New Roman" w:hAnsi="Times New Roman" w:cs="Times New Roman"/>
          <w:b/>
          <w:bCs/>
          <w:lang w:val="en-GB"/>
        </w:rPr>
      </w:pPr>
    </w:p>
    <w:p w14:paraId="7A962829" w14:textId="41303DD3" w:rsidR="005B13AB" w:rsidRPr="00492226" w:rsidRDefault="00AE350C" w:rsidP="00492226">
      <w:pPr>
        <w:spacing w:line="360" w:lineRule="auto"/>
        <w:jc w:val="center"/>
        <w:rPr>
          <w:rFonts w:ascii="Times New Roman" w:hAnsi="Times New Roman" w:cs="Times New Roman"/>
          <w:b/>
          <w:bCs/>
        </w:rPr>
      </w:pPr>
      <w:r w:rsidRPr="00492226">
        <w:rPr>
          <w:rFonts w:ascii="Times New Roman" w:hAnsi="Times New Roman" w:cs="Times New Roman"/>
          <w:b/>
          <w:bCs/>
        </w:rPr>
        <w:t>Introduction to Health and Social Care (Case Study: Mr Ahmed)</w:t>
      </w:r>
    </w:p>
    <w:p w14:paraId="5C519BFC" w14:textId="71C9F981"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Introduction</w:t>
      </w:r>
    </w:p>
    <w:p w14:paraId="2DCFDF43" w14:textId="7A217507" w:rsidR="005B13AB" w:rsidRPr="005B13AB" w:rsidRDefault="00AE350C" w:rsidP="00492226">
      <w:pPr>
        <w:spacing w:line="360" w:lineRule="auto"/>
        <w:jc w:val="both"/>
        <w:rPr>
          <w:rFonts w:ascii="Times New Roman" w:hAnsi="Times New Roman" w:cs="Times New Roman"/>
        </w:rPr>
      </w:pPr>
      <w:r w:rsidRPr="00492226">
        <w:rPr>
          <w:rFonts w:ascii="Times New Roman" w:hAnsi="Times New Roman" w:cs="Times New Roman"/>
        </w:rPr>
        <w:t>The patient is a 68-year-old man, Mr Ahmed, who has just left the hospital after being admitted due to a stroke. His recovery plan entails staying with his wife in a ground floor apartment and a full support package by a domiciliary care agency thrice a day. This assistance is important in his personal care, taking of medication, and meal preparation. Also, he is under the management of a multidisciplinary team (MDT) comprising a GP, a district nurse that manages blood pressure and wound care two times a week, and a speech and language therapist (SLT) that concentrates on communication and swallowing. Another important cultural and practical consideration in the situation is that Mr Ahmed is a major speaker of Bengali language; he knows some English but he has difficulties with complicated discussions and his wife needs to be involved as a communicator. The purpose of this report is to examine the essential factors of health and social care provision in the light of the experience of Mr Ahmed. It will also assess the need of communication effectiveness, the role of administrative diligence and the need of an efficient professional cooperation. In addition, a recent care failure, such as a missed home visit resulting in delayed medication, will be discussed in the report to learn how the legality frameworks, such as the Equality Act 2010 and the Data Protection Act 2018, are applied to professional reactions to such events. Through these aspects, the report illustrates the significance of person-centered care in a multi-agency setting.</w:t>
      </w:r>
    </w:p>
    <w:p w14:paraId="1AB4CC5B"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1. Importance of Effective Communication</w:t>
      </w:r>
    </w:p>
    <w:p w14:paraId="25108FAF"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Communication Strategies and Models</w:t>
      </w:r>
    </w:p>
    <w:p w14:paraId="7FE817F9" w14:textId="76D20F0F" w:rsidR="00AE350C" w:rsidRPr="00492226" w:rsidRDefault="00AE350C" w:rsidP="00492226">
      <w:pPr>
        <w:spacing w:line="360" w:lineRule="auto"/>
        <w:jc w:val="both"/>
        <w:rPr>
          <w:rFonts w:ascii="Times New Roman" w:hAnsi="Times New Roman" w:cs="Times New Roman"/>
        </w:rPr>
      </w:pPr>
      <w:r w:rsidRPr="00492226">
        <w:rPr>
          <w:rFonts w:ascii="Times New Roman" w:hAnsi="Times New Roman" w:cs="Times New Roman"/>
        </w:rPr>
        <w:lastRenderedPageBreak/>
        <w:t>Safe health and social care is founded in effective communication, especially when it comes to the service user, such as Mr Ahmed, who has a post-stroke neurological handicap and language barrier. A communication model commonly discussed in professional practice is the Transmission Model by Shannon and Weaver that defines the sender, the message, the channel and the receiver</w:t>
      </w:r>
      <w:r w:rsidR="003E4CF1"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&lt;EndNote&gt;&lt;Cite&gt;&lt;Author&gt;Khadija&lt;/Author&gt;&lt;Year&gt;2023&lt;/Year&gt;&lt;RecNum&gt;377&lt;/RecNum&gt;&lt;DisplayText&gt;(Khadija &amp;amp; Omar, 2023)&lt;/DisplayText&gt;&lt;record&gt;&lt;rec-number&gt;377&lt;/rec-number&gt;&lt;foreign-keys&gt;&lt;key app="EN" db-id="af0vd2sab5v95xedasvptpfttaxrw2r9wvar" timestamp="1776891807"&gt;377&lt;/key&gt;&lt;/foreign-keys&gt;&lt;ref-type name="Journal Article"&gt;17&lt;/ref-type&gt;&lt;contributors&gt;&lt;authors&gt;&lt;author&gt;Khadija, ELHMAIDI&lt;/author&gt;&lt;author&gt;Omar, TIJANI&lt;/author&gt;&lt;/authors&gt;&lt;/contributors&gt;&lt;titles&gt;&lt;title&gt;Literature review on knowledge transfer models: From Shannon-Weaver (1949) to Kostova (1999)&lt;/title&gt;&lt;secondary-title&gt;African Scientific Journal&lt;/secondary-title&gt;&lt;/titles&gt;&lt;periodical&gt;&lt;full-title&gt;African Scientific Journal&lt;/full-title&gt;&lt;/periodical&gt;&lt;pages&gt;548-548&lt;/pages&gt;&lt;volume&gt;3&lt;/volume&gt;&lt;number&gt;21&lt;/number&gt;&lt;dates&gt;&lt;year&gt;2023&lt;/year&gt;&lt;/dates&gt;&lt;isbn&gt;2658-9311&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(Khadija &amp; Omar, 2023)</w:t>
      </w:r>
      <w:r w:rsidR="001D7074" w:rsidRPr="00492226">
        <w:rPr>
          <w:rFonts w:ascii="Times New Roman" w:hAnsi="Times New Roman" w:cs="Times New Roman"/>
        </w:rPr>
        <w:fldChar w:fldCharType="end"/>
      </w:r>
      <w:r w:rsidRPr="00492226">
        <w:rPr>
          <w:rFonts w:ascii="Times New Roman" w:hAnsi="Times New Roman" w:cs="Times New Roman"/>
        </w:rPr>
        <w:t>. The noise or deterrent to this transmission in the case of Mr Ahmed is his poor English and possible aphasia in the wake of his stroke. To address this issue, the practitioners need to go beyond mere relaying of information and embrace an interactive mode.</w:t>
      </w:r>
    </w:p>
    <w:p w14:paraId="6835DEAC" w14:textId="6CD6FF28" w:rsidR="005B13AB" w:rsidRPr="005B13AB" w:rsidRDefault="00AE350C" w:rsidP="00492226">
      <w:pPr>
        <w:spacing w:line="360" w:lineRule="auto"/>
        <w:jc w:val="both"/>
        <w:rPr>
          <w:rFonts w:ascii="Times New Roman" w:hAnsi="Times New Roman" w:cs="Times New Roman"/>
          <w:highlight w:val="yellow"/>
        </w:rPr>
      </w:pPr>
      <w:r w:rsidRPr="00492226">
        <w:rPr>
          <w:rFonts w:ascii="Times New Roman" w:hAnsi="Times New Roman" w:cs="Times New Roman"/>
        </w:rPr>
        <w:t>In the case of Mr Ahmed, his communication needs should be specific to his needs, and not based in the fluency of his wife in English alone. Although her intervention is useful, it might unintentionally undermine the autonomy of Mr Ahmed when professionals fail to involve him directly. Strategies, like Total Communication, which involves use of gestures, visual aids and simplified languages are necessary</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&lt;EndNote&gt;&lt;Cite&gt;&lt;Author&gt;Zhang&lt;/Author&gt;&lt;Year&gt;2022&lt;/Year&gt;&lt;RecNum&gt;378&lt;/RecNum&gt;&lt;DisplayText&gt;(Zhang et al., 2022)&lt;/DisplayText&gt;&lt;record&gt;&lt;rec-number&gt;378&lt;/rec-number&gt;&lt;foreign-keys&gt;&lt;key app="EN" db-id="af0vd2sab5v95xedasvptpfttaxrw2r9wvar" timestamp="1776892003"&gt;378&lt;/key&gt;&lt;/foreign-keys&gt;&lt;ref-type name="Journal Article"&gt;17&lt;/ref-type&gt;&lt;contributors&gt;&lt;authors&gt;&lt;author&gt;Zhang, Maojun&lt;/author&gt;&lt;author&gt;Zhu, Guangxu&lt;/author&gt;&lt;author&gt;Wang, Shuai&lt;/author&gt;&lt;author&gt;Jiang, Jiamo&lt;/author&gt;&lt;author&gt;Liao, Qing&lt;/author&gt;&lt;author&gt;Zhong, Caijun&lt;/author&gt;&lt;author&gt;Cui, Shuguang&lt;/author&gt;&lt;/authors&gt;&lt;/contributors&gt;&lt;titles&gt;&lt;title&gt;Communication-efficient federated edge learning via optimal probabilistic device scheduling&lt;/title&gt;&lt;secondary-title&gt;IEEE Transactions on Wireless Communications&lt;/secondary-title&gt;&lt;/titles&gt;&lt;periodical&gt;&lt;full-title&gt;IEEE Transactions on Wireless Communications&lt;/full-title&gt;&lt;/periodical&gt;&lt;pages&gt;8536-8551&lt;/pages&gt;&lt;volume&gt;21&lt;/volume&gt;&lt;number&gt;10&lt;/number&gt;&lt;dates&gt;&lt;year&gt;2022&lt;/year&gt;&lt;/dates&gt;&lt;isbn&gt;1536-1276&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(Zhang et al., 2022)</w:t>
      </w:r>
      <w:r w:rsidR="001D7074" w:rsidRPr="00492226">
        <w:rPr>
          <w:rFonts w:ascii="Times New Roman" w:hAnsi="Times New Roman" w:cs="Times New Roman"/>
        </w:rPr>
        <w:fldChar w:fldCharType="end"/>
      </w:r>
      <w:r w:rsidRPr="00492226">
        <w:rPr>
          <w:rFonts w:ascii="Times New Roman" w:hAnsi="Times New Roman" w:cs="Times New Roman"/>
        </w:rPr>
        <w:t>. Through the assistance of a speech and language therapist, the care worker is enabled to make sure the channel of communication is available. This is to make sure that Mr Ahmed is not a passive receiver of care but an active participant in his recovery, which is one of the key principles of the person-centered practice.</w:t>
      </w:r>
    </w:p>
    <w:p w14:paraId="3EDB5F27"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The Equality Act 2010 and Protected Characteristics</w:t>
      </w:r>
    </w:p>
    <w:p w14:paraId="7D1D478F" w14:textId="447407BC" w:rsidR="00AE350C" w:rsidRPr="00492226" w:rsidRDefault="00AE350C" w:rsidP="00492226">
      <w:pPr>
        <w:spacing w:line="360" w:lineRule="auto"/>
        <w:jc w:val="both"/>
        <w:rPr>
          <w:rFonts w:ascii="Times New Roman" w:hAnsi="Times New Roman" w:cs="Times New Roman"/>
        </w:rPr>
      </w:pPr>
      <w:r w:rsidRPr="00492226">
        <w:rPr>
          <w:rFonts w:ascii="Times New Roman" w:hAnsi="Times New Roman" w:cs="Times New Roman"/>
        </w:rPr>
        <w:t>The Equality Act 2010 offers the legal framework that prevents people against discrimination on the basis of so-called protected characteristics, which in the case of Mr Ahmed is age, disability (because of stroke impairments) and race (nationality and language)</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&lt;EndNote&gt;&lt;Cite&gt;&lt;Author&gt;Adams‐Prassl&lt;/Author&gt;&lt;Year&gt;2023&lt;/Year&gt;&lt;RecNum&gt;379&lt;/RecNum&gt;&lt;DisplayText&gt;(Adams‐Prassl et al., 2023)&lt;/DisplayText&gt;&lt;record&gt;&lt;rec-number&gt;379&lt;/rec-number&gt;&lt;foreign-keys&gt;&lt;key app="EN" db-id="af0vd2sab5v95xedasvptpfttaxrw2r9wvar" timestamp="1776892023"&gt;379&lt;/key&gt;&lt;/foreign-keys&gt;&lt;ref-type name="Journal Article"&gt;17&lt;/ref-type&gt;&lt;contributors&gt;&lt;authors&gt;&lt;author&gt;Adams‐Prassl, Jeremias&lt;/author&gt;&lt;author&gt;Binns, Reuben&lt;/author&gt;&lt;author&gt;Kelly‐Lyth, Aislinn&lt;/author&gt;&lt;/authors&gt;&lt;/contributors&gt;&lt;titles&gt;&lt;title&gt;Directly discriminatory algorithms&lt;/title&gt;&lt;secondary-title&gt;The modern law review&lt;/secondary-title&gt;&lt;/titles&gt;&lt;periodical&gt;&lt;full-title&gt;The modern law review&lt;/full-title&gt;&lt;/periodical&gt;&lt;pages&gt;144-175&lt;/pages&gt;&lt;volume&gt;86&lt;/volume&gt;&lt;number&gt;1&lt;/number&gt;&lt;dates&gt;&lt;year&gt;2023&lt;/year&gt;&lt;/dates&gt;&lt;isbn&gt;0026-7961&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(Adams‐Prassl et al., 2023)</w:t>
      </w:r>
      <w:r w:rsidR="001D7074" w:rsidRPr="00492226">
        <w:rPr>
          <w:rFonts w:ascii="Times New Roman" w:hAnsi="Times New Roman" w:cs="Times New Roman"/>
        </w:rPr>
        <w:fldChar w:fldCharType="end"/>
      </w:r>
      <w:r w:rsidRPr="00492226">
        <w:rPr>
          <w:rFonts w:ascii="Times New Roman" w:hAnsi="Times New Roman" w:cs="Times New Roman"/>
        </w:rPr>
        <w:t>. Service providers are under an obligation to make reasonable adjustments under this Act. In the case of Mr Ahmed, one of the reasonable adjustments would be to offer him information in Bengali or hire professional translators to talk through any complicated care plan or medication changes.</w:t>
      </w:r>
    </w:p>
    <w:p w14:paraId="5B3283B5" w14:textId="32EAD475" w:rsidR="005B13AB" w:rsidRPr="005B13AB" w:rsidRDefault="00AE350C" w:rsidP="00492226">
      <w:pPr>
        <w:spacing w:line="360" w:lineRule="auto"/>
        <w:jc w:val="both"/>
        <w:rPr>
          <w:rFonts w:ascii="Times New Roman" w:hAnsi="Times New Roman" w:cs="Times New Roman"/>
          <w:highlight w:val="yellow"/>
        </w:rPr>
      </w:pPr>
      <w:r w:rsidRPr="00492226">
        <w:rPr>
          <w:rFonts w:ascii="Times New Roman" w:hAnsi="Times New Roman" w:cs="Times New Roman"/>
        </w:rPr>
        <w:t>Not addressing his language barrier would amount to indirect discrimination since a one-size-fits-all policy of using only English would put him at a major disadvantage when compared to native speakers. Following the Equality Act, the domiciliary team and the district nurse will have to ensure that the rights of Mr Ahmed are not violated, and he has the same degree of knowledge about his health as any other patient would</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&lt;EndNote&gt;&lt;Cite&gt;&lt;Author&gt;Hamerton&lt;/Author&gt;&lt;Year&gt;2025&lt;/Year&gt;&lt;RecNum&gt;380&lt;/RecNum&gt;&lt;DisplayText&gt;(Hamerton, 2025)&lt;/DisplayText&gt;&lt;record&gt;&lt;rec-number&gt;380&lt;/rec-number&gt;&lt;foreign-keys&gt;&lt;key app="EN" db-id="af0vd2sab5v95xedasvptpfttaxrw2r9wvar" timestamp="1776892048"&gt;380&lt;/key&gt;&lt;/foreign-keys&gt;&lt;ref-type name="Journal Article"&gt;17&lt;/ref-type&gt;&lt;contributors&gt;&lt;authors&gt;&lt;author&gt;Hamerton, Christopher&lt;/author&gt;&lt;/authors&gt;&lt;/contributors&gt;&lt;titles&gt;&lt;title&gt;The Equality Act 2010: evaluating the evolution and development of organisational strategy and professional practice&lt;/title&gt;&lt;secondary-title&gt;Strategic HR Review&lt;/secondary-title&gt;&lt;/titles&gt;&lt;periodical&gt;&lt;full-title&gt;Strategic HR Review&lt;/full-title&gt;&lt;/periodical&gt;&lt;pages&gt;30-35&lt;/pages&gt;&lt;volume&gt;24&lt;/volume&gt;&lt;number&gt;1&lt;/number&gt;&lt;dates&gt;&lt;year&gt;2025&lt;/year&gt;&lt;/dates&gt;&lt;isbn&gt;1475-4398&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(Hamerton, 2025)</w:t>
      </w:r>
      <w:r w:rsidR="001D7074" w:rsidRPr="00492226">
        <w:rPr>
          <w:rFonts w:ascii="Times New Roman" w:hAnsi="Times New Roman" w:cs="Times New Roman"/>
        </w:rPr>
        <w:fldChar w:fldCharType="end"/>
      </w:r>
      <w:r w:rsidRPr="00492226">
        <w:rPr>
          <w:rFonts w:ascii="Times New Roman" w:hAnsi="Times New Roman" w:cs="Times New Roman"/>
        </w:rPr>
        <w:t>. This compliance with the law helps to establish a culture of dignity and respect, which is crucial in establishing trust in the relationship between the service user and the multidisciplinary team.</w:t>
      </w:r>
    </w:p>
    <w:p w14:paraId="3BF3A832"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2. Importance of Good Administrative Skills</w:t>
      </w:r>
    </w:p>
    <w:p w14:paraId="0D886028"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lastRenderedPageBreak/>
        <w:t>Record Keeping and Professional Accountability</w:t>
      </w:r>
    </w:p>
    <w:p w14:paraId="06345886" w14:textId="31DBD9BD" w:rsidR="00AE350C" w:rsidRPr="00492226" w:rsidRDefault="00AE350C" w:rsidP="00492226">
      <w:pPr>
        <w:spacing w:line="360" w:lineRule="auto"/>
        <w:jc w:val="both"/>
        <w:rPr>
          <w:rFonts w:ascii="Times New Roman" w:hAnsi="Times New Roman" w:cs="Times New Roman"/>
        </w:rPr>
      </w:pPr>
      <w:r w:rsidRPr="00492226">
        <w:rPr>
          <w:rFonts w:ascii="Times New Roman" w:hAnsi="Times New Roman" w:cs="Times New Roman"/>
        </w:rPr>
        <w:t>The administrative skills, namely, impeccable record-keeping, are essential in guaranteeing continuity of care and service user safety. Mr Ahmed also has a multidisciplinary nature of care and, in his case, it implies that several professionals are coming and going out of his house at various times</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&lt;EndNote&gt;&lt;Cite&gt;&lt;Author&gt;Muljadi&lt;/Author&gt;&lt;Year&gt;2022&lt;/Year&gt;&lt;RecNum&gt;381&lt;/RecNum&gt;&lt;DisplayText&gt;(Muljadi et al., 2022)&lt;/DisplayText&gt;&lt;record&gt;&lt;rec-number&gt;381&lt;/rec-number&gt;&lt;foreign-keys&gt;&lt;key app="EN" db-id="af0vd2sab5v95xedasvptpfttaxrw2r9wvar" timestamp="1776892081"&gt;381&lt;/key&gt;&lt;/foreign-keys&gt;&lt;ref-type name="Journal Article"&gt;17&lt;/ref-type&gt;&lt;contributors&gt;&lt;authors&gt;&lt;author&gt;Muljadi, Cynthia&lt;/author&gt;&lt;author&gt;Idawati, Lusiana&lt;/author&gt;&lt;author&gt;Ardi, Ardi&lt;/author&gt;&lt;/authors&gt;&lt;/contributors&gt;&lt;titles&gt;&lt;title&gt;Developing Leadership Skills in Administrative Staff Through Professional Development Program at School Pelita Harapan&lt;/title&gt;&lt;secondary-title&gt;JIIP-Jurnal Ilmiah Ilmu Pendidikan&lt;/secondary-title&gt;&lt;/titles&gt;&lt;periodical&gt;&lt;full-title&gt;JIIP-Jurnal Ilmiah Ilmu Pendidikan&lt;/full-title&gt;&lt;/periodical&gt;&lt;pages&gt;2547-2553&lt;/pages&gt;&lt;volume&gt;5&lt;/volume&gt;&lt;number&gt;7&lt;/number&gt;&lt;dates&gt;&lt;year&gt;2022&lt;/year&gt;&lt;/dates&gt;&lt;isbn&gt;2614-8854&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(Muljadi et al., 2022)</w:t>
      </w:r>
      <w:r w:rsidR="001D7074" w:rsidRPr="00492226">
        <w:rPr>
          <w:rFonts w:ascii="Times New Roman" w:hAnsi="Times New Roman" w:cs="Times New Roman"/>
        </w:rPr>
        <w:fldChar w:fldCharType="end"/>
      </w:r>
      <w:r w:rsidRPr="00492226">
        <w:rPr>
          <w:rFonts w:ascii="Times New Roman" w:hAnsi="Times New Roman" w:cs="Times New Roman"/>
        </w:rPr>
        <w:t>. The recent event of missed visit and a late delivery of medication points to an administrative lapse. Should an absence occur due to a missed visit, an effective, well-documented procedure should be in place to alert the agency and the family about the missed visit so as to contain the risks.</w:t>
      </w:r>
    </w:p>
    <w:p w14:paraId="07083559" w14:textId="12189FBA" w:rsidR="005B13AB" w:rsidRPr="005B13AB" w:rsidRDefault="00AE350C" w:rsidP="00492226">
      <w:pPr>
        <w:spacing w:line="360" w:lineRule="auto"/>
        <w:jc w:val="both"/>
        <w:rPr>
          <w:rFonts w:ascii="Times New Roman" w:hAnsi="Times New Roman" w:cs="Times New Roman"/>
          <w:highlight w:val="yellow"/>
        </w:rPr>
      </w:pPr>
      <w:r w:rsidRPr="00492226">
        <w:rPr>
          <w:rFonts w:ascii="Times New Roman" w:hAnsi="Times New Roman" w:cs="Times New Roman"/>
        </w:rPr>
        <w:t>Good record keeping acts as the voice of the practitioner in his/her absence. Clinical notes are to be accurate, timely, and objective, with details of the kind of care given, e.g. blood pressure readings by the district nurse or swallow test by SLT</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&lt;EndNote&gt;&lt;Cite&gt;&lt;Author&gt;Gandhi&lt;/Author&gt;&lt;Year&gt;2023&lt;/Year&gt;&lt;RecNum&gt;382&lt;/RecNum&gt;&lt;DisplayText&gt;(Gandhi et al., 2023)&lt;/DisplayText&gt;&lt;record&gt;&lt;rec-number&gt;382&lt;/rec-number&gt;&lt;foreign-keys&gt;&lt;key app="EN" db-id="af0vd2sab5v95xedasvptpfttaxrw2r9wvar" timestamp="1776892106"&gt;382&lt;/key&gt;&lt;/foreign-keys&gt;&lt;ref-type name="Journal Article"&gt;17&lt;/ref-type&gt;&lt;contributors&gt;&lt;authors&gt;&lt;author&gt;Gandhi, Tejal K&lt;/author&gt;&lt;author&gt;Classen, David&lt;/author&gt;&lt;author&gt;Sinsky, Christine A&lt;/author&gt;&lt;author&gt;Rhew, David C&lt;/author&gt;&lt;author&gt;Vande Garde, Nikki&lt;/author&gt;&lt;author&gt;Roberts, Andrew&lt;/author&gt;&lt;author&gt;Federico, Frank&lt;/author&gt;&lt;/authors&gt;&lt;/contributors&gt;&lt;titles&gt;&lt;title&gt;How can artificial intelligence decrease cognitive and work burden for front line practitioners?&lt;/title&gt;&lt;secondary-title&gt;JAMIA open&lt;/secondary-title&gt;&lt;/titles&gt;&lt;periodical&gt;&lt;full-title&gt;JAMIA open&lt;/full-title&gt;&lt;/periodical&gt;&lt;pages&gt;ooad079&lt;/pages&gt;&lt;volume&gt;6&lt;/volume&gt;&lt;number&gt;3&lt;/number&gt;&lt;dates&gt;&lt;year&gt;2023&lt;/year&gt;&lt;/dates&gt;&lt;isbn&gt;2574-2531&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(Gandhi et al., 2023)</w:t>
      </w:r>
      <w:r w:rsidR="001D7074" w:rsidRPr="00492226">
        <w:rPr>
          <w:rFonts w:ascii="Times New Roman" w:hAnsi="Times New Roman" w:cs="Times New Roman"/>
        </w:rPr>
        <w:fldChar w:fldCharType="end"/>
      </w:r>
      <w:r w:rsidRPr="00492226">
        <w:rPr>
          <w:rFonts w:ascii="Times New Roman" w:hAnsi="Times New Roman" w:cs="Times New Roman"/>
        </w:rPr>
        <w:t>. Such records can be used to identify trends; like when Mr Ahmed always fails to take medication, an administrative review of the care records would indicate whether the problem is scheduling or staff education or an administrative communication error. These records ensure professional accountability and form a factual background to the ongoing investigation concerning the missed visit.</w:t>
      </w:r>
    </w:p>
    <w:p w14:paraId="58438406"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Data Protection Act 2018 and Information Governance</w:t>
      </w:r>
    </w:p>
    <w:p w14:paraId="745EB7B8" w14:textId="76D5570D" w:rsidR="00AE350C" w:rsidRPr="00492226" w:rsidRDefault="00AE350C" w:rsidP="00492226">
      <w:pPr>
        <w:spacing w:line="360" w:lineRule="auto"/>
        <w:jc w:val="both"/>
        <w:rPr>
          <w:rFonts w:ascii="Times New Roman" w:hAnsi="Times New Roman" w:cs="Times New Roman"/>
        </w:rPr>
      </w:pPr>
      <w:r w:rsidRPr="00492226">
        <w:rPr>
          <w:rFonts w:ascii="Times New Roman" w:hAnsi="Times New Roman" w:cs="Times New Roman"/>
        </w:rPr>
        <w:t>Any administrative activity has to be carried out according to the provisions of the Data Protection Act 2018 (the UK adaptation of GDPR). This law requires that personal and sensitive information, including that of Mr Ahmed, including medical history, language needs of Bengali language, and access details of his flat, should be treated in line with the law, fairly, and in a transparent manner</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&lt;EndNote&gt;&lt;Cite&gt;&lt;Author&gt;Peukert&lt;/Author&gt;&lt;Year&gt;2022&lt;/Year&gt;&lt;RecNum&gt;383&lt;/RecNum&gt;&lt;DisplayText&gt;(Peukert et al., 2022)&lt;/DisplayText&gt;&lt;record&gt;&lt;rec-number&gt;383&lt;/rec-number&gt;&lt;foreign-keys&gt;&lt;key app="EN" db-id="af0vd2sab5v95xedasvptpfttaxrw2r9wvar" timestamp="1776892130"&gt;383&lt;/key&gt;&lt;/foreign-keys&gt;&lt;ref-type name="Journal Article"&gt;17&lt;/ref-type&gt;&lt;contributors&gt;&lt;authors&gt;&lt;author&gt;Peukert, Christian&lt;/author&gt;&lt;author&gt;Bechtold, Stefan&lt;/author&gt;&lt;author&gt;Batikas, Michail&lt;/author&gt;&lt;author&gt;Kretschmer, Tobias&lt;/author&gt;&lt;/authors&gt;&lt;/contributors&gt;&lt;titles&gt;&lt;title&gt;Regulatory spillovers and data governance: Evidence from the GDPR&lt;/title&gt;&lt;secondary-title&gt;Marketing Science&lt;/secondary-title&gt;&lt;/titles&gt;&lt;periodical&gt;&lt;full-title&gt;Marketing Science&lt;/full-title&gt;&lt;/periodical&gt;&lt;pages&gt;746-768&lt;/pages&gt;&lt;volume&gt;41&lt;/volume&gt;&lt;number&gt;4&lt;/number&gt;&lt;dates&gt;&lt;year&gt;2022&lt;/year&gt;&lt;/dates&gt;&lt;isbn&gt;0732-2399&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(Peukert et al., 2022)</w:t>
      </w:r>
      <w:r w:rsidR="001D7074" w:rsidRPr="00492226">
        <w:rPr>
          <w:rFonts w:ascii="Times New Roman" w:hAnsi="Times New Roman" w:cs="Times New Roman"/>
        </w:rPr>
        <w:fldChar w:fldCharType="end"/>
      </w:r>
      <w:r w:rsidRPr="00492226">
        <w:rPr>
          <w:rFonts w:ascii="Times New Roman" w:hAnsi="Times New Roman" w:cs="Times New Roman"/>
        </w:rPr>
        <w:t>. Information sharing is a fine diplomacy in a multi-agency environment. The GP, nurse and care agency must also exchange information to ensure Mr Ahmed is kept safe, yet only that information which is essential to his care must be shared.</w:t>
      </w:r>
    </w:p>
    <w:p w14:paraId="6ED3B8A6" w14:textId="7C9BD316" w:rsidR="005B13AB" w:rsidRPr="005B13AB" w:rsidRDefault="00AE350C" w:rsidP="00492226">
      <w:pPr>
        <w:spacing w:line="360" w:lineRule="auto"/>
        <w:jc w:val="both"/>
        <w:rPr>
          <w:rFonts w:ascii="Times New Roman" w:hAnsi="Times New Roman" w:cs="Times New Roman"/>
          <w:highlight w:val="yellow"/>
        </w:rPr>
      </w:pPr>
      <w:r w:rsidRPr="00492226">
        <w:rPr>
          <w:rFonts w:ascii="Times New Roman" w:hAnsi="Times New Roman" w:cs="Times New Roman"/>
        </w:rPr>
        <w:t>The application of the principles of Data Protection Act will be to make certain that the physical and electronic files of Mr Ahmed are secure and that any conversation about his care is held privately. The professionals also need to honor the right to know of Mr Ahmed how his data is utilized</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&lt;EndNote&gt;&lt;Cite&gt;&lt;Author&gt;Creemers&lt;/Author&gt;&lt;Year&gt;2022&lt;/Year&gt;&lt;RecNum&gt;384&lt;/RecNum&gt;&lt;DisplayText&gt;(Creemers, 2022)&lt;/DisplayText&gt;&lt;record&gt;&lt;rec-number&gt;384&lt;/rec-number&gt;&lt;foreign-keys&gt;&lt;key app="EN" db-id="af0vd2sab5v95xedasvptpfttaxrw2r9wvar" timestamp="1776892143"&gt;384&lt;/key&gt;&lt;/foreign-keys&gt;&lt;ref-type name="Journal Article"&gt;17&lt;/ref-type&gt;&lt;contributors&gt;&lt;authors&gt;&lt;author&gt;Creemers, Rogier&lt;/author&gt;&lt;/authors&gt;&lt;/contributors&gt;&lt;titles&gt;&lt;title&gt;China’s emerging data protection framework&lt;/title&gt;&lt;secondary-title&gt;Journal of Cybersecurity&lt;/secondary-title&gt;&lt;/titles&gt;&lt;periodical&gt;&lt;full-title&gt;Journal of Cybersecurity&lt;/full-title&gt;&lt;/periodical&gt;&lt;pages&gt;tyac011&lt;/pages&gt;&lt;volume&gt;8&lt;/volume&gt;&lt;number&gt;1&lt;/number&gt;&lt;dates&gt;&lt;year&gt;2022&lt;/year&gt;&lt;/dates&gt;&lt;isbn&gt;2057-2085&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(Creemers, 2022)</w:t>
      </w:r>
      <w:r w:rsidR="001D7074" w:rsidRPr="00492226">
        <w:rPr>
          <w:rFonts w:ascii="Times New Roman" w:hAnsi="Times New Roman" w:cs="Times New Roman"/>
        </w:rPr>
        <w:fldChar w:fldCharType="end"/>
      </w:r>
      <w:r w:rsidRPr="00492226">
        <w:rPr>
          <w:rFonts w:ascii="Times New Roman" w:hAnsi="Times New Roman" w:cs="Times New Roman"/>
        </w:rPr>
        <w:t xml:space="preserve">. Assuming that the care agency has an electronic logging system on a visit, they should make sure that the data is encrypted and only allows the authorized personnel to access it. Adequate data management is not only a legal requirement, but also an </w:t>
      </w:r>
      <w:r w:rsidRPr="00492226">
        <w:rPr>
          <w:rFonts w:ascii="Times New Roman" w:hAnsi="Times New Roman" w:cs="Times New Roman"/>
        </w:rPr>
        <w:lastRenderedPageBreak/>
        <w:t>effective way of enhancing the moral obligation of confidentiality, which is critical to the professional relationship between Mr Ahmed and his care team.</w:t>
      </w:r>
    </w:p>
    <w:p w14:paraId="4B5FB655"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3. Importance of Working Collaboratively</w:t>
      </w:r>
    </w:p>
    <w:p w14:paraId="31E2C8CD"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Approaches to Multi-Agency Collaboration</w:t>
      </w:r>
    </w:p>
    <w:p w14:paraId="038C3272" w14:textId="5B218FB7" w:rsidR="00AE350C" w:rsidRPr="00492226" w:rsidRDefault="00AE350C" w:rsidP="00492226">
      <w:pPr>
        <w:spacing w:line="360" w:lineRule="auto"/>
        <w:jc w:val="both"/>
        <w:rPr>
          <w:rFonts w:ascii="Times New Roman" w:hAnsi="Times New Roman" w:cs="Times New Roman"/>
        </w:rPr>
      </w:pPr>
      <w:r w:rsidRPr="00492226">
        <w:rPr>
          <w:rFonts w:ascii="Times New Roman" w:hAnsi="Times New Roman" w:cs="Times New Roman"/>
        </w:rPr>
        <w:t>Collaboration in health and social care is a process that incorporates various professionals working towards a shared objective: the welfare of service user. In the case of Mr Ahmed, it implies that the GP, the district nurse, the domiciliary care workers, and the SLT need to be a cohesive system as opposed to working in isolation</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&lt;EndNote&gt;&lt;Cite&gt;&lt;Author&gt;Parker&lt;/Author&gt;&lt;Year&gt;2023&lt;/Year&gt;&lt;RecNum&gt;385&lt;/RecNum&gt;&lt;DisplayText&gt;(Parker et al., 2023)&lt;/DisplayText&gt;&lt;record&gt;&lt;rec-number&gt;385&lt;/rec-number&gt;&lt;foreign-keys&gt;&lt;key app="EN" db-id="af0vd2sab5v95xedasvptpfttaxrw2r9wvar" timestamp="1776892160"&gt;385&lt;/key&gt;&lt;/foreign-keys&gt;&lt;ref-type name="Journal Article"&gt;17&lt;/ref-type&gt;&lt;contributors&gt;&lt;authors&gt;&lt;author&gt;Parker, Steven&lt;/author&gt;&lt;author&gt;Hartley, Jean&lt;/author&gt;&lt;author&gt;Beashel, Jim&lt;/author&gt;&lt;author&gt;Vo, Quoc&lt;/author&gt;&lt;/authors&gt;&lt;/contributors&gt;&lt;titles&gt;&lt;title&gt;Leading for public value in multi-agency collaboration&lt;/title&gt;&lt;secondary-title&gt;Public Policy and Administration&lt;/secondary-title&gt;&lt;/titles&gt;&lt;periodical&gt;&lt;full-title&gt;Public Policy and Administration&lt;/full-title&gt;&lt;/periodical&gt;&lt;pages&gt;83-106&lt;/pages&gt;&lt;volume&gt;38&lt;/volume&gt;&lt;number&gt;1&lt;/number&gt;&lt;dates&gt;&lt;year&gt;2023&lt;/year&gt;&lt;/dates&gt;&lt;isbn&gt;0952-0767&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(Parker et al., 2023)</w:t>
      </w:r>
      <w:r w:rsidR="001D7074" w:rsidRPr="00492226">
        <w:rPr>
          <w:rFonts w:ascii="Times New Roman" w:hAnsi="Times New Roman" w:cs="Times New Roman"/>
        </w:rPr>
        <w:fldChar w:fldCharType="end"/>
      </w:r>
      <w:r w:rsidRPr="00492226">
        <w:rPr>
          <w:rFonts w:ascii="Times New Roman" w:hAnsi="Times New Roman" w:cs="Times New Roman"/>
        </w:rPr>
        <w:t>. Integrated care pathways are one of the major strategies that can be used to promote this. This provides that the recommendations to the communication of the SLT are familiar to the care workers and that the observations about wound care by the district nurse are reported to the GP in case of suspicion of infection.</w:t>
      </w:r>
    </w:p>
    <w:p w14:paraId="31877B52" w14:textId="0A4AAB69" w:rsidR="005B13AB" w:rsidRPr="005B13AB" w:rsidRDefault="00AE350C" w:rsidP="00492226">
      <w:pPr>
        <w:spacing w:line="360" w:lineRule="auto"/>
        <w:jc w:val="both"/>
        <w:rPr>
          <w:rFonts w:ascii="Times New Roman" w:hAnsi="Times New Roman" w:cs="Times New Roman"/>
          <w:highlight w:val="yellow"/>
        </w:rPr>
      </w:pPr>
      <w:r w:rsidRPr="00492226">
        <w:rPr>
          <w:rFonts w:ascii="Times New Roman" w:hAnsi="Times New Roman" w:cs="Times New Roman"/>
        </w:rPr>
        <w:t>The collaboration can be achieved with the help of regular MDT meetings or common communication logs stored at home. These records enable a domiciliary worker, who visits thrice a day, to leave notes to the district nurse who visits twice a week</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&lt;EndNote&gt;&lt;Cite&gt;&lt;Author&gt;Tseer&lt;/Author&gt;&lt;Year&gt;2023&lt;/Year&gt;&lt;RecNum&gt;386&lt;/RecNum&gt;&lt;DisplayText&gt;(Tseer et al., 2023)&lt;/DisplayText&gt;&lt;record&gt;&lt;rec-number&gt;386&lt;/rec-number&gt;&lt;foreign-keys&gt;&lt;key app="EN" db-id="af0vd2sab5v95xedasvptpfttaxrw2r9wvar" timestamp="1776892336"&gt;386&lt;/key&gt;&lt;/foreign-keys&gt;&lt;ref-type name="Journal Article"&gt;17&lt;/ref-type&gt;&lt;contributors&gt;&lt;authors&gt;&lt;author&gt;Tseer, Tobias&lt;/author&gt;&lt;author&gt;Musah, Halidu&lt;/author&gt;&lt;author&gt;Avogo, Jonathan&lt;/author&gt;&lt;/authors&gt;&lt;/contributors&gt;&lt;titles&gt;&lt;title&gt;Multi-agency collaboration in conflict resolution: a case study of the Bole traditional area&lt;/title&gt;&lt;secondary-title&gt;Society&lt;/secondary-title&gt;&lt;/titles&gt;&lt;periodical&gt;&lt;full-title&gt;Society&lt;/full-title&gt;&lt;/periodical&gt;&lt;pages&gt;200-211&lt;/pages&gt;&lt;volume&gt;60&lt;/volume&gt;&lt;number&gt;2&lt;/number&gt;&lt;dates&gt;&lt;year&gt;2023&lt;/year&gt;&lt;/dates&gt;&lt;isbn&gt;0147-2011&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(Tseer et al., 2023)</w:t>
      </w:r>
      <w:r w:rsidR="001D7074" w:rsidRPr="00492226">
        <w:rPr>
          <w:rFonts w:ascii="Times New Roman" w:hAnsi="Times New Roman" w:cs="Times New Roman"/>
        </w:rPr>
        <w:fldChar w:fldCharType="end"/>
      </w:r>
      <w:r w:rsidRPr="00492226">
        <w:rPr>
          <w:rFonts w:ascii="Times New Roman" w:hAnsi="Times New Roman" w:cs="Times New Roman"/>
        </w:rPr>
        <w:t>. This interdisciplinary approach is essential since the needs of Mr Ahmed are interdependent; his swallowing can be promoted (observed by the SLT) and his medication intake is either possible (assisted by care workers). By working as a team, professionals form a safety net that will trap possible mistakes before they damage the service user.</w:t>
      </w:r>
    </w:p>
    <w:p w14:paraId="74567988"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Strategies for Overcoming Challenges in Collaboration</w:t>
      </w:r>
    </w:p>
    <w:p w14:paraId="7A84038D" w14:textId="0E712012" w:rsidR="00AE350C" w:rsidRPr="00492226" w:rsidRDefault="00AE350C" w:rsidP="00492226">
      <w:pPr>
        <w:spacing w:line="360" w:lineRule="auto"/>
        <w:jc w:val="both"/>
        <w:rPr>
          <w:rFonts w:ascii="Times New Roman" w:hAnsi="Times New Roman" w:cs="Times New Roman"/>
        </w:rPr>
      </w:pPr>
      <w:r w:rsidRPr="00492226">
        <w:rPr>
          <w:rFonts w:ascii="Times New Roman" w:hAnsi="Times New Roman" w:cs="Times New Roman"/>
        </w:rPr>
        <w:t>Although important, multi-agency working has various issues, such as organizational cultures variance, siloed working, and communication failures, such as the one occurred in the missed visit incident</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&lt;EndNote&gt;&lt;Cite&gt;&lt;Author&gt;Azim&lt;/Author&gt;&lt;Year&gt;2025&lt;/Year&gt;&lt;RecNum&gt;387&lt;/RecNum&gt;&lt;DisplayText&gt;(Azim et al., 2025)&lt;/DisplayText&gt;&lt;record&gt;&lt;rec-number&gt;387&lt;/rec-number&gt;&lt;foreign-keys&gt;&lt;key app="EN" db-id="af0vd2sab5v95xedasvptpfttaxrw2r9wvar" timestamp="1776892358"&gt;387&lt;/key&gt;&lt;/foreign-keys&gt;&lt;ref-type name="Journal Article"&gt;17&lt;/ref-type&gt;&lt;contributors&gt;&lt;authors&gt;&lt;author&gt;Azim, Hiba&lt;/author&gt;&lt;author&gt;Johnston, Amy-Louise&lt;/author&gt;&lt;author&gt;Nixon, Morag&lt;/author&gt;&lt;author&gt;Woodliffe, John Luke&lt;/author&gt;&lt;author&gt;Theunissen, Romano&lt;/author&gt;&lt;author&gt;Suresh, Reshma&lt;/author&gt;&lt;author&gt;Sivapalan, Subarna&lt;/author&gt;&lt;author&gt;Bobo, Jack&lt;/author&gt;&lt;author&gt;Licence, Peter&lt;/author&gt;&lt;/authors&gt;&lt;/contributors&gt;&lt;titles&gt;&lt;title&gt;Collaborating for Impact: Navigating Partnerships and Overcoming Challenges across the Sustainable Development Goals&lt;/title&gt;&lt;secondary-title&gt;ACS Sustainable Chemistry &amp;amp; Engineering&lt;/secondary-title&gt;&lt;/titles&gt;&lt;periodical&gt;&lt;full-title&gt;ACS Sustainable Chemistry &amp;amp; Engineering&lt;/full-title&gt;&lt;/periodical&gt;&lt;pages&gt;1164-1173&lt;/pages&gt;&lt;volume&gt;13&lt;/volume&gt;&lt;number&gt;3&lt;/number&gt;&lt;dates&gt;&lt;year&gt;2025&lt;/year&gt;&lt;/dates&gt;&lt;isbn&gt;2168-0485&lt;/isbn&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(Azim et al., 2025)</w:t>
      </w:r>
      <w:r w:rsidR="001D7074" w:rsidRPr="00492226">
        <w:rPr>
          <w:rFonts w:ascii="Times New Roman" w:hAnsi="Times New Roman" w:cs="Times New Roman"/>
        </w:rPr>
        <w:fldChar w:fldCharType="end"/>
      </w:r>
      <w:r w:rsidRPr="00492226">
        <w:rPr>
          <w:rFonts w:ascii="Times New Roman" w:hAnsi="Times New Roman" w:cs="Times New Roman"/>
        </w:rPr>
        <w:t>. To address them, agencies have to incorporate effective communication strategies like having one point of contact (commonly referred to as a single point of contact), or a lead operator to the case. This individual keeps the agencies informed of any changes in the condition or schedule of Mr Ahmed.</w:t>
      </w:r>
    </w:p>
    <w:p w14:paraId="1B20377B" w14:textId="64CB58D9" w:rsidR="005B13AB" w:rsidRPr="005B13AB" w:rsidRDefault="00AE350C" w:rsidP="00492226">
      <w:pPr>
        <w:spacing w:line="360" w:lineRule="auto"/>
        <w:jc w:val="both"/>
        <w:rPr>
          <w:rFonts w:ascii="Times New Roman" w:hAnsi="Times New Roman" w:cs="Times New Roman"/>
          <w:highlight w:val="yellow"/>
        </w:rPr>
      </w:pPr>
      <w:r w:rsidRPr="00492226">
        <w:rPr>
          <w:rFonts w:ascii="Times New Roman" w:hAnsi="Times New Roman" w:cs="Times New Roman"/>
        </w:rPr>
        <w:t xml:space="preserve">One more option is to employ standardized reporting tools (such as SBAR: Situation, Background, Assessment, Recommendation) to facilitate the concise and action-oriented information which is exchanged between the care agency and the GP. Moreover, a culture of mutual respect must be promoted; the observations of a domiciliary worker who encounters Mr Ahmed every day are also very important as compared to the clinical observations of the </w:t>
      </w:r>
      <w:r w:rsidRPr="00492226">
        <w:rPr>
          <w:rFonts w:ascii="Times New Roman" w:hAnsi="Times New Roman" w:cs="Times New Roman"/>
        </w:rPr>
        <w:lastRenderedPageBreak/>
        <w:t>district nurse</w:t>
      </w:r>
      <w:r w:rsidR="001D7074" w:rsidRPr="00492226">
        <w:rPr>
          <w:rFonts w:ascii="Times New Roman" w:hAnsi="Times New Roman" w:cs="Times New Roman"/>
        </w:rPr>
        <w:t xml:space="preserve"> </w:t>
      </w:r>
      <w:r w:rsidR="001D7074" w:rsidRPr="00492226">
        <w:rPr>
          <w:rFonts w:ascii="Times New Roman" w:hAnsi="Times New Roman" w:cs="Times New Roman"/>
        </w:rPr>
        <w:fldChar w:fldCharType="begin"/>
      </w:r>
      <w:r w:rsidR="00492226" w:rsidRPr="00492226">
        <w:rPr>
          <w:rFonts w:ascii="Times New Roman" w:hAnsi="Times New Roman" w:cs="Times New Roman"/>
        </w:rPr>
        <w:instrText xml:space="preserve"> ADDIN EN.CITE &lt;EndNote&gt;&lt;Cite&gt;&lt;Author&gt;Leon&lt;/Author&gt;&lt;Year&gt;2024&lt;/Year&gt;&lt;RecNum&gt;388&lt;/RecNum&gt;&lt;DisplayText&gt;(Leon &amp;amp; Lipuma, 2024)&lt;/DisplayText&gt;&lt;record&gt;&lt;rec-number&gt;388&lt;/rec-number&gt;&lt;foreign-keys&gt;&lt;key app="EN" db-id="af0vd2sab5v95xedasvptpfttaxrw2r9wvar" timestamp="1776892374"&gt;388&lt;/key&gt;&lt;/foreign-keys&gt;&lt;ref-type name="Journal Article"&gt;17&lt;/ref-type&gt;&lt;contributors&gt;&lt;authors&gt;&lt;author&gt;Leon, Cristo&lt;/author&gt;&lt;author&gt;Lipuma, James&lt;/author&gt;&lt;/authors&gt;&lt;/contributors&gt;&lt;titles&gt;&lt;title&gt;Overcoming obstacles to interdisciplinary research: Empirical insights and strategies&lt;/title&gt;&lt;secondary-title&gt;Journal on Systemics, Cybernetics and Informatics&lt;/secondary-title&gt;&lt;/titles&gt;&lt;periodical&gt;&lt;full-title&gt;Journal on Systemics, Cybernetics and Informatics&lt;/full-title&gt;&lt;/periodical&gt;&lt;pages&gt;18-34&lt;/pages&gt;&lt;volume&gt;22&lt;/volume&gt;&lt;number&gt;6&lt;/number&gt;&lt;dates&gt;&lt;year&gt;2024&lt;/year&gt;&lt;/dates&gt;&lt;urls&gt;&lt;/urls&gt;&lt;/record&gt;&lt;/Cite&gt;&lt;/EndNote&gt;</w:instrText>
      </w:r>
      <w:r w:rsidR="001D7074" w:rsidRPr="00492226">
        <w:rPr>
          <w:rFonts w:ascii="Times New Roman" w:hAnsi="Times New Roman" w:cs="Times New Roman"/>
        </w:rPr>
        <w:fldChar w:fldCharType="separate"/>
      </w:r>
      <w:r w:rsidR="00492226" w:rsidRPr="00492226">
        <w:rPr>
          <w:rFonts w:ascii="Times New Roman" w:hAnsi="Times New Roman" w:cs="Times New Roman"/>
          <w:noProof/>
        </w:rPr>
        <w:t>(Leon &amp; Lipuma, 2024)</w:t>
      </w:r>
      <w:r w:rsidR="001D7074" w:rsidRPr="00492226">
        <w:rPr>
          <w:rFonts w:ascii="Times New Roman" w:hAnsi="Times New Roman" w:cs="Times New Roman"/>
        </w:rPr>
        <w:fldChar w:fldCharType="end"/>
      </w:r>
      <w:r w:rsidRPr="00492226">
        <w:rPr>
          <w:rFonts w:ascii="Times New Roman" w:hAnsi="Times New Roman" w:cs="Times New Roman"/>
        </w:rPr>
        <w:t>. This can be achieved through identification of individual effort of every professional and open channel of interaction so that issues like time clashes or language differences can be overcome so as to offer Mr Ahmed a smooth and quality treatment.</w:t>
      </w:r>
    </w:p>
    <w:p w14:paraId="3DFD39C8" w14:textId="77777777" w:rsidR="005B13AB" w:rsidRPr="005B13AB" w:rsidRDefault="005B13AB" w:rsidP="00492226">
      <w:pPr>
        <w:spacing w:line="360" w:lineRule="auto"/>
        <w:jc w:val="both"/>
        <w:rPr>
          <w:rFonts w:ascii="Times New Roman" w:hAnsi="Times New Roman" w:cs="Times New Roman"/>
          <w:b/>
          <w:bCs/>
        </w:rPr>
      </w:pPr>
      <w:r w:rsidRPr="005B13AB">
        <w:rPr>
          <w:rFonts w:ascii="Times New Roman" w:hAnsi="Times New Roman" w:cs="Times New Roman"/>
          <w:b/>
          <w:bCs/>
        </w:rPr>
        <w:t>Conclusion</w:t>
      </w:r>
    </w:p>
    <w:p w14:paraId="3E440F83" w14:textId="652DAC61" w:rsidR="00D32B84" w:rsidRPr="00492226" w:rsidRDefault="00AE350C" w:rsidP="00492226">
      <w:pPr>
        <w:spacing w:line="360" w:lineRule="auto"/>
        <w:jc w:val="both"/>
        <w:rPr>
          <w:rFonts w:ascii="Times New Roman" w:hAnsi="Times New Roman" w:cs="Times New Roman"/>
        </w:rPr>
      </w:pPr>
      <w:r w:rsidRPr="00492226">
        <w:rPr>
          <w:rFonts w:ascii="Times New Roman" w:hAnsi="Times New Roman" w:cs="Times New Roman"/>
        </w:rPr>
        <w:t>The assignment has evaluated the complex care needs of Mr Ahmed and pointed out that clinical skill cannot work alone unless accompanied with effective communication, administration and collaboration. Communication which should be effective should be guided by models and the Equality Act 2010 to make sure that Mr Ahmed is heard although he faces linguistic and post-stroke difficulties. Strong administrative capabilities and compliance with the Data Protection Act 2018 are the frameworks that warrant accountability and secure use of sensitive information. Lastly, the essential connector that brings all these services in a coordinated, person-centered support system is collaborative multi-agency working. The recent care failure is a wake-up call that when these professional pillars are not upheld, service user safety will be jeopardized. Observation of the standards is not a mere obligation of procedure in the health and social care industry but an obligation of care.</w:t>
      </w:r>
    </w:p>
    <w:p w14:paraId="04782943" w14:textId="77777777" w:rsidR="00AE350C" w:rsidRPr="00492226" w:rsidRDefault="00AE350C" w:rsidP="00492226">
      <w:pPr>
        <w:spacing w:line="360" w:lineRule="auto"/>
        <w:jc w:val="both"/>
        <w:rPr>
          <w:rFonts w:ascii="Times New Roman" w:hAnsi="Times New Roman" w:cs="Times New Roman"/>
        </w:rPr>
      </w:pPr>
    </w:p>
    <w:p w14:paraId="03156BA2" w14:textId="323A8096" w:rsidR="001D7074" w:rsidRPr="00492226" w:rsidRDefault="00AE350C" w:rsidP="00492226">
      <w:pPr>
        <w:spacing w:line="360" w:lineRule="auto"/>
        <w:jc w:val="both"/>
        <w:rPr>
          <w:rFonts w:ascii="Times New Roman" w:hAnsi="Times New Roman" w:cs="Times New Roman"/>
          <w:b/>
          <w:bCs/>
        </w:rPr>
      </w:pPr>
      <w:r w:rsidRPr="00492226">
        <w:rPr>
          <w:rFonts w:ascii="Times New Roman" w:hAnsi="Times New Roman" w:cs="Times New Roman"/>
          <w:b/>
          <w:bCs/>
        </w:rPr>
        <w:t>References</w:t>
      </w:r>
    </w:p>
    <w:p w14:paraId="34C5A619" w14:textId="77777777" w:rsidR="00492226" w:rsidRPr="00492226" w:rsidRDefault="001D7074"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highlight w:val="yellow"/>
          <w:lang/>
        </w:rPr>
        <w:fldChar w:fldCharType="begin"/>
      </w:r>
      <w:r w:rsidRPr="00492226">
        <w:rPr>
          <w:rFonts w:ascii="Times New Roman" w:hAnsi="Times New Roman" w:cs="Times New Roman"/>
          <w:highlight w:val="yellow"/>
          <w:lang/>
        </w:rPr>
        <w:instrText xml:space="preserve"> ADDIN EN.REFLIST </w:instrText>
      </w:r>
      <w:r w:rsidRPr="00492226">
        <w:rPr>
          <w:rFonts w:ascii="Times New Roman" w:hAnsi="Times New Roman" w:cs="Times New Roman"/>
          <w:highlight w:val="yellow"/>
          <w:lang/>
        </w:rPr>
        <w:fldChar w:fldCharType="separate"/>
      </w:r>
      <w:r w:rsidR="00492226" w:rsidRPr="00492226">
        <w:rPr>
          <w:rFonts w:ascii="Times New Roman" w:hAnsi="Times New Roman" w:cs="Times New Roman"/>
        </w:rPr>
        <w:t xml:space="preserve">Adams‐Prassl, J., Binns, R., &amp; Kelly‐Lyth, A. (2023). Directly discriminatory algorithms. </w:t>
      </w:r>
      <w:r w:rsidR="00492226" w:rsidRPr="00492226">
        <w:rPr>
          <w:rFonts w:ascii="Times New Roman" w:hAnsi="Times New Roman" w:cs="Times New Roman"/>
          <w:i/>
        </w:rPr>
        <w:t>The modern law review</w:t>
      </w:r>
      <w:r w:rsidR="00492226" w:rsidRPr="00492226">
        <w:rPr>
          <w:rFonts w:ascii="Times New Roman" w:hAnsi="Times New Roman" w:cs="Times New Roman"/>
        </w:rPr>
        <w:t>,</w:t>
      </w:r>
      <w:r w:rsidR="00492226" w:rsidRPr="00492226">
        <w:rPr>
          <w:rFonts w:ascii="Times New Roman" w:hAnsi="Times New Roman" w:cs="Times New Roman"/>
          <w:i/>
        </w:rPr>
        <w:t xml:space="preserve"> 86</w:t>
      </w:r>
      <w:r w:rsidR="00492226" w:rsidRPr="00492226">
        <w:rPr>
          <w:rFonts w:ascii="Times New Roman" w:hAnsi="Times New Roman" w:cs="Times New Roman"/>
        </w:rPr>
        <w:t xml:space="preserve">(1), 144-175. </w:t>
      </w:r>
    </w:p>
    <w:p w14:paraId="317E63E5"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t xml:space="preserve">Azim, H., Johnston, A.-L., Nixon, M., Woodliffe, J. L., Theunissen, R., Suresh, R., Sivapalan, S., Bobo, J., &amp; Licence, P. (2025). Collaborating for Impact: Navigating Partnerships and Overcoming Challenges across the Sustainable Development Goals. </w:t>
      </w:r>
      <w:r w:rsidRPr="00492226">
        <w:rPr>
          <w:rFonts w:ascii="Times New Roman" w:hAnsi="Times New Roman" w:cs="Times New Roman"/>
          <w:i/>
        </w:rPr>
        <w:t>ACS Sustainable Chemistry &amp; Engineering</w:t>
      </w:r>
      <w:r w:rsidRPr="00492226">
        <w:rPr>
          <w:rFonts w:ascii="Times New Roman" w:hAnsi="Times New Roman" w:cs="Times New Roman"/>
        </w:rPr>
        <w:t>,</w:t>
      </w:r>
      <w:r w:rsidRPr="00492226">
        <w:rPr>
          <w:rFonts w:ascii="Times New Roman" w:hAnsi="Times New Roman" w:cs="Times New Roman"/>
          <w:i/>
        </w:rPr>
        <w:t xml:space="preserve"> 13</w:t>
      </w:r>
      <w:r w:rsidRPr="00492226">
        <w:rPr>
          <w:rFonts w:ascii="Times New Roman" w:hAnsi="Times New Roman" w:cs="Times New Roman"/>
        </w:rPr>
        <w:t xml:space="preserve">(3), 1164-1173. </w:t>
      </w:r>
    </w:p>
    <w:p w14:paraId="62CBE2C4"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t xml:space="preserve">Creemers, R. (2022). China’s emerging data protection framework. </w:t>
      </w:r>
      <w:r w:rsidRPr="00492226">
        <w:rPr>
          <w:rFonts w:ascii="Times New Roman" w:hAnsi="Times New Roman" w:cs="Times New Roman"/>
          <w:i/>
        </w:rPr>
        <w:t>Journal of Cybersecurity</w:t>
      </w:r>
      <w:r w:rsidRPr="00492226">
        <w:rPr>
          <w:rFonts w:ascii="Times New Roman" w:hAnsi="Times New Roman" w:cs="Times New Roman"/>
        </w:rPr>
        <w:t>,</w:t>
      </w:r>
      <w:r w:rsidRPr="00492226">
        <w:rPr>
          <w:rFonts w:ascii="Times New Roman" w:hAnsi="Times New Roman" w:cs="Times New Roman"/>
          <w:i/>
        </w:rPr>
        <w:t xml:space="preserve"> 8</w:t>
      </w:r>
      <w:r w:rsidRPr="00492226">
        <w:rPr>
          <w:rFonts w:ascii="Times New Roman" w:hAnsi="Times New Roman" w:cs="Times New Roman"/>
        </w:rPr>
        <w:t xml:space="preserve">(1), tyac011. </w:t>
      </w:r>
    </w:p>
    <w:p w14:paraId="2079970F"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t xml:space="preserve">Gandhi, T. K., Classen, D., Sinsky, C. A., Rhew, D. C., Vande Garde, N., Roberts, A., &amp; Federico, F. (2023). How can artificial intelligence decrease cognitive and work burden for front line practitioners? </w:t>
      </w:r>
      <w:r w:rsidRPr="00492226">
        <w:rPr>
          <w:rFonts w:ascii="Times New Roman" w:hAnsi="Times New Roman" w:cs="Times New Roman"/>
          <w:i/>
        </w:rPr>
        <w:t>JAMIA open</w:t>
      </w:r>
      <w:r w:rsidRPr="00492226">
        <w:rPr>
          <w:rFonts w:ascii="Times New Roman" w:hAnsi="Times New Roman" w:cs="Times New Roman"/>
        </w:rPr>
        <w:t>,</w:t>
      </w:r>
      <w:r w:rsidRPr="00492226">
        <w:rPr>
          <w:rFonts w:ascii="Times New Roman" w:hAnsi="Times New Roman" w:cs="Times New Roman"/>
          <w:i/>
        </w:rPr>
        <w:t xml:space="preserve"> 6</w:t>
      </w:r>
      <w:r w:rsidRPr="00492226">
        <w:rPr>
          <w:rFonts w:ascii="Times New Roman" w:hAnsi="Times New Roman" w:cs="Times New Roman"/>
        </w:rPr>
        <w:t xml:space="preserve">(3), ooad079. </w:t>
      </w:r>
    </w:p>
    <w:p w14:paraId="194B176C"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t xml:space="preserve">Hamerton, C. (2025). The Equality Act 2010: evaluating the evolution and development of organisational strategy and professional practice. </w:t>
      </w:r>
      <w:r w:rsidRPr="00492226">
        <w:rPr>
          <w:rFonts w:ascii="Times New Roman" w:hAnsi="Times New Roman" w:cs="Times New Roman"/>
          <w:i/>
        </w:rPr>
        <w:t>Strategic HR Review</w:t>
      </w:r>
      <w:r w:rsidRPr="00492226">
        <w:rPr>
          <w:rFonts w:ascii="Times New Roman" w:hAnsi="Times New Roman" w:cs="Times New Roman"/>
        </w:rPr>
        <w:t>,</w:t>
      </w:r>
      <w:r w:rsidRPr="00492226">
        <w:rPr>
          <w:rFonts w:ascii="Times New Roman" w:hAnsi="Times New Roman" w:cs="Times New Roman"/>
          <w:i/>
        </w:rPr>
        <w:t xml:space="preserve"> 24</w:t>
      </w:r>
      <w:r w:rsidRPr="00492226">
        <w:rPr>
          <w:rFonts w:ascii="Times New Roman" w:hAnsi="Times New Roman" w:cs="Times New Roman"/>
        </w:rPr>
        <w:t xml:space="preserve">(1), 30-35. </w:t>
      </w:r>
    </w:p>
    <w:p w14:paraId="364FAE0C"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t xml:space="preserve">Khadija, E., &amp; Omar, T. (2023). Literature review on knowledge transfer models: From Shannon-Weaver (1949) to Kostova (1999). </w:t>
      </w:r>
      <w:r w:rsidRPr="00492226">
        <w:rPr>
          <w:rFonts w:ascii="Times New Roman" w:hAnsi="Times New Roman" w:cs="Times New Roman"/>
          <w:i/>
        </w:rPr>
        <w:t>African Scientific Journal</w:t>
      </w:r>
      <w:r w:rsidRPr="00492226">
        <w:rPr>
          <w:rFonts w:ascii="Times New Roman" w:hAnsi="Times New Roman" w:cs="Times New Roman"/>
        </w:rPr>
        <w:t>,</w:t>
      </w:r>
      <w:r w:rsidRPr="00492226">
        <w:rPr>
          <w:rFonts w:ascii="Times New Roman" w:hAnsi="Times New Roman" w:cs="Times New Roman"/>
          <w:i/>
        </w:rPr>
        <w:t xml:space="preserve"> 3</w:t>
      </w:r>
      <w:r w:rsidRPr="00492226">
        <w:rPr>
          <w:rFonts w:ascii="Times New Roman" w:hAnsi="Times New Roman" w:cs="Times New Roman"/>
        </w:rPr>
        <w:t xml:space="preserve">(21), 548-548. </w:t>
      </w:r>
    </w:p>
    <w:p w14:paraId="331B7628"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lastRenderedPageBreak/>
        <w:t xml:space="preserve">Leon, C., &amp; Lipuma, J. (2024). Overcoming obstacles to interdisciplinary research: Empirical insights and strategies. </w:t>
      </w:r>
      <w:r w:rsidRPr="00492226">
        <w:rPr>
          <w:rFonts w:ascii="Times New Roman" w:hAnsi="Times New Roman" w:cs="Times New Roman"/>
          <w:i/>
        </w:rPr>
        <w:t>Journal on Systemics, Cybernetics and Informatics</w:t>
      </w:r>
      <w:r w:rsidRPr="00492226">
        <w:rPr>
          <w:rFonts w:ascii="Times New Roman" w:hAnsi="Times New Roman" w:cs="Times New Roman"/>
        </w:rPr>
        <w:t>,</w:t>
      </w:r>
      <w:r w:rsidRPr="00492226">
        <w:rPr>
          <w:rFonts w:ascii="Times New Roman" w:hAnsi="Times New Roman" w:cs="Times New Roman"/>
          <w:i/>
        </w:rPr>
        <w:t xml:space="preserve"> 22</w:t>
      </w:r>
      <w:r w:rsidRPr="00492226">
        <w:rPr>
          <w:rFonts w:ascii="Times New Roman" w:hAnsi="Times New Roman" w:cs="Times New Roman"/>
        </w:rPr>
        <w:t xml:space="preserve">(6), 18-34. </w:t>
      </w:r>
    </w:p>
    <w:p w14:paraId="2A305489"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t xml:space="preserve">Muljadi, C., Idawati, L., &amp; Ardi, A. (2022). Developing Leadership Skills in Administrative Staff Through Professional Development Program at School Pelita Harapan. </w:t>
      </w:r>
      <w:r w:rsidRPr="00492226">
        <w:rPr>
          <w:rFonts w:ascii="Times New Roman" w:hAnsi="Times New Roman" w:cs="Times New Roman"/>
          <w:i/>
        </w:rPr>
        <w:t>JIIP-Jurnal Ilmiah Ilmu Pendidikan</w:t>
      </w:r>
      <w:r w:rsidRPr="00492226">
        <w:rPr>
          <w:rFonts w:ascii="Times New Roman" w:hAnsi="Times New Roman" w:cs="Times New Roman"/>
        </w:rPr>
        <w:t>,</w:t>
      </w:r>
      <w:r w:rsidRPr="00492226">
        <w:rPr>
          <w:rFonts w:ascii="Times New Roman" w:hAnsi="Times New Roman" w:cs="Times New Roman"/>
          <w:i/>
        </w:rPr>
        <w:t xml:space="preserve"> 5</w:t>
      </w:r>
      <w:r w:rsidRPr="00492226">
        <w:rPr>
          <w:rFonts w:ascii="Times New Roman" w:hAnsi="Times New Roman" w:cs="Times New Roman"/>
        </w:rPr>
        <w:t xml:space="preserve">(7), 2547-2553. </w:t>
      </w:r>
    </w:p>
    <w:p w14:paraId="0E32F022"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t xml:space="preserve">Parker, S., Hartley, J., Beashel, J., &amp; Vo, Q. (2023). Leading for public value in multi-agency collaboration. </w:t>
      </w:r>
      <w:r w:rsidRPr="00492226">
        <w:rPr>
          <w:rFonts w:ascii="Times New Roman" w:hAnsi="Times New Roman" w:cs="Times New Roman"/>
          <w:i/>
        </w:rPr>
        <w:t>Public Policy and Administration</w:t>
      </w:r>
      <w:r w:rsidRPr="00492226">
        <w:rPr>
          <w:rFonts w:ascii="Times New Roman" w:hAnsi="Times New Roman" w:cs="Times New Roman"/>
        </w:rPr>
        <w:t>,</w:t>
      </w:r>
      <w:r w:rsidRPr="00492226">
        <w:rPr>
          <w:rFonts w:ascii="Times New Roman" w:hAnsi="Times New Roman" w:cs="Times New Roman"/>
          <w:i/>
        </w:rPr>
        <w:t xml:space="preserve"> 38</w:t>
      </w:r>
      <w:r w:rsidRPr="00492226">
        <w:rPr>
          <w:rFonts w:ascii="Times New Roman" w:hAnsi="Times New Roman" w:cs="Times New Roman"/>
        </w:rPr>
        <w:t xml:space="preserve">(1), 83-106. </w:t>
      </w:r>
    </w:p>
    <w:p w14:paraId="247BB431"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t xml:space="preserve">Peukert, C., Bechtold, S., Batikas, M., &amp; Kretschmer, T. (2022). Regulatory spillovers and data governance: Evidence from the GDPR. </w:t>
      </w:r>
      <w:r w:rsidRPr="00492226">
        <w:rPr>
          <w:rFonts w:ascii="Times New Roman" w:hAnsi="Times New Roman" w:cs="Times New Roman"/>
          <w:i/>
        </w:rPr>
        <w:t>Marketing Science</w:t>
      </w:r>
      <w:r w:rsidRPr="00492226">
        <w:rPr>
          <w:rFonts w:ascii="Times New Roman" w:hAnsi="Times New Roman" w:cs="Times New Roman"/>
        </w:rPr>
        <w:t>,</w:t>
      </w:r>
      <w:r w:rsidRPr="00492226">
        <w:rPr>
          <w:rFonts w:ascii="Times New Roman" w:hAnsi="Times New Roman" w:cs="Times New Roman"/>
          <w:i/>
        </w:rPr>
        <w:t xml:space="preserve"> 41</w:t>
      </w:r>
      <w:r w:rsidRPr="00492226">
        <w:rPr>
          <w:rFonts w:ascii="Times New Roman" w:hAnsi="Times New Roman" w:cs="Times New Roman"/>
        </w:rPr>
        <w:t xml:space="preserve">(4), 746-768. </w:t>
      </w:r>
    </w:p>
    <w:p w14:paraId="348394BC" w14:textId="77777777" w:rsidR="00492226" w:rsidRPr="00492226" w:rsidRDefault="00492226" w:rsidP="00492226">
      <w:pPr>
        <w:pStyle w:val="EndNoteBibliography"/>
        <w:spacing w:after="0" w:line="360" w:lineRule="auto"/>
        <w:ind w:left="720" w:hanging="720"/>
        <w:rPr>
          <w:rFonts w:ascii="Times New Roman" w:hAnsi="Times New Roman" w:cs="Times New Roman"/>
        </w:rPr>
      </w:pPr>
      <w:r w:rsidRPr="00492226">
        <w:rPr>
          <w:rFonts w:ascii="Times New Roman" w:hAnsi="Times New Roman" w:cs="Times New Roman"/>
        </w:rPr>
        <w:t xml:space="preserve">Tseer, T., Musah, H., &amp; Avogo, J. (2023). Multi-agency collaboration in conflict resolution: a case study of the Bole traditional area. </w:t>
      </w:r>
      <w:r w:rsidRPr="00492226">
        <w:rPr>
          <w:rFonts w:ascii="Times New Roman" w:hAnsi="Times New Roman" w:cs="Times New Roman"/>
          <w:i/>
        </w:rPr>
        <w:t>Society</w:t>
      </w:r>
      <w:r w:rsidRPr="00492226">
        <w:rPr>
          <w:rFonts w:ascii="Times New Roman" w:hAnsi="Times New Roman" w:cs="Times New Roman"/>
        </w:rPr>
        <w:t>,</w:t>
      </w:r>
      <w:r w:rsidRPr="00492226">
        <w:rPr>
          <w:rFonts w:ascii="Times New Roman" w:hAnsi="Times New Roman" w:cs="Times New Roman"/>
          <w:i/>
        </w:rPr>
        <w:t xml:space="preserve"> 60</w:t>
      </w:r>
      <w:r w:rsidRPr="00492226">
        <w:rPr>
          <w:rFonts w:ascii="Times New Roman" w:hAnsi="Times New Roman" w:cs="Times New Roman"/>
        </w:rPr>
        <w:t xml:space="preserve">(2), 200-211. </w:t>
      </w:r>
    </w:p>
    <w:p w14:paraId="52A13C43" w14:textId="77777777" w:rsidR="00492226" w:rsidRPr="00492226" w:rsidRDefault="00492226" w:rsidP="00492226">
      <w:pPr>
        <w:pStyle w:val="EndNoteBibliography"/>
        <w:spacing w:line="360" w:lineRule="auto"/>
        <w:ind w:left="720" w:hanging="720"/>
        <w:rPr>
          <w:rFonts w:ascii="Times New Roman" w:hAnsi="Times New Roman" w:cs="Times New Roman"/>
        </w:rPr>
      </w:pPr>
      <w:r w:rsidRPr="00492226">
        <w:rPr>
          <w:rFonts w:ascii="Times New Roman" w:hAnsi="Times New Roman" w:cs="Times New Roman"/>
        </w:rPr>
        <w:t xml:space="preserve">Zhang, M., Zhu, G., Wang, S., Jiang, J., Liao, Q., Zhong, C., &amp; Cui, S. (2022). Communication-efficient federated edge learning via optimal probabilistic device scheduling. </w:t>
      </w:r>
      <w:r w:rsidRPr="00492226">
        <w:rPr>
          <w:rFonts w:ascii="Times New Roman" w:hAnsi="Times New Roman" w:cs="Times New Roman"/>
          <w:i/>
        </w:rPr>
        <w:t>IEEE Transactions on Wireless Communications</w:t>
      </w:r>
      <w:r w:rsidRPr="00492226">
        <w:rPr>
          <w:rFonts w:ascii="Times New Roman" w:hAnsi="Times New Roman" w:cs="Times New Roman"/>
        </w:rPr>
        <w:t>,</w:t>
      </w:r>
      <w:r w:rsidRPr="00492226">
        <w:rPr>
          <w:rFonts w:ascii="Times New Roman" w:hAnsi="Times New Roman" w:cs="Times New Roman"/>
          <w:i/>
        </w:rPr>
        <w:t xml:space="preserve"> 21</w:t>
      </w:r>
      <w:r w:rsidRPr="00492226">
        <w:rPr>
          <w:rFonts w:ascii="Times New Roman" w:hAnsi="Times New Roman" w:cs="Times New Roman"/>
        </w:rPr>
        <w:t xml:space="preserve">(10), 8536-8551. </w:t>
      </w:r>
    </w:p>
    <w:p w14:paraId="3C9875FE" w14:textId="5B8D3118" w:rsidR="00AE350C" w:rsidRPr="00492226" w:rsidRDefault="001D7074" w:rsidP="00492226">
      <w:pPr>
        <w:spacing w:line="360" w:lineRule="auto"/>
        <w:jc w:val="both"/>
        <w:rPr>
          <w:rFonts w:ascii="Times New Roman" w:hAnsi="Times New Roman" w:cs="Times New Roman"/>
          <w:highlight w:val="yellow"/>
        </w:rPr>
      </w:pPr>
      <w:r w:rsidRPr="00492226">
        <w:rPr>
          <w:rFonts w:ascii="Times New Roman" w:hAnsi="Times New Roman" w:cs="Times New Roman"/>
          <w:highlight w:val="yellow"/>
        </w:rPr>
        <w:fldChar w:fldCharType="end"/>
      </w:r>
    </w:p>
    <w:sectPr w:rsidR="00AE350C" w:rsidRPr="0049222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F7132" w14:textId="77777777" w:rsidR="00690807" w:rsidRDefault="00690807" w:rsidP="00AE31F6">
      <w:pPr>
        <w:spacing w:after="0" w:line="240" w:lineRule="auto"/>
      </w:pPr>
      <w:r>
        <w:separator/>
      </w:r>
    </w:p>
  </w:endnote>
  <w:endnote w:type="continuationSeparator" w:id="0">
    <w:p w14:paraId="64352EC8" w14:textId="77777777" w:rsidR="00690807" w:rsidRDefault="00690807" w:rsidP="00AE3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D4CD7" w14:textId="77777777" w:rsidR="00690807" w:rsidRDefault="00690807" w:rsidP="00AE31F6">
      <w:pPr>
        <w:spacing w:after="0" w:line="240" w:lineRule="auto"/>
      </w:pPr>
      <w:r>
        <w:separator/>
      </w:r>
    </w:p>
  </w:footnote>
  <w:footnote w:type="continuationSeparator" w:id="0">
    <w:p w14:paraId="2DBD561B" w14:textId="77777777" w:rsidR="00690807" w:rsidRDefault="00690807" w:rsidP="00AE31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17540" w14:textId="5C095719" w:rsidR="00AE31F6" w:rsidRPr="00D861F8" w:rsidRDefault="00AE31F6">
    <w:pPr>
      <w:pStyle w:val="Header"/>
      <w:rPr>
        <w:b/>
        <w:bCs/>
        <w:lang w:val="en-GB"/>
      </w:rPr>
    </w:pPr>
    <w:r w:rsidRPr="00D861F8">
      <w:rPr>
        <w:b/>
        <w:bCs/>
        <w:lang w:val="en-GB"/>
      </w:rPr>
      <w:t>MARCELLY MOQUETE DE VOLQUEZ</w:t>
    </w:r>
  </w:p>
  <w:p w14:paraId="78B3B244" w14:textId="775369D6" w:rsidR="00AE31F6" w:rsidRPr="00D861F8" w:rsidRDefault="00C827EE">
    <w:pPr>
      <w:pStyle w:val="Header"/>
      <w:rPr>
        <w:b/>
        <w:bCs/>
        <w:lang w:val="en-GB"/>
      </w:rPr>
    </w:pPr>
    <w:r w:rsidRPr="00D861F8">
      <w:rPr>
        <w:b/>
        <w:bCs/>
        <w:lang w:val="en-GB"/>
      </w:rPr>
      <w:t>ID. 2510</w:t>
    </w:r>
    <w:r w:rsidR="00D861F8" w:rsidRPr="00D861F8">
      <w:rPr>
        <w:b/>
        <w:bCs/>
        <w:lang w:val="en-GB"/>
      </w:rPr>
      <w:t>498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Aptos&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f0vd2sab5v95xedasvptpfttaxrw2r9wvar&quot;&gt;My EndNote Library&lt;record-ids&gt;&lt;item&gt;377&lt;/item&gt;&lt;item&gt;378&lt;/item&gt;&lt;item&gt;379&lt;/item&gt;&lt;item&gt;380&lt;/item&gt;&lt;item&gt;381&lt;/item&gt;&lt;item&gt;382&lt;/item&gt;&lt;item&gt;383&lt;/item&gt;&lt;item&gt;384&lt;/item&gt;&lt;item&gt;385&lt;/item&gt;&lt;item&gt;386&lt;/item&gt;&lt;item&gt;387&lt;/item&gt;&lt;item&gt;388&lt;/item&gt;&lt;/record-ids&gt;&lt;/item&gt;&lt;/Libraries&gt;"/>
  </w:docVars>
  <w:rsids>
    <w:rsidRoot w:val="005B13AB"/>
    <w:rsid w:val="00122719"/>
    <w:rsid w:val="001D7074"/>
    <w:rsid w:val="003E4CF1"/>
    <w:rsid w:val="0041676C"/>
    <w:rsid w:val="00492226"/>
    <w:rsid w:val="005B13AB"/>
    <w:rsid w:val="00690807"/>
    <w:rsid w:val="007F3476"/>
    <w:rsid w:val="00930ED7"/>
    <w:rsid w:val="00A60887"/>
    <w:rsid w:val="00AE31F6"/>
    <w:rsid w:val="00AE350C"/>
    <w:rsid w:val="00C827EE"/>
    <w:rsid w:val="00D1007C"/>
    <w:rsid w:val="00D32B84"/>
    <w:rsid w:val="00D861F8"/>
    <w:rsid w:val="00DE4700"/>
    <w:rsid w:val="00F0374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B4E0D"/>
  <w15:chartTrackingRefBased/>
  <w15:docId w15:val="{5697BEDD-DD5B-46B9-BD9D-82A42313E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3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13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13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3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3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3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3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3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3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3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13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13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3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3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3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3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3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3AB"/>
    <w:rPr>
      <w:rFonts w:eastAsiaTheme="majorEastAsia" w:cstheme="majorBidi"/>
      <w:color w:val="272727" w:themeColor="text1" w:themeTint="D8"/>
    </w:rPr>
  </w:style>
  <w:style w:type="paragraph" w:styleId="Title">
    <w:name w:val="Title"/>
    <w:basedOn w:val="Normal"/>
    <w:next w:val="Normal"/>
    <w:link w:val="TitleChar"/>
    <w:uiPriority w:val="10"/>
    <w:qFormat/>
    <w:rsid w:val="005B13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3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3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3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3AB"/>
    <w:pPr>
      <w:spacing w:before="160"/>
      <w:jc w:val="center"/>
    </w:pPr>
    <w:rPr>
      <w:i/>
      <w:iCs/>
      <w:color w:val="404040" w:themeColor="text1" w:themeTint="BF"/>
    </w:rPr>
  </w:style>
  <w:style w:type="character" w:customStyle="1" w:styleId="QuoteChar">
    <w:name w:val="Quote Char"/>
    <w:basedOn w:val="DefaultParagraphFont"/>
    <w:link w:val="Quote"/>
    <w:uiPriority w:val="29"/>
    <w:rsid w:val="005B13AB"/>
    <w:rPr>
      <w:i/>
      <w:iCs/>
      <w:color w:val="404040" w:themeColor="text1" w:themeTint="BF"/>
    </w:rPr>
  </w:style>
  <w:style w:type="paragraph" w:styleId="ListParagraph">
    <w:name w:val="List Paragraph"/>
    <w:basedOn w:val="Normal"/>
    <w:uiPriority w:val="34"/>
    <w:qFormat/>
    <w:rsid w:val="005B13AB"/>
    <w:pPr>
      <w:ind w:left="720"/>
      <w:contextualSpacing/>
    </w:pPr>
  </w:style>
  <w:style w:type="character" w:styleId="IntenseEmphasis">
    <w:name w:val="Intense Emphasis"/>
    <w:basedOn w:val="DefaultParagraphFont"/>
    <w:uiPriority w:val="21"/>
    <w:qFormat/>
    <w:rsid w:val="005B13AB"/>
    <w:rPr>
      <w:i/>
      <w:iCs/>
      <w:color w:val="0F4761" w:themeColor="accent1" w:themeShade="BF"/>
    </w:rPr>
  </w:style>
  <w:style w:type="paragraph" w:styleId="IntenseQuote">
    <w:name w:val="Intense Quote"/>
    <w:basedOn w:val="Normal"/>
    <w:next w:val="Normal"/>
    <w:link w:val="IntenseQuoteChar"/>
    <w:uiPriority w:val="30"/>
    <w:qFormat/>
    <w:rsid w:val="005B13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3AB"/>
    <w:rPr>
      <w:i/>
      <w:iCs/>
      <w:color w:val="0F4761" w:themeColor="accent1" w:themeShade="BF"/>
    </w:rPr>
  </w:style>
  <w:style w:type="character" w:styleId="IntenseReference">
    <w:name w:val="Intense Reference"/>
    <w:basedOn w:val="DefaultParagraphFont"/>
    <w:uiPriority w:val="32"/>
    <w:qFormat/>
    <w:rsid w:val="005B13AB"/>
    <w:rPr>
      <w:b/>
      <w:bCs/>
      <w:smallCaps/>
      <w:color w:val="0F4761" w:themeColor="accent1" w:themeShade="BF"/>
      <w:spacing w:val="5"/>
    </w:rPr>
  </w:style>
  <w:style w:type="paragraph" w:customStyle="1" w:styleId="EndNoteBibliographyTitle">
    <w:name w:val="EndNote Bibliography Title"/>
    <w:basedOn w:val="Normal"/>
    <w:link w:val="EndNoteBibliographyTitleChar"/>
    <w:rsid w:val="001D7074"/>
    <w:pPr>
      <w:spacing w:after="0"/>
      <w:jc w:val="center"/>
    </w:pPr>
    <w:rPr>
      <w:rFonts w:ascii="Aptos" w:hAnsi="Aptos"/>
      <w:noProof/>
      <w:lang w:val="en-US"/>
    </w:rPr>
  </w:style>
  <w:style w:type="character" w:customStyle="1" w:styleId="EndNoteBibliographyTitleChar">
    <w:name w:val="EndNote Bibliography Title Char"/>
    <w:basedOn w:val="DefaultParagraphFont"/>
    <w:link w:val="EndNoteBibliographyTitle"/>
    <w:rsid w:val="001D7074"/>
    <w:rPr>
      <w:rFonts w:ascii="Aptos" w:hAnsi="Aptos"/>
      <w:noProof/>
      <w:lang w:val="en-US"/>
    </w:rPr>
  </w:style>
  <w:style w:type="paragraph" w:customStyle="1" w:styleId="EndNoteBibliography">
    <w:name w:val="EndNote Bibliography"/>
    <w:basedOn w:val="Normal"/>
    <w:link w:val="EndNoteBibliographyChar"/>
    <w:rsid w:val="001D7074"/>
    <w:pPr>
      <w:spacing w:line="240" w:lineRule="auto"/>
      <w:jc w:val="both"/>
    </w:pPr>
    <w:rPr>
      <w:rFonts w:ascii="Aptos" w:hAnsi="Aptos"/>
      <w:noProof/>
      <w:lang w:val="en-US"/>
    </w:rPr>
  </w:style>
  <w:style w:type="character" w:customStyle="1" w:styleId="EndNoteBibliographyChar">
    <w:name w:val="EndNote Bibliography Char"/>
    <w:basedOn w:val="DefaultParagraphFont"/>
    <w:link w:val="EndNoteBibliography"/>
    <w:rsid w:val="001D7074"/>
    <w:rPr>
      <w:rFonts w:ascii="Aptos" w:hAnsi="Aptos"/>
      <w:noProof/>
      <w:lang w:val="en-US"/>
    </w:rPr>
  </w:style>
  <w:style w:type="paragraph" w:styleId="Header">
    <w:name w:val="header"/>
    <w:basedOn w:val="Normal"/>
    <w:link w:val="HeaderChar"/>
    <w:uiPriority w:val="99"/>
    <w:unhideWhenUsed/>
    <w:rsid w:val="00AE31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1F6"/>
  </w:style>
  <w:style w:type="paragraph" w:styleId="Footer">
    <w:name w:val="footer"/>
    <w:basedOn w:val="Normal"/>
    <w:link w:val="FooterChar"/>
    <w:uiPriority w:val="99"/>
    <w:unhideWhenUsed/>
    <w:rsid w:val="00AE3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1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83</TotalTime>
  <Pages>6</Pages>
  <Words>3614</Words>
  <Characters>20606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Hammad Haider</dc:creator>
  <cp:keywords/>
  <dc:description/>
  <cp:lastModifiedBy>marcelly moquete</cp:lastModifiedBy>
  <cp:revision>8</cp:revision>
  <dcterms:created xsi:type="dcterms:W3CDTF">2026-04-22T20:34:00Z</dcterms:created>
  <dcterms:modified xsi:type="dcterms:W3CDTF">2026-04-23T20:25:00Z</dcterms:modified>
</cp:coreProperties>
</file>