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header3.xml" ContentType="application/vnd.openxmlformats-officedocument.wordprocessingml.header+xml"/>
  <Override PartName="/word/styles.xml" ContentType="application/vnd.openxmlformats-officedocument.wordprocessingml.styles+xml"/>
  <Override PartName="/word/footer1.xml" ContentType="application/vnd.openxmlformats-officedocument.wordprocessingml.footer+xml"/>
  <Override PartName="/word/document.xml" ContentType="application/vnd.openxmlformats-officedocument.wordprocessingml.document.main+xml"/>
  <Override PartName="/word/header2.xml" ContentType="application/vnd.openxmlformats-officedocument.wordprocessingml.header+xml"/>
  <Override PartName="/word/header1.xml" ContentType="application/vnd.openxmlformats-officedocument.wordprocessingml.header+xml"/>
  <Override PartName="/word/footer3.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bidi w:val="0"/>
        <w:spacing w:lineRule="auto" w:line="276" w:before="0" w:after="200"/>
        <w:jc w:val="center"/>
        <w:rPr>
          <w:sz w:val="24"/>
          <w:szCs w:val="24"/>
        </w:rPr>
      </w:pPr>
      <w:r>
        <w:rPr>
          <w:rFonts w:eastAsia="Times New Roman" w:cs="Times New Roman"/>
          <w:b/>
          <w:sz w:val="24"/>
          <w:szCs w:val="24"/>
        </w:rPr>
        <w:t>UNIVERSITY OF WALES TRINITY SAINT DAVID</w:t>
      </w:r>
    </w:p>
    <w:p>
      <w:pPr>
        <w:pStyle w:val="Normal"/>
        <w:bidi w:val="0"/>
        <w:spacing w:lineRule="auto" w:line="276" w:before="0" w:after="200"/>
        <w:jc w:val="center"/>
        <w:rPr>
          <w:rFonts w:ascii="Arial" w:hAnsi="Arial"/>
          <w:sz w:val="24"/>
          <w:szCs w:val="24"/>
        </w:rPr>
      </w:pPr>
      <w:r>
        <w:rPr>
          <w:sz w:val="24"/>
          <w:szCs w:val="24"/>
        </w:rPr>
      </w:r>
    </w:p>
    <w:p>
      <w:pPr>
        <w:pStyle w:val="Normal"/>
        <w:spacing w:lineRule="auto" w:line="276" w:before="0" w:after="200"/>
        <w:jc w:val="center"/>
        <w:rPr>
          <w:sz w:val="24"/>
          <w:szCs w:val="24"/>
        </w:rPr>
      </w:pPr>
      <w:r>
        <w:rPr>
          <w:rFonts w:eastAsia="Times New Roman" w:cs="Times New Roman"/>
          <w:b/>
          <w:sz w:val="24"/>
          <w:szCs w:val="24"/>
        </w:rPr>
        <w:t>Master of Business Administration (MBA)</w:t>
      </w:r>
    </w:p>
    <w:p>
      <w:pPr>
        <w:pStyle w:val="Normal"/>
        <w:spacing w:lineRule="auto" w:line="276" w:before="0" w:after="200"/>
        <w:jc w:val="center"/>
        <w:rPr>
          <w:sz w:val="24"/>
          <w:szCs w:val="24"/>
        </w:rPr>
      </w:pPr>
      <w:r>
        <w:rPr>
          <w:rFonts w:eastAsia="Times New Roman" w:cs="Times New Roman"/>
          <w:b/>
          <w:sz w:val="24"/>
          <w:szCs w:val="24"/>
        </w:rPr>
        <w:t>Assessment component 1: Marketing Environment Analysis</w:t>
      </w:r>
    </w:p>
    <w:p>
      <w:pPr>
        <w:pStyle w:val="Normal"/>
        <w:spacing w:lineRule="auto" w:line="276" w:before="0" w:after="200"/>
        <w:jc w:val="center"/>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276" w:before="0" w:after="200"/>
        <w:jc w:val="center"/>
        <w:rPr>
          <w:sz w:val="24"/>
          <w:szCs w:val="24"/>
        </w:rPr>
      </w:pPr>
      <w:r>
        <w:rPr>
          <w:rFonts w:eastAsia="Times New Roman" w:cs="Times New Roman"/>
          <w:b/>
          <w:sz w:val="24"/>
          <w:szCs w:val="24"/>
        </w:rPr>
        <w:t xml:space="preserve">Student Name : </w:t>
      </w:r>
      <w:r>
        <w:rPr>
          <w:rFonts w:eastAsia="Times New Roman" w:cs="Times New Roman"/>
          <w:b w:val="false"/>
          <w:bCs w:val="false"/>
          <w:sz w:val="24"/>
          <w:szCs w:val="24"/>
        </w:rPr>
        <w:t>Krishna Lakhu Khunti</w:t>
      </w:r>
    </w:p>
    <w:p>
      <w:pPr>
        <w:pStyle w:val="Normal"/>
        <w:bidi w:val="0"/>
        <w:spacing w:lineRule="auto" w:line="276" w:before="0" w:after="200"/>
        <w:jc w:val="center"/>
        <w:rPr>
          <w:sz w:val="24"/>
          <w:szCs w:val="24"/>
        </w:rPr>
      </w:pPr>
      <w:r>
        <w:rPr>
          <w:rFonts w:eastAsia="Times New Roman" w:cs="Times New Roman"/>
          <w:b/>
          <w:sz w:val="24"/>
          <w:szCs w:val="24"/>
        </w:rPr>
        <w:t xml:space="preserve">Student ID : </w:t>
      </w:r>
      <w:r>
        <w:rPr>
          <w:rFonts w:eastAsia="Times New Roman" w:cs="Times New Roman"/>
          <w:b w:val="false"/>
          <w:bCs w:val="false"/>
          <w:sz w:val="24"/>
          <w:szCs w:val="24"/>
        </w:rPr>
        <w:t>2515605</w:t>
      </w:r>
      <w:r>
        <w:rPr>
          <w:rFonts w:eastAsia="Times New Roman" w:cs="Times New Roman"/>
          <w:b/>
          <w:sz w:val="24"/>
          <w:szCs w:val="24"/>
        </w:rPr>
        <w:br/>
        <w:t>Module Name:</w:t>
      </w:r>
      <w:r>
        <w:rPr>
          <w:rFonts w:eastAsia="Times New Roman" w:cs="Times New Roman"/>
          <w:b w:val="false"/>
          <w:bCs w:val="false"/>
          <w:sz w:val="24"/>
          <w:szCs w:val="24"/>
        </w:rPr>
        <w:t xml:space="preserve"> Marketing Management</w:t>
      </w:r>
    </w:p>
    <w:p>
      <w:pPr>
        <w:pStyle w:val="Normal"/>
        <w:spacing w:lineRule="auto" w:line="276" w:before="0" w:after="200"/>
        <w:jc w:val="center"/>
        <w:rPr>
          <w:sz w:val="24"/>
          <w:szCs w:val="24"/>
        </w:rPr>
      </w:pPr>
      <w:r>
        <w:rPr>
          <w:rFonts w:eastAsia="Times New Roman" w:cs="Times New Roman"/>
          <w:b/>
          <w:sz w:val="24"/>
          <w:szCs w:val="24"/>
        </w:rPr>
        <w:t xml:space="preserve">Module Code: </w:t>
      </w:r>
      <w:r>
        <w:rPr>
          <w:rFonts w:eastAsia="Times New Roman" w:cs="Times New Roman"/>
          <w:b w:val="false"/>
          <w:bCs w:val="false"/>
          <w:sz w:val="24"/>
          <w:szCs w:val="24"/>
        </w:rPr>
        <w:t>LCMB7024</w:t>
      </w:r>
    </w:p>
    <w:p>
      <w:pPr>
        <w:pStyle w:val="Normal"/>
        <w:spacing w:lineRule="auto" w:line="276" w:before="0" w:after="200"/>
        <w:jc w:val="center"/>
        <w:rPr>
          <w:sz w:val="24"/>
          <w:szCs w:val="24"/>
        </w:rPr>
      </w:pPr>
      <w:r>
        <w:rPr>
          <w:rFonts w:eastAsia="Times New Roman" w:cs="Times New Roman"/>
          <w:b/>
          <w:sz w:val="24"/>
          <w:szCs w:val="24"/>
        </w:rPr>
        <w:t>Lecturere’s Name:</w:t>
      </w:r>
      <w:r>
        <w:rPr>
          <w:sz w:val="24"/>
          <w:szCs w:val="24"/>
        </w:rPr>
        <w:t xml:space="preserve"> Laila Maazouz</w:t>
      </w:r>
    </w:p>
    <w:p>
      <w:pPr>
        <w:pStyle w:val="Normal"/>
        <w:spacing w:lineRule="auto" w:line="276" w:before="0" w:after="200"/>
        <w:jc w:val="center"/>
        <w:rPr>
          <w:sz w:val="24"/>
          <w:szCs w:val="24"/>
        </w:rPr>
      </w:pPr>
      <w:r>
        <w:rPr>
          <w:sz w:val="24"/>
          <w:szCs w:val="24"/>
        </w:rPr>
        <w:t xml:space="preserve">Dian Mayasari </w:t>
      </w:r>
    </w:p>
    <w:p>
      <w:pPr>
        <w:pStyle w:val="Normal"/>
        <w:spacing w:lineRule="auto" w:line="276" w:before="0" w:after="200"/>
        <w:jc w:val="center"/>
        <w:rPr>
          <w:sz w:val="24"/>
          <w:szCs w:val="24"/>
        </w:rPr>
      </w:pPr>
      <w:r>
        <w:rPr>
          <w:rFonts w:eastAsia="Times New Roman" w:cs="Times New Roman"/>
          <w:b/>
          <w:sz w:val="24"/>
          <w:szCs w:val="24"/>
        </w:rPr>
        <w:t xml:space="preserve">Word Count : </w:t>
      </w:r>
      <w:r>
        <w:rPr>
          <w:sz w:val="24"/>
          <w:szCs w:val="24"/>
        </w:rPr>
        <w:t xml:space="preserve">2,825 words (± 10%) </w:t>
      </w:r>
    </w:p>
    <w:p>
      <w:pPr>
        <w:pStyle w:val="Normal"/>
        <w:spacing w:lineRule="auto" w:line="276" w:before="0" w:after="200"/>
        <w:jc w:val="center"/>
        <w:rPr>
          <w:sz w:val="24"/>
          <w:szCs w:val="24"/>
        </w:rPr>
      </w:pPr>
      <w:r>
        <w:rPr>
          <w:rFonts w:eastAsia="Times New Roman" w:cs="Times New Roman"/>
          <w:b w:val="false"/>
          <w:bCs w:val="false"/>
          <w:sz w:val="24"/>
          <w:szCs w:val="24"/>
        </w:rPr>
        <w:t>Term 1</w:t>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r>
        <w:br w:type="page"/>
      </w:r>
    </w:p>
    <w:p>
      <w:pPr>
        <w:pStyle w:val="Normal"/>
        <w:spacing w:lineRule="auto" w:line="360" w:before="0" w:after="200"/>
        <w:jc w:val="center"/>
        <w:rPr>
          <w:sz w:val="24"/>
          <w:szCs w:val="24"/>
        </w:rPr>
      </w:pPr>
      <w:r>
        <w:rPr>
          <w:rFonts w:eastAsia="Times New Roman" w:cs="Times New Roman"/>
          <w:b/>
          <w:sz w:val="24"/>
          <w:szCs w:val="24"/>
        </w:rPr>
        <w:t>Table of contents</w:t>
      </w:r>
    </w:p>
    <w:sdt>
      <w:sdtPr>
        <w:docPartObj>
          <w:docPartGallery w:val="Table of Contents"/>
          <w:docPartUnique w:val="true"/>
        </w:docPartObj>
      </w:sdtPr>
      <w:sdtContent>
        <w:p>
          <w:pPr>
            <w:pStyle w:val="Normal"/>
            <w:widowControl w:val="false"/>
            <w:tabs>
              <w:tab w:val="clear" w:pos="720"/>
              <w:tab w:val="right" w:pos="12000" w:leader="none"/>
            </w:tabs>
            <w:spacing w:lineRule="auto" w:line="240" w:before="60" w:after="0"/>
            <w:rPr>
              <w:sz w:val="24"/>
              <w:szCs w:val="24"/>
            </w:rPr>
          </w:pPr>
          <w:r>
            <w:fldChar w:fldCharType="begin"/>
          </w:r>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instrText xml:space="preserve"> TOC \z \o "1-9" \u \t "heading 1,1,heading 2,2,heading 3,3,heading 4,4,heading 5,5,heading 6,6" \h</w:instrText>
          </w:r>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fldChar w:fldCharType="separate"/>
          </w:r>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t>0.0 Introduction ..................................................................................................       4</w:t>
          </w:r>
        </w:p>
        <w:p>
          <w:pPr>
            <w:pStyle w:val="Normal"/>
            <w:widowControl w:val="false"/>
            <w:tabs>
              <w:tab w:val="clear" w:pos="720"/>
              <w:tab w:val="right" w:pos="12000" w:leader="none"/>
            </w:tabs>
            <w:spacing w:lineRule="auto" w:line="240" w:before="60" w:after="0"/>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Task 1 :</w:t>
          </w:r>
          <w:hyperlink w:anchor="_senjvf6naum">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 xml:space="preserve"> Macro-Environmental Analysis</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xml:space="preserve"> .............................................................       5</w:t>
          </w:r>
        </w:p>
        <w:p>
          <w:pPr>
            <w:pStyle w:val="Normal"/>
            <w:widowControl w:val="false"/>
            <w:tabs>
              <w:tab w:val="clear" w:pos="720"/>
              <w:tab w:val="right" w:pos="12000" w:leader="none"/>
            </w:tabs>
            <w:bidi w:val="0"/>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1</w:t>
          </w:r>
          <w:hyperlink w:anchor="_41ec5sad3gi">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.0 Overview of the Marketing environment .............................. ..................       5</w:t>
            </w:r>
          </w:hyperlink>
        </w:p>
        <w:p>
          <w:pPr>
            <w:pStyle w:val="Normal"/>
            <w:widowControl w:val="false"/>
            <w:tabs>
              <w:tab w:val="clear" w:pos="720"/>
              <w:tab w:val="right" w:pos="12000" w:leader="none"/>
            </w:tabs>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1</w:t>
          </w:r>
          <w:hyperlink w:anchor="_qv81zexy63if">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 xml:space="preserve">.1 </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Analysis of Technological Factor ...........................................................        6</w:t>
          </w:r>
        </w:p>
        <w:p>
          <w:pPr>
            <w:pStyle w:val="Normal"/>
            <w:widowControl w:val="false"/>
            <w:tabs>
              <w:tab w:val="clear" w:pos="720"/>
              <w:tab w:val="right" w:pos="12000" w:leader="none"/>
            </w:tabs>
            <w:spacing w:lineRule="auto" w:line="240" w:before="60" w:after="0"/>
            <w:ind w:hanging="0" w:start="360"/>
            <w:rPr>
              <w:sz w:val="24"/>
              <w:szCs w:val="24"/>
            </w:rPr>
          </w:pPr>
          <w:r>
            <w:rPr>
              <w:rFonts w:eastAsia="Times New Roman" w:cs="Times New Roman"/>
              <w:b w:val="false"/>
              <w:i w:val="false"/>
              <w:caps w:val="false"/>
              <w:smallCaps w:val="false"/>
              <w:strike w:val="false"/>
              <w:dstrike w:val="false"/>
              <w:vanish w:val="false"/>
              <w:color w:val="000000"/>
              <w:sz w:val="24"/>
              <w:szCs w:val="24"/>
              <w:u w:val="none"/>
              <w:shd w:fill="auto" w:val="clear"/>
            </w:rPr>
            <w:t xml:space="preserve">1.2 </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Analysis of Legal Factor</w:t>
          </w:r>
          <w:r>
            <w:rPr>
              <w:rFonts w:eastAsia="Times New Roman" w:cs="Times New Roman"/>
              <w:b w:val="false"/>
              <w:i w:val="false"/>
              <w:caps w:val="false"/>
              <w:smallCaps w:val="false"/>
              <w:strike w:val="false"/>
              <w:dstrike w:val="false"/>
              <w:vanish w:val="false"/>
              <w:color w:val="000000"/>
              <w:sz w:val="24"/>
              <w:szCs w:val="24"/>
              <w:u w:val="none"/>
              <w:shd w:fill="auto" w:val="clear"/>
            </w:rPr>
            <w:t xml:space="preserve"> .........................................................................      </w:t>
          </w:r>
          <w:r>
            <w:rPr>
              <w:rFonts w:eastAsia="Times New Roman" w:cs="Times New Roman"/>
              <w:b w:val="false"/>
              <w:i w:val="false"/>
              <w:caps w:val="false"/>
              <w:smallCaps w:val="false"/>
              <w:strike w:val="false"/>
              <w:dstrike w:val="false"/>
              <w:vanish w:val="false"/>
              <w:color w:val="000000"/>
              <w:sz w:val="24"/>
              <w:szCs w:val="24"/>
              <w:u w:val="none"/>
              <w:shd w:fill="auto" w:val="clear"/>
            </w:rPr>
            <w:t>11</w:t>
          </w:r>
        </w:p>
        <w:p>
          <w:pPr>
            <w:pStyle w:val="Normal"/>
            <w:widowControl w:val="false"/>
            <w:tabs>
              <w:tab w:val="clear" w:pos="720"/>
              <w:tab w:val="right" w:pos="12000" w:leader="none"/>
            </w:tabs>
            <w:bidi w:val="0"/>
            <w:spacing w:lineRule="auto" w:line="240" w:before="60" w:after="0"/>
            <w:jc w:val="start"/>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Task 2 :</w:t>
          </w:r>
          <w:hyperlink w:anchor="_s512dn8amhau">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 xml:space="preserve"> </w:t>
            </w:r>
          </w:hyperlink>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t>Strategic responses ..............................................................................     1</w:t>
          </w:r>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t>3</w:t>
          </w:r>
        </w:p>
        <w:p>
          <w:pPr>
            <w:pStyle w:val="Normal"/>
            <w:widowControl w:val="false"/>
            <w:tabs>
              <w:tab w:val="clear" w:pos="720"/>
              <w:tab w:val="right" w:pos="12000" w:leader="none"/>
            </w:tabs>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2</w:t>
          </w:r>
          <w:hyperlink w:anchor="_z3b0axgo9waq">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.1 Pioneers’ responses</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xml:space="preserve"> .................................................................................    1</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4</w:t>
          </w:r>
        </w:p>
        <w:p>
          <w:pPr>
            <w:pStyle w:val="Normal"/>
            <w:widowControl w:val="false"/>
            <w:tabs>
              <w:tab w:val="clear" w:pos="720"/>
              <w:tab w:val="right" w:pos="12000" w:leader="none"/>
            </w:tabs>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2</w:t>
          </w:r>
          <w:hyperlink w:anchor="_1fuyvk1ikd6c">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.2 Followers’ response</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xml:space="preserve"> ..................................................................................   1</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6</w:t>
          </w:r>
        </w:p>
        <w:p>
          <w:pPr>
            <w:pStyle w:val="Normal"/>
            <w:widowControl w:val="false"/>
            <w:tabs>
              <w:tab w:val="clear" w:pos="720"/>
              <w:tab w:val="right" w:pos="12000" w:leader="none"/>
            </w:tabs>
            <w:spacing w:lineRule="auto" w:line="240" w:before="60" w:after="0"/>
            <w:rPr>
              <w:sz w:val="24"/>
              <w:szCs w:val="24"/>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Task 3 : Conclusion ...............................................................................................  1</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8</w:t>
          </w:r>
        </w:p>
        <w:p>
          <w:pPr>
            <w:pStyle w:val="Normal"/>
            <w:widowControl w:val="false"/>
            <w:tabs>
              <w:tab w:val="clear" w:pos="720"/>
              <w:tab w:val="right" w:pos="12000" w:leader="none"/>
            </w:tabs>
            <w:spacing w:lineRule="auto" w:line="240" w:before="60" w:after="0"/>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xml:space="preserve">      </w:t>
          </w:r>
          <w:hyperlink w:anchor="_pemnsk9klfvc">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References .....................................................................</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1</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9</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fldChar w:fldCharType="end"/>
          </w:r>
        </w:p>
      </w:sdtContent>
    </w:sdt>
    <w:p>
      <w:pPr>
        <w:pStyle w:val="Heading1"/>
        <w:spacing w:lineRule="auto" w:line="360" w:before="0" w:after="200"/>
        <w:jc w:val="both"/>
        <w:rPr>
          <w:rFonts w:ascii="Arial" w:hAnsi="Arial"/>
          <w:sz w:val="24"/>
          <w:szCs w:val="24"/>
        </w:rPr>
      </w:pPr>
      <w:r>
        <w:rPr>
          <w:rFonts w:ascii="Arial" w:hAnsi="Arial"/>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Title"/>
        <w:jc w:val="center"/>
        <w:rPr>
          <w:rFonts w:ascii="Arial" w:hAnsi="Arial"/>
          <w:sz w:val="24"/>
          <w:szCs w:val="24"/>
        </w:rPr>
      </w:pPr>
      <w:r>
        <w:rPr>
          <w:sz w:val="24"/>
          <w:szCs w:val="24"/>
        </w:rPr>
      </w:r>
    </w:p>
    <w:p>
      <w:pPr>
        <w:pStyle w:val="Title"/>
        <w:jc w:val="center"/>
        <w:rPr>
          <w:rFonts w:ascii="Arial" w:hAnsi="Arial"/>
          <w:sz w:val="24"/>
          <w:szCs w:val="24"/>
        </w:rPr>
      </w:pPr>
      <w:r>
        <w:rPr>
          <w:sz w:val="24"/>
          <w:szCs w:val="24"/>
        </w:rPr>
      </w:r>
    </w:p>
    <w:p>
      <w:pPr>
        <w:pStyle w:val="Title"/>
        <w:jc w:val="center"/>
        <w:rPr>
          <w:rFonts w:ascii="Arial" w:hAnsi="Arial"/>
          <w:sz w:val="24"/>
          <w:szCs w:val="24"/>
        </w:rPr>
      </w:pPr>
      <w:r>
        <w:rPr>
          <w:sz w:val="24"/>
          <w:szCs w:val="24"/>
        </w:rPr>
      </w:r>
    </w:p>
    <w:p>
      <w:pPr>
        <w:pStyle w:val="Title"/>
        <w:jc w:val="center"/>
        <w:rPr>
          <w:rFonts w:ascii="Arial" w:hAnsi="Arial"/>
          <w:sz w:val="24"/>
          <w:szCs w:val="24"/>
        </w:rPr>
      </w:pPr>
      <w:r>
        <w:rPr>
          <w:sz w:val="24"/>
          <w:szCs w:val="24"/>
        </w:rPr>
      </w:r>
    </w:p>
    <w:p>
      <w:pPr>
        <w:pStyle w:val="Title"/>
        <w:jc w:val="center"/>
        <w:rPr>
          <w:rFonts w:ascii="Arial" w:hAnsi="Arial"/>
          <w:sz w:val="24"/>
          <w:szCs w:val="24"/>
        </w:rPr>
      </w:pPr>
      <w:r>
        <w:rPr>
          <w:sz w:val="24"/>
          <w:szCs w:val="24"/>
        </w:rPr>
      </w:r>
    </w:p>
    <w:p>
      <w:pPr>
        <w:pStyle w:val="Title"/>
        <w:jc w:val="center"/>
        <w:rPr>
          <w:sz w:val="24"/>
          <w:szCs w:val="24"/>
        </w:rPr>
      </w:pPr>
      <w:bookmarkStart w:id="0" w:name="_myxs37s19gzj"/>
      <w:bookmarkEnd w:id="0"/>
      <w:r>
        <w:rPr>
          <w:sz w:val="24"/>
          <w:szCs w:val="24"/>
        </w:rPr>
        <w:t xml:space="preserve">How Technological Innovation and Regulatory Pressures Shape The Competitive Marketing Strategies of Pioneer and Follower Firms : </w:t>
      </w:r>
    </w:p>
    <w:p>
      <w:pPr>
        <w:pStyle w:val="Title"/>
        <w:jc w:val="center"/>
        <w:rPr>
          <w:sz w:val="24"/>
          <w:szCs w:val="24"/>
        </w:rPr>
      </w:pPr>
      <w:r>
        <w:rPr>
          <w:sz w:val="24"/>
          <w:szCs w:val="24"/>
        </w:rPr>
        <w:t>A Competitive Analysis of Samsung and Apple in 2026 Smartphone Market</w:t>
      </w:r>
      <w:r>
        <w:br w:type="page"/>
      </w:r>
    </w:p>
    <w:p>
      <w:pPr>
        <w:pStyle w:val="Heading1"/>
        <w:spacing w:lineRule="auto" w:line="360" w:before="0" w:after="200"/>
        <w:jc w:val="both"/>
        <w:rPr>
          <w:sz w:val="24"/>
          <w:szCs w:val="24"/>
        </w:rPr>
      </w:pPr>
      <w:r>
        <w:rPr>
          <w:rFonts w:ascii="Arial" w:hAnsi="Arial"/>
          <w:sz w:val="24"/>
          <w:szCs w:val="24"/>
        </w:rPr>
        <w:t>0.0 Introduction</w:t>
      </w:r>
    </w:p>
    <w:p>
      <w:pPr>
        <w:pStyle w:val="normal2"/>
        <w:pageBreakBefore w:val="false"/>
        <w:widowControl/>
        <w:bidi w:val="0"/>
        <w:spacing w:lineRule="auto" w:line="360" w:before="0" w:after="200"/>
        <w:ind w:hanging="0" w:start="0" w:end="0"/>
        <w:jc w:val="both"/>
        <w:rPr>
          <w:sz w:val="24"/>
          <w:szCs w:val="24"/>
        </w:rPr>
      </w:pPr>
      <w:r>
        <w:rPr>
          <w:rFonts w:eastAsia="Arial" w:cs="Arial" w:ascii="Arial" w:hAnsi="Arial"/>
          <w:b w:val="false"/>
          <w:i w:val="false"/>
          <w:caps w:val="false"/>
          <w:smallCaps w:val="false"/>
          <w:strike w:val="false"/>
          <w:dstrike w:val="false"/>
          <w:color w:val="000000"/>
          <w:sz w:val="24"/>
          <w:szCs w:val="24"/>
          <w:u w:val="none"/>
          <w:shd w:fill="auto" w:val="clear"/>
        </w:rPr>
        <w:tab/>
        <w:t xml:space="preserve">In order to mitigate risk and capitalize on emerging opportunities in the unpredictable global marketplace of 2026, the strategic marketing management requires a systematic understanding of macro-environment and changes happening worldwide. This report provides a critical understanding of the macro-marketing environment and  how external actors dictate the competitiveness and key decisions of market leaders. </w:t>
      </w:r>
      <w:r>
        <w:rPr>
          <w:rFonts w:eastAsia="Arial" w:cs="Arial" w:ascii="Arial" w:hAnsi="Arial"/>
          <w:b w:val="false"/>
          <w:i w:val="false"/>
          <w:caps w:val="false"/>
          <w:smallCaps w:val="false"/>
          <w:strike w:val="false"/>
          <w:dstrike w:val="false"/>
          <w:color w:val="000000"/>
          <w:position w:val="0"/>
          <w:sz w:val="24"/>
          <w:szCs w:val="24"/>
          <w:u w:val="none"/>
          <w:shd w:fill="auto" w:val="clear"/>
          <w:vertAlign w:val="baseline"/>
        </w:rPr>
        <w:t xml:space="preserve">This report focuses on 2 key players in global smartphone market – Samsung and Apple. Samsung is the industry pioneer in foldable hardware and Edge AI, while Apple is the strategic follower within the premium smartphone segment. </w:t>
      </w:r>
    </w:p>
    <w:p>
      <w:pPr>
        <w:pStyle w:val="normal2"/>
        <w:widowControl/>
        <w:bidi w:val="0"/>
        <w:spacing w:lineRule="auto" w:line="360" w:before="0" w:after="200"/>
        <w:ind w:hanging="0" w:start="0" w:end="0"/>
        <w:jc w:val="both"/>
        <w:rPr>
          <w:sz w:val="24"/>
          <w:szCs w:val="24"/>
        </w:rPr>
      </w:pPr>
      <w:r>
        <w:rPr>
          <w:rFonts w:eastAsia="Arial" w:cs="Arial" w:ascii="Arial" w:hAnsi="Arial"/>
          <w:b w:val="false"/>
          <w:i w:val="false"/>
          <w:caps w:val="false"/>
          <w:smallCaps w:val="false"/>
          <w:strike w:val="false"/>
          <w:dstrike w:val="false"/>
          <w:color w:val="000000"/>
          <w:position w:val="0"/>
          <w:sz w:val="24"/>
          <w:szCs w:val="24"/>
          <w:u w:val="none"/>
          <w:shd w:fill="auto" w:val="clear"/>
          <w:vertAlign w:val="baseline"/>
        </w:rPr>
        <w:t>Task 1 critically examines how specific technological advancements like the maturation of foldable displays and legal frameworks such as implementation of global AI transparency acts have created threats and opportunities for both pioneers and followers.</w:t>
      </w:r>
    </w:p>
    <w:p>
      <w:pPr>
        <w:pStyle w:val="normal2"/>
        <w:widowControl/>
        <w:bidi w:val="0"/>
        <w:spacing w:lineRule="auto" w:line="360" w:before="0" w:after="200"/>
        <w:ind w:hanging="0" w:start="0" w:end="0"/>
        <w:jc w:val="both"/>
        <w:rPr>
          <w:sz w:val="24"/>
          <w:szCs w:val="24"/>
        </w:rPr>
      </w:pPr>
      <w:r>
        <w:rPr>
          <w:rFonts w:eastAsia="Arial" w:cs="Arial" w:ascii="Arial" w:hAnsi="Arial"/>
          <w:b w:val="false"/>
          <w:i w:val="false"/>
          <w:caps w:val="false"/>
          <w:smallCaps w:val="false"/>
          <w:strike w:val="false"/>
          <w:dstrike w:val="false"/>
          <w:color w:val="000000"/>
          <w:sz w:val="24"/>
          <w:szCs w:val="24"/>
          <w:u w:val="none"/>
          <w:shd w:fill="auto" w:val="clear"/>
        </w:rPr>
        <w:t>Task 2 evaluates the strategic responses of both the organizations by applying Porter’s Generic Strategies and Ansoff’s Growth Matrix. It shows how each company is sustaining growth and maintaining competitive advantage. How Samsung leverages it’s product development expertise to defend its market share, while Apple utilizes a differentiation strategy to penetrate the maturing foldable market. Ultimately, this report demonstrates that a keen understanding of external macro-actors is essential for maintaining market relevance and driving sustainable innovation in the current hyper-competitive landscape of 2026.</w:t>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r>
        <w:br w:type="page"/>
      </w:r>
    </w:p>
    <w:p>
      <w:pPr>
        <w:pStyle w:val="Heading1"/>
        <w:spacing w:lineRule="auto" w:line="360" w:before="0" w:after="200"/>
        <w:jc w:val="both"/>
        <w:rPr>
          <w:sz w:val="24"/>
          <w:szCs w:val="24"/>
        </w:rPr>
      </w:pPr>
      <w:r>
        <w:rPr>
          <w:rFonts w:ascii="Arial" w:hAnsi="Arial"/>
          <w:sz w:val="24"/>
          <w:szCs w:val="24"/>
        </w:rPr>
        <w:t xml:space="preserve">Task 1 : </w:t>
      </w:r>
      <w:r>
        <w:rPr>
          <w:rFonts w:ascii="Arial" w:hAnsi="Arial"/>
          <w:b/>
          <w:bCs/>
          <w:sz w:val="24"/>
          <w:szCs w:val="24"/>
        </w:rPr>
        <w:t>Macro Environmental Analysis</w:t>
      </w:r>
    </w:p>
    <w:p>
      <w:pPr>
        <w:pStyle w:val="Heading2"/>
        <w:spacing w:lineRule="auto" w:line="360" w:before="0" w:after="200"/>
        <w:jc w:val="both"/>
        <w:rPr>
          <w:sz w:val="24"/>
          <w:szCs w:val="24"/>
        </w:rPr>
      </w:pPr>
      <w:r>
        <w:rPr>
          <w:rFonts w:ascii="Arial" w:hAnsi="Arial"/>
          <w:sz w:val="24"/>
          <w:szCs w:val="24"/>
        </w:rPr>
        <w:t xml:space="preserve">1.0 </w:t>
      </w:r>
      <w:r>
        <w:rPr>
          <w:rFonts w:eastAsia="Times New Roman" w:cs="Times New Roman" w:ascii="Arial" w:hAnsi="Arial"/>
          <w:b/>
          <w:bCs/>
          <w:i w:val="false"/>
          <w:caps w:val="false"/>
          <w:smallCaps w:val="false"/>
          <w:strike w:val="false"/>
          <w:dstrike w:val="false"/>
          <w:color w:val="000000"/>
          <w:position w:val="0"/>
          <w:sz w:val="24"/>
          <w:szCs w:val="24"/>
          <w:u w:val="none"/>
          <w:shd w:fill="auto" w:val="clear"/>
          <w:vertAlign w:val="baseline"/>
        </w:rPr>
        <w:t>Overview of the Marketing environment and it’s important in Marketing</w:t>
      </w:r>
    </w:p>
    <w:p>
      <w:pPr>
        <w:pStyle w:val="Normal"/>
        <w:bidi w:val="0"/>
        <w:spacing w:lineRule="auto" w:line="360" w:before="0" w:after="200"/>
        <w:jc w:val="both"/>
        <w:rPr>
          <w:sz w:val="24"/>
          <w:szCs w:val="24"/>
        </w:rPr>
      </w:pPr>
      <w:r>
        <w:rPr>
          <w:rFonts w:eastAsia="Times New Roman" w:cs="Times New Roman"/>
          <w:b w:val="false"/>
          <w:bCs w:val="false"/>
          <w:sz w:val="24"/>
          <w:szCs w:val="24"/>
        </w:rPr>
        <w:t>The PESTLE is framework used for critical analysis of macro-environmental forces like Political, Economic, Social, Technological, Legal, and Environmental. These factors shape the entire global marketing landscape. Marketing managers can  identify external opportunities and threats by understanding these macro factors. They can make sure that long-term strategic choices are aligned with real-world shifts rather than internal assumptions. This framework is essential to evaluate influence of external actors on  the competitive positioning of pioneering organisations such as Samsung versus strategic followers like Apple. PESTLE provides the "critical awareness" necessary to align marketing activities with frameworks like Porter’s Generic Strategies and Ansoff’s Growth Matrix.  Firms can easily anticipate technological disruptions using these frameworks and sustain a robust competitive advantage in complex environments.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24" behindDoc="0" locked="0" layoutInCell="0" allowOverlap="1">
            <wp:simplePos x="0" y="0"/>
            <wp:positionH relativeFrom="column">
              <wp:align>center</wp:align>
            </wp:positionH>
            <wp:positionV relativeFrom="paragraph">
              <wp:posOffset>635</wp:posOffset>
            </wp:positionV>
            <wp:extent cx="3566795" cy="4006215"/>
            <wp:effectExtent l="0" t="0" r="0" b="0"/>
            <wp:wrapTopAndBottom/>
            <wp:docPr id="1"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
                    <pic:cNvPicPr>
                      <a:picLocks noChangeAspect="1" noChangeArrowheads="1"/>
                    </pic:cNvPicPr>
                  </pic:nvPicPr>
                  <pic:blipFill>
                    <a:blip r:embed="rId2"/>
                    <a:stretch>
                      <a:fillRect/>
                    </a:stretch>
                  </pic:blipFill>
                  <pic:spPr bwMode="auto">
                    <a:xfrm>
                      <a:off x="0" y="0"/>
                      <a:ext cx="3566795" cy="4006215"/>
                    </a:xfrm>
                    <a:prstGeom prst="rect">
                      <a:avLst/>
                    </a:prstGeom>
                    <a:noFill/>
                  </pic:spPr>
                </pic:pic>
              </a:graphicData>
            </a:graphic>
          </wp:anchor>
        </w:drawing>
      </w:r>
    </w:p>
    <w:p>
      <w:pPr>
        <w:pStyle w:val="Normal"/>
        <w:bidi w:val="0"/>
        <w:spacing w:lineRule="auto" w:line="360" w:before="0" w:after="200"/>
        <w:jc w:val="both"/>
        <w:rPr>
          <w:sz w:val="24"/>
          <w:szCs w:val="24"/>
        </w:rPr>
      </w:pPr>
      <w:r>
        <w:rPr>
          <w:rFonts w:eastAsia="Times New Roman" w:cs="Times New Roman"/>
          <w:b/>
          <w:bCs/>
          <w:sz w:val="24"/>
          <w:szCs w:val="24"/>
        </w:rPr>
        <w:t>Selection of Factors and It’s Impact on chosen Industry :</w:t>
      </w:r>
    </w:p>
    <w:p>
      <w:pPr>
        <w:pStyle w:val="Normal"/>
        <w:bidi w:val="0"/>
        <w:spacing w:lineRule="auto" w:line="360" w:before="0" w:after="200"/>
        <w:jc w:val="both"/>
        <w:rPr>
          <w:sz w:val="24"/>
          <w:szCs w:val="24"/>
        </w:rPr>
      </w:pPr>
      <w:r>
        <w:rPr>
          <w:rFonts w:eastAsia="Times New Roman" w:cs="Times New Roman"/>
          <w:sz w:val="24"/>
          <w:szCs w:val="24"/>
        </w:rPr>
        <w:t>Economic and social factors help in understanding consumer behavior, environmental factors compel brands to maintain an environmentally friendly image. For the scope of this report, technological and legal forces are important to understand. Because these 2 factors currently have transformative impact on the smartphone industry in 2026.</w:t>
      </w:r>
    </w:p>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Technological factor will help us understand the adoption of foldables, and the integration of on-device Generative AI. Simultaneously, the Legal factor is critical because the EU  has applied the AI ACT from August 2, 2026. Which introduces stringent transparency and safety requirements, forcing both companies to adapt their marketing strategies and technical frameworks to ensure compliance. These two factors provides a robust understsnding of recent change in trejectories and how external forces are dictating the strategic maneuvers of both the pioneers and the followers.</w:t>
      </w:r>
    </w:p>
    <w:p>
      <w:pPr>
        <w:pStyle w:val="Heading2"/>
        <w:spacing w:lineRule="auto" w:line="360" w:before="0" w:after="200"/>
        <w:jc w:val="both"/>
        <w:rPr>
          <w:sz w:val="24"/>
          <w:szCs w:val="24"/>
        </w:rPr>
      </w:pPr>
      <w:r>
        <w:rPr>
          <w:rFonts w:ascii="Arial" w:hAnsi="Arial"/>
          <w:sz w:val="24"/>
          <w:szCs w:val="24"/>
        </w:rPr>
        <w:t xml:space="preserve">1.1  </w:t>
      </w:r>
      <w:r>
        <w:rPr>
          <w:rFonts w:eastAsia="Times New Roman" w:cs="Times New Roman" w:ascii="Arial" w:hAnsi="Arial"/>
          <w:b/>
          <w:bCs/>
          <w:i w:val="false"/>
          <w:caps w:val="false"/>
          <w:smallCaps w:val="false"/>
          <w:strike w:val="false"/>
          <w:dstrike w:val="false"/>
          <w:color w:val="000000"/>
          <w:position w:val="0"/>
          <w:sz w:val="24"/>
          <w:szCs w:val="24"/>
          <w:u w:val="none"/>
          <w:shd w:fill="auto" w:val="clear"/>
          <w:vertAlign w:val="baseline"/>
        </w:rPr>
        <w:t>Analysis of Technological Factor</w:t>
      </w:r>
    </w:p>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In 2026, the global smartphone industry is undergoing a technological paradigm shift and 2 primary actors are defining this era: the multi-form factor displays have matured enough to enter the consumer market, which introduced foldables and tri-folds. foldable technology is no-longer a niche novelty but a matured category with "creaseless" screens and ultra-slim architectures (under 9mm). It has become the standard for premium smartphones.</w:t>
      </w:r>
    </w:p>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drawing>
          <wp:anchor distT="0" distB="0" distL="0" distR="0" simplePos="0" relativeHeight="29" behindDoc="0" locked="0" layoutInCell="0" allowOverlap="1">
            <wp:simplePos x="0" y="0"/>
            <wp:positionH relativeFrom="column">
              <wp:align>center</wp:align>
            </wp:positionH>
            <wp:positionV relativeFrom="paragraph">
              <wp:align>top</wp:align>
            </wp:positionV>
            <wp:extent cx="4494530" cy="2486025"/>
            <wp:effectExtent l="0" t="0" r="0" b="0"/>
            <wp:wrapTopAndBottom/>
            <wp:docPr id="2"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7"/>
                    <pic:cNvPicPr>
                      <a:picLocks noChangeAspect="1" noChangeArrowheads="1"/>
                    </pic:cNvPicPr>
                  </pic:nvPicPr>
                  <pic:blipFill>
                    <a:blip r:embed="rId3"/>
                    <a:stretch>
                      <a:fillRect/>
                    </a:stretch>
                  </pic:blipFill>
                  <pic:spPr bwMode="auto">
                    <a:xfrm>
                      <a:off x="0" y="0"/>
                      <a:ext cx="4494530" cy="2486025"/>
                    </a:xfrm>
                    <a:prstGeom prst="rect">
                      <a:avLst/>
                    </a:prstGeom>
                    <a:noFill/>
                  </pic:spPr>
                </pic:pic>
              </a:graphicData>
            </a:graphic>
          </wp:anchor>
        </w:drawing>
      </w:r>
    </w:p>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On the other hand, integration of "Edge AI" (on-device Generative AI) is redefining smartphones from hardware-centric value to intelligence-driven utility tools. Unlike previous years where AI was only available on smartphones via cloud services, 2026 marks the rise of AI-native processors known as NPUs.These Neural processing units are capable of running large language models (LLMs) locally at 40+ TOPS (Tera Operations Per Second). This technological leap is transforming the devices from a passive tools into an active "AI agents" that perform tasks even across ecosystems.</w:t>
      </w:r>
    </w:p>
    <w:p>
      <w:pPr>
        <w:pStyle w:val="Normal"/>
        <w:bidi w:val="0"/>
        <w:spacing w:lineRule="auto" w:line="360" w:before="0" w:after="200"/>
        <w:jc w:val="both"/>
        <w:rPr>
          <w:b/>
          <w:bCs/>
          <w:sz w:val="24"/>
          <w:szCs w:val="24"/>
        </w:rPr>
      </w:pPr>
      <w:r>
        <w:rPr>
          <w:b/>
          <w:bCs/>
          <w:sz w:val="24"/>
          <w:szCs w:val="24"/>
        </w:rPr>
        <w:drawing>
          <wp:anchor distT="0" distB="0" distL="0" distR="0" simplePos="0" relativeHeight="30" behindDoc="0" locked="0" layoutInCell="0" allowOverlap="1">
            <wp:simplePos x="0" y="0"/>
            <wp:positionH relativeFrom="column">
              <wp:align>center</wp:align>
            </wp:positionH>
            <wp:positionV relativeFrom="paragraph">
              <wp:posOffset>635</wp:posOffset>
            </wp:positionV>
            <wp:extent cx="4030345" cy="2871470"/>
            <wp:effectExtent l="0" t="0" r="0" b="0"/>
            <wp:wrapTopAndBottom/>
            <wp:docPr id="3"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8"/>
                    <pic:cNvPicPr>
                      <a:picLocks noChangeAspect="1" noChangeArrowheads="1"/>
                    </pic:cNvPicPr>
                  </pic:nvPicPr>
                  <pic:blipFill>
                    <a:blip r:embed="rId4"/>
                    <a:stretch>
                      <a:fillRect/>
                    </a:stretch>
                  </pic:blipFill>
                  <pic:spPr bwMode="auto">
                    <a:xfrm>
                      <a:off x="0" y="0"/>
                      <a:ext cx="4030345" cy="2871470"/>
                    </a:xfrm>
                    <a:prstGeom prst="rect">
                      <a:avLst/>
                    </a:prstGeom>
                    <a:noFill/>
                  </pic:spPr>
                </pic:pic>
              </a:graphicData>
            </a:graphic>
          </wp:anchor>
        </w:drawing>
      </w:r>
    </w:p>
    <w:p>
      <w:pPr>
        <w:pStyle w:val="Normal"/>
        <w:bidi w:val="0"/>
        <w:spacing w:lineRule="auto" w:line="360" w:before="0" w:after="200"/>
        <w:jc w:val="both"/>
        <w:rPr>
          <w:b/>
          <w:bCs/>
          <w:sz w:val="24"/>
          <w:szCs w:val="24"/>
        </w:rPr>
      </w:pPr>
      <w:r>
        <w:rPr>
          <w:b/>
          <w:bCs/>
          <w:sz w:val="24"/>
          <w:szCs w:val="24"/>
        </w:rPr>
        <w:t>Impact on the Pioneering Organisation: Samsung Electronics</w:t>
      </w:r>
    </w:p>
    <w:p>
      <w:pPr>
        <w:pStyle w:val="Normal"/>
        <w:bidi w:val="0"/>
        <w:spacing w:lineRule="auto" w:line="360" w:before="0" w:after="200"/>
        <w:jc w:val="both"/>
        <w:rPr>
          <w:sz w:val="24"/>
          <w:szCs w:val="24"/>
        </w:rPr>
      </w:pPr>
      <w:r>
        <w:rPr>
          <w:sz w:val="24"/>
          <w:szCs w:val="24"/>
        </w:rPr>
        <w:t>Samsung’s role as the foldable pioneer allows it to capitalize on the ‘Premiumization trend’ - where consumers in saturated markets favor high-margin, status-driven devices over standard slabs. The integration of  "Galaxy AI" into its foldable line creates a unique opportunity for Market Development (Ansoff). Which can allow Samsung to pivot from just another hardware vendor to a provider of recurring SaaS-based AI services. Samsung’s both competitive advantages in technology are tied to its Vertical Integration. Samsung maintains a cost-efficiency advantage of roughly 15-20% compared to rivals because they must source these components externally where as Samsung can manufacture its own flexible OLED panels and AI-optimized NPUs.</w:t>
      </w:r>
    </w:p>
    <w:p>
      <w:pPr>
        <w:pStyle w:val="Normal"/>
        <w:bidi w:val="0"/>
        <w:spacing w:lineRule="auto" w:line="360" w:before="0" w:after="200"/>
        <w:jc w:val="both"/>
        <w:rPr>
          <w:sz w:val="24"/>
          <w:szCs w:val="24"/>
        </w:rPr>
      </w:pPr>
      <w:r>
        <w:rPr>
          <w:sz w:val="24"/>
          <w:szCs w:val="24"/>
        </w:rPr>
        <w:t>The data also reflects that, While in the first half of 2025, Samsung had 20% market share of the foldable smartphone market, which increased to staggering 64% share of the global foldable market in Q3 2025 after the Z Fold 7 launch (Counterpoint Research, 2025). Samsung became the dominant player in this segment of the market, instead of  Huawei.</w:t>
      </w:r>
    </w:p>
    <w:p>
      <w:pPr>
        <w:pStyle w:val="Normal"/>
        <w:bidi w:val="0"/>
        <w:spacing w:lineRule="auto" w:line="360" w:before="0" w:after="200"/>
        <w:jc w:val="both"/>
        <w:rPr>
          <w:sz w:val="24"/>
          <w:szCs w:val="24"/>
        </w:rPr>
      </w:pPr>
      <w:r>
        <w:rPr>
          <w:sz w:val="24"/>
          <w:szCs w:val="24"/>
        </w:rPr>
        <w:drawing>
          <wp:anchor distT="0" distB="0" distL="0" distR="0" simplePos="0" relativeHeight="28" behindDoc="0" locked="0" layoutInCell="0" allowOverlap="1">
            <wp:simplePos x="0" y="0"/>
            <wp:positionH relativeFrom="column">
              <wp:align>center</wp:align>
            </wp:positionH>
            <wp:positionV relativeFrom="paragraph">
              <wp:posOffset>635</wp:posOffset>
            </wp:positionV>
            <wp:extent cx="5600700" cy="3150235"/>
            <wp:effectExtent l="0" t="0" r="0" b="0"/>
            <wp:wrapTopAndBottom/>
            <wp:docPr id="4"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6"/>
                    <pic:cNvPicPr>
                      <a:picLocks noChangeAspect="1" noChangeArrowheads="1"/>
                    </pic:cNvPicPr>
                  </pic:nvPicPr>
                  <pic:blipFill>
                    <a:blip r:embed="rId5"/>
                    <a:stretch>
                      <a:fillRect/>
                    </a:stretch>
                  </pic:blipFill>
                  <pic:spPr bwMode="auto">
                    <a:xfrm>
                      <a:off x="0" y="0"/>
                      <a:ext cx="5600700" cy="3150235"/>
                    </a:xfrm>
                    <a:prstGeom prst="rect">
                      <a:avLst/>
                    </a:prstGeom>
                    <a:noFill/>
                  </pic:spPr>
                </pic:pic>
              </a:graphicData>
            </a:graphic>
          </wp:anchor>
        </w:drawing>
      </w:r>
    </w:p>
    <w:p>
      <w:pPr>
        <w:pStyle w:val="Normal"/>
        <w:bidi w:val="0"/>
        <w:spacing w:lineRule="auto" w:line="360" w:before="0" w:after="200"/>
        <w:jc w:val="both"/>
        <w:rPr>
          <w:sz w:val="24"/>
          <w:szCs w:val="24"/>
        </w:rPr>
      </w:pPr>
      <w:r>
        <w:rPr>
          <w:sz w:val="24"/>
          <w:szCs w:val="24"/>
        </w:rPr>
        <w:t>However, analysis suggests having dynamic capabilities is nacessary to sustain First mover advantage in high-tech markets. Meaning the ability to sense market shifts and seize new opportunities matter more. The primary threat for samsung here is the erosion of First-Mover Advantage because fast moving followers like Huawei, Honor and apple have aggressively narrowed the innovation gap and they often deliver better and slimmer hardware or lower price points. Which puts Samsung to a "Pioneer’s Dilemma", where Samsung must spend excessively on R&amp;D just to maintain its lead. The impending entry of samsung’s biggest compitetor Apple into the foldable market in second half of the 2026 poses a systemic threat to Samsung’s premium market share.</w:t>
      </w:r>
    </w:p>
    <w:p>
      <w:pPr>
        <w:pStyle w:val="Normal"/>
        <w:bidi w:val="0"/>
        <w:spacing w:lineRule="auto" w:line="360" w:before="0" w:after="200"/>
        <w:jc w:val="both"/>
        <w:rPr>
          <w:sz w:val="24"/>
          <w:szCs w:val="24"/>
        </w:rPr>
      </w:pPr>
      <w:r>
        <w:rPr>
          <w:sz w:val="24"/>
          <w:szCs w:val="24"/>
        </w:rPr>
        <w:t>To maintain this dominant position in the segment, Samsung has significantly increased its technological commitment by spending a record KRW 9 trillion on R&amp;D in Q1 2025 - Which was a 16% YoY increase (Samsung, 2025). This spending was specifically aimed to accelerate on-device AI and "Tri-fold" development.</w:t>
      </w:r>
    </w:p>
    <w:p>
      <w:pPr>
        <w:pStyle w:val="Normal"/>
        <w:bidi w:val="0"/>
        <w:spacing w:lineRule="auto" w:line="360" w:before="0" w:after="200"/>
        <w:jc w:val="both"/>
        <w:rPr>
          <w:sz w:val="24"/>
          <w:szCs w:val="24"/>
        </w:rPr>
      </w:pPr>
      <w:r>
        <w:rPr>
          <w:rFonts w:eastAsia="Times New Roman" w:cs="Times New Roman"/>
          <w:b/>
          <w:bCs/>
          <w:sz w:val="24"/>
          <w:szCs w:val="24"/>
        </w:rPr>
        <w:t>Impact on the follower organisation : Apple</w:t>
      </w:r>
    </w:p>
    <w:p>
      <w:pPr>
        <w:pStyle w:val="Normal"/>
        <w:bidi w:val="0"/>
        <w:spacing w:lineRule="auto" w:line="360" w:before="0" w:after="200"/>
        <w:jc w:val="both"/>
        <w:rPr>
          <w:sz w:val="24"/>
          <w:szCs w:val="24"/>
        </w:rPr>
      </w:pPr>
      <w:r>
        <w:rPr>
          <w:rFonts w:eastAsia="Times New Roman" w:cs="Times New Roman"/>
          <w:sz w:val="24"/>
          <w:szCs w:val="24"/>
        </w:rPr>
        <w:t>As discussed earlier, the foldable hardware and generative "Edge AI" are considered premium standards in the technological landscape of 2026. For a follower like Apple, the primary technological actor is the standardization of foldable displays and the maturation of high-bandwidth memory (HBM) that is required to run sophisticated on-device edge AI models. Unlike the pioneer, who focuses on cutting edge hardware innovations, the follower’s technological focus is on Software + Hardware optimization and leveraging existing operating systems (such as iPadOS) to provide a superior user interface that justifies a higher price point (Counterpoint Research, 2026)</w:t>
      </w:r>
    </w:p>
    <w:p>
      <w:pPr>
        <w:pStyle w:val="Normal"/>
        <w:bidi w:val="0"/>
        <w:spacing w:lineRule="auto" w:line="360" w:before="0" w:after="200"/>
        <w:jc w:val="both"/>
        <w:rPr>
          <w:sz w:val="24"/>
          <w:szCs w:val="24"/>
        </w:rPr>
      </w:pPr>
      <w:r>
        <w:rPr>
          <w:rFonts w:eastAsia="Times New Roman" w:cs="Times New Roman"/>
          <w:sz w:val="24"/>
          <w:szCs w:val="24"/>
        </w:rPr>
        <w:t>Just like Samsung had ‘First mover advantage’, Apple’s primary opportunity lies in the ‘Late-Mover Advantage’. Apple’s competitive advantage is rooted in its Differentiation Strategy through ecosystem integration. Apple does not build the first computer or the first phone, but tries to create the best by refining existing concepts to meet actual consumer needs (MBA Knowledge Base, 2024). This ‘incremental improvement’ strategy is a sustainable advantage because it reduces the risk of commercial failure (Ahuja and Raichura, 2024).</w:t>
      </w:r>
    </w:p>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By entering the foldable market in 2026, Apple avoids the early mechanical failures and "crease" issues that were faced by pioneers (SAG, 2026). This allows Apple to capture the "Premium Value" of the market once the technology is matured enough for mainstream adoption; while pioneers are battling for volume in 2026, Apple is projected to capture 34% of the global foldable market value despite only entering the segment in the second half of 2026 (IDC, 2025). Furthermore, the integration of "Apple Intelligence" provides a unique opportunity to strengthen ecosystem lock-in, as AI becomes a "personal context" layer that makes switching to Android more difficult for existing iPhone users (MacRumors, 2025). in specific regions such as north america, Counterpoint research suggest that: Apple is projected to seize as much as 46% market share in its debut year, instantly displacing Samsung as the number one vendor (BW Businessworld, 2026). This reflects Apple’s ability to leverage its 2.5 billion active device base to achieve immediate scale that pioneers took years to build (Intellectia AI, 2026).</w:t>
      </w:r>
    </w:p>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drawing>
          <wp:anchor distT="0" distB="0" distL="0" distR="0" simplePos="0" relativeHeight="27" behindDoc="0" locked="0" layoutInCell="0" allowOverlap="1">
            <wp:simplePos x="0" y="0"/>
            <wp:positionH relativeFrom="column">
              <wp:align>center</wp:align>
            </wp:positionH>
            <wp:positionV relativeFrom="paragraph">
              <wp:posOffset>635</wp:posOffset>
            </wp:positionV>
            <wp:extent cx="5403215" cy="4503420"/>
            <wp:effectExtent l="0" t="0" r="0" b="0"/>
            <wp:wrapTopAndBottom/>
            <wp:docPr id="5"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pic:cNvPicPr>
                      <a:picLocks noChangeAspect="1" noChangeArrowheads="1"/>
                    </pic:cNvPicPr>
                  </pic:nvPicPr>
                  <pic:blipFill>
                    <a:blip r:embed="rId6"/>
                    <a:stretch>
                      <a:fillRect/>
                    </a:stretch>
                  </pic:blipFill>
                  <pic:spPr bwMode="auto">
                    <a:xfrm>
                      <a:off x="0" y="0"/>
                      <a:ext cx="5403215" cy="4503420"/>
                    </a:xfrm>
                    <a:prstGeom prst="rect">
                      <a:avLst/>
                    </a:prstGeom>
                    <a:noFill/>
                  </pic:spPr>
                </pic:pic>
              </a:graphicData>
            </a:graphic>
          </wp:anchor>
        </w:drawing>
      </w:r>
    </w:p>
    <w:p>
      <w:pPr>
        <w:pStyle w:val="Normal"/>
        <w:bidi w:val="0"/>
        <w:spacing w:lineRule="auto" w:line="360" w:before="0" w:after="200"/>
        <w:jc w:val="both"/>
        <w:rPr>
          <w:sz w:val="24"/>
          <w:szCs w:val="24"/>
        </w:rPr>
      </w:pPr>
      <w:r>
        <w:rPr>
          <w:rFonts w:eastAsia="Times New Roman" w:cs="Times New Roman"/>
          <w:sz w:val="24"/>
          <w:szCs w:val="24"/>
        </w:rPr>
        <w:t>In the era of AI, Apple also has a silicon advantage; Apple can run ‘Apple Intelligence’ more efficiently by designing its own A-series and M-series chips while competitors rely on third-party processors. Rivals can not easily replicate this privacy-centric “walled garden for AI" (Computerworld, 2026).</w:t>
      </w:r>
    </w:p>
    <w:p>
      <w:pPr>
        <w:pStyle w:val="Normal"/>
        <w:bidi w:val="0"/>
        <w:spacing w:lineRule="auto" w:line="360" w:before="0" w:after="200"/>
        <w:jc w:val="both"/>
        <w:rPr>
          <w:sz w:val="24"/>
          <w:szCs w:val="24"/>
        </w:rPr>
      </w:pPr>
      <w:r>
        <w:rPr>
          <w:rFonts w:eastAsia="Times New Roman" w:cs="Times New Roman"/>
          <w:sz w:val="24"/>
          <w:szCs w:val="24"/>
        </w:rPr>
        <w:t>The most significant threat for apple is margin compression due to rising component costs such as RAM and Higher-end processors. In 2026, global DRAM (memory) prices are forecast to double, which can threaten Apple’s high-margin business model (Tech Between the Lines, 2026). Additionally, pioneers like Samsung already have more than seven years of consumer data on foldable usage pattern; Apple is a ‘follower’ here. So it faces a temporal Threat in foldable software optimization gap, which needs to be filled (BW Businessworld, 2026).</w:t>
      </w:r>
    </w:p>
    <w:p>
      <w:pPr>
        <w:pStyle w:val="Heading2"/>
        <w:spacing w:lineRule="auto" w:line="360" w:before="0" w:after="200"/>
        <w:jc w:val="both"/>
        <w:rPr>
          <w:sz w:val="24"/>
          <w:szCs w:val="24"/>
        </w:rPr>
      </w:pPr>
      <w:r>
        <w:rPr>
          <w:rFonts w:ascii="Arial" w:hAnsi="Arial"/>
          <w:sz w:val="24"/>
          <w:szCs w:val="24"/>
        </w:rPr>
        <w:t xml:space="preserve">1.2  </w:t>
      </w:r>
      <w:r>
        <w:rPr>
          <w:rFonts w:eastAsia="Times New Roman" w:cs="Times New Roman" w:ascii="Arial" w:hAnsi="Arial"/>
          <w:b/>
          <w:bCs/>
          <w:i w:val="false"/>
          <w:caps w:val="false"/>
          <w:smallCaps w:val="false"/>
          <w:strike w:val="false"/>
          <w:dstrike w:val="false"/>
          <w:color w:val="000000"/>
          <w:position w:val="0"/>
          <w:sz w:val="24"/>
          <w:szCs w:val="24"/>
          <w:u w:val="none"/>
          <w:shd w:fill="auto" w:val="clear"/>
          <w:vertAlign w:val="baseline"/>
        </w:rPr>
        <w:t>analysis of Legal Factors</w:t>
      </w:r>
    </w:p>
    <w:p>
      <w:pPr>
        <w:pStyle w:val="Normal"/>
        <w:spacing w:lineRule="auto" w:line="360" w:before="0" w:after="200"/>
        <w:jc w:val="both"/>
        <w:rPr>
          <w:sz w:val="24"/>
          <w:szCs w:val="24"/>
        </w:rPr>
      </w:pPr>
      <w:r>
        <w:rPr>
          <w:sz w:val="24"/>
          <w:szCs w:val="24"/>
        </w:rPr>
        <w:t>In 2026, the global smartphone industry is facing two major enforcement which will totally transform the landscape. The Artificial Intelligence (AI) act and more specifically it’s article 50, which deals with transparency of the generative AI.</w:t>
      </w:r>
    </w:p>
    <w:p>
      <w:pPr>
        <w:pStyle w:val="Normal"/>
        <w:spacing w:lineRule="auto" w:line="360" w:before="0" w:after="200"/>
        <w:jc w:val="both"/>
        <w:rPr>
          <w:sz w:val="24"/>
          <w:szCs w:val="24"/>
        </w:rPr>
      </w:pPr>
      <w:r>
        <w:rPr>
          <w:sz w:val="24"/>
          <w:szCs w:val="24"/>
        </w:rPr>
        <w:t>Another is the Digital markets act (DMA) which is actively transforming the data transparency landscape and hardware ecosystems by forcing interoperability with other hardware ecosystems (CSIS,2026). For major brands which operates in multiple markets, its implications are not just contained to peripherals, its changes core system requirement forcing new product design, data processing.</w:t>
      </w:r>
    </w:p>
    <w:p>
      <w:pPr>
        <w:pStyle w:val="Normal"/>
        <w:bidi w:val="0"/>
        <w:spacing w:lineRule="auto" w:line="360" w:before="0" w:after="200"/>
        <w:jc w:val="both"/>
        <w:rPr>
          <w:sz w:val="24"/>
          <w:szCs w:val="24"/>
        </w:rPr>
      </w:pPr>
      <w:r>
        <w:rPr>
          <w:b/>
          <w:bCs/>
          <w:sz w:val="24"/>
          <w:szCs w:val="24"/>
        </w:rPr>
        <w:t>Impact on the Pioneering Organisation: Samsung</w:t>
      </w:r>
    </w:p>
    <w:p>
      <w:pPr>
        <w:pStyle w:val="Normal"/>
        <w:bidi w:val="0"/>
        <w:spacing w:lineRule="auto" w:line="360" w:before="0" w:after="200"/>
        <w:jc w:val="both"/>
        <w:rPr>
          <w:sz w:val="24"/>
          <w:szCs w:val="24"/>
        </w:rPr>
      </w:pPr>
      <w:r>
        <w:rPr>
          <w:b w:val="false"/>
          <w:bCs w:val="false"/>
          <w:sz w:val="24"/>
          <w:szCs w:val="24"/>
        </w:rPr>
        <w:t>Samsung’s approximately 17% of total annual revenue comes from he EU market (Sammy Fans, 2026). Samsung has strategically hired top-tier EU policy experts, including former Microsoft veterans, to lead its European Headquarters External Relations Team in Brussels (Sammy Fans, 2026). While followers might save on R&amp;D, Samsung’s early interaction with EU regulators allows it to shape the very standards that late entrants will eventually have to follow. This effectively raises the barrier to entry for the rest of the market (CSIS, 2026).</w:t>
      </w:r>
    </w:p>
    <w:p>
      <w:pPr>
        <w:pStyle w:val="Normal"/>
        <w:bidi w:val="0"/>
        <w:spacing w:lineRule="auto" w:line="360" w:before="0" w:after="200"/>
        <w:jc w:val="both"/>
        <w:rPr>
          <w:sz w:val="24"/>
          <w:szCs w:val="24"/>
        </w:rPr>
      </w:pPr>
      <w:r>
        <w:rPr>
          <w:b w:val="false"/>
          <w:bCs w:val="false"/>
          <w:sz w:val="24"/>
          <w:szCs w:val="24"/>
        </w:rPr>
        <w:t>Samsung has a significant opportunity here as it exceeds the EU mandates such as offering 7 years of security updates and high repairability scores. Hence, Samsung can position itself as the "ethical alternative" to less transparent competitors (Sammy Fans, 2025). Samsung has now included "AI Guardrails" in it’s established Samsung Knox security platform to prevent unauthorized data leaks and enhance consumer trust (Samsung SDS, 2026).</w:t>
      </w:r>
    </w:p>
    <w:p>
      <w:pPr>
        <w:pStyle w:val="Normal"/>
        <w:bidi w:val="0"/>
        <w:spacing w:lineRule="auto" w:line="360" w:before="0" w:after="200"/>
        <w:jc w:val="both"/>
        <w:rPr>
          <w:sz w:val="24"/>
          <w:szCs w:val="24"/>
        </w:rPr>
      </w:pPr>
      <w:r>
        <w:rPr>
          <w:sz w:val="24"/>
          <w:szCs w:val="24"/>
        </w:rPr>
        <w:t>As Samsung is the pioneer of AI-integrated smartphones (Galaxy AI), it faces a substantial Compliance Risk; Samsung cannot rely on a "compliance blueprint" from competitors; they must set the industry standard for AI disclosures, such as clear labeling of synthetic content and "deepfake" detection (Legal Nodes, 2026). Under the EU AI Act, failure to meet transparency standards or the deployment of "prohibited AI practices" can result in fines of up to €35 million or 7% of total global annual turnover; a penalty structure is more severe than GDPR (Softwareseni, 2026).</w:t>
      </w:r>
    </w:p>
    <w:p>
      <w:pPr>
        <w:pStyle w:val="Normal"/>
        <w:spacing w:lineRule="auto" w:line="360" w:before="0" w:after="200"/>
        <w:jc w:val="both"/>
        <w:rPr>
          <w:sz w:val="24"/>
          <w:szCs w:val="24"/>
        </w:rPr>
      </w:pPr>
      <w:r>
        <w:rPr>
          <w:b/>
          <w:bCs/>
          <w:sz w:val="24"/>
          <w:szCs w:val="24"/>
        </w:rPr>
        <w:t>Impact on the Follower Organisation: Apple</w:t>
      </w:r>
      <w:r>
        <w:rPr>
          <w:sz w:val="24"/>
          <w:szCs w:val="24"/>
        </w:rPr>
        <w:t xml:space="preserve">   </w:t>
      </w:r>
    </w:p>
    <w:p>
      <w:pPr>
        <w:pStyle w:val="Normal"/>
        <w:bidi w:val="0"/>
        <w:spacing w:lineRule="auto" w:line="360" w:before="0" w:after="200"/>
        <w:jc w:val="both"/>
        <w:rPr>
          <w:sz w:val="24"/>
          <w:szCs w:val="24"/>
        </w:rPr>
      </w:pPr>
      <w:r>
        <w:rPr>
          <w:sz w:val="24"/>
          <w:szCs w:val="24"/>
        </w:rPr>
        <w:t>Apple’s core business model  faces a systemic threat under DMA which requires to allow alternative app stores and side-loading in the EU; This is a direct threat to apple’s Walled Garden strategy which has historically driven high-margin Services revenue (Financial Content, 2026). This threat intensifies due to DOJ’s ongoing antitrust lawsuit in the US (2024–2026).  It poses a long-term threat to its 30% ‘Apple Tax’ on in-app purchases (Milken Institute, 2024). Apple was charged $851 million in antitrust and privacy fines in 2025 alone, majority of which was driven by European regulators (9to5Mac, 2026).</w:t>
      </w:r>
    </w:p>
    <w:tbl>
      <w:tblPr>
        <w:tblW w:w="9026" w:type="dxa"/>
        <w:jc w:val="start"/>
        <w:tblInd w:w="0" w:type="dxa"/>
        <w:tblLayout w:type="fixed"/>
        <w:tblCellMar>
          <w:top w:w="28" w:type="dxa"/>
          <w:start w:w="28" w:type="dxa"/>
          <w:bottom w:w="28" w:type="dxa"/>
          <w:end w:w="28" w:type="dxa"/>
        </w:tblCellMar>
      </w:tblPr>
      <w:tblGrid>
        <w:gridCol w:w="1652"/>
        <w:gridCol w:w="1172"/>
        <w:gridCol w:w="6202"/>
      </w:tblGrid>
      <w:tr>
        <w:trPr>
          <w:trHeight w:val="1087" w:hRule="atLeast"/>
        </w:trPr>
        <w:tc>
          <w:tcPr>
            <w:tcW w:w="1652" w:type="dxa"/>
            <w:tcBorders>
              <w:top w:val="single" w:sz="2" w:space="0" w:color="000000"/>
              <w:start w:val="single" w:sz="2" w:space="0" w:color="000000"/>
              <w:bottom w:val="single" w:sz="2" w:space="0" w:color="000000"/>
              <w:end w:val="single" w:sz="2" w:space="0" w:color="000000"/>
            </w:tcBorders>
            <w:vAlign w:val="center"/>
          </w:tcPr>
          <w:p>
            <w:pPr>
              <w:pStyle w:val="TableContents"/>
              <w:spacing w:before="0" w:after="0"/>
              <w:ind w:hanging="0" w:start="0" w:end="0"/>
              <w:rPr/>
            </w:pPr>
            <w:r>
              <w:rPr/>
              <w:t>February</w:t>
            </w:r>
          </w:p>
        </w:tc>
        <w:tc>
          <w:tcPr>
            <w:tcW w:w="1172" w:type="dxa"/>
            <w:tcBorders>
              <w:top w:val="single" w:sz="2" w:space="0" w:color="000000"/>
              <w:start w:val="single" w:sz="2" w:space="0" w:color="000000"/>
              <w:bottom w:val="single" w:sz="2" w:space="0" w:color="000000"/>
              <w:end w:val="single" w:sz="2" w:space="0" w:color="000000"/>
            </w:tcBorders>
            <w:vAlign w:val="center"/>
          </w:tcPr>
          <w:p>
            <w:pPr>
              <w:pStyle w:val="TableContents"/>
              <w:spacing w:before="0" w:after="0"/>
              <w:ind w:hanging="0" w:start="0" w:end="0"/>
              <w:rPr/>
            </w:pPr>
            <w:r>
              <w:rPr/>
              <w:t>$3.2M</w:t>
            </w:r>
          </w:p>
        </w:tc>
        <w:tc>
          <w:tcPr>
            <w:tcW w:w="6202" w:type="dxa"/>
            <w:tcBorders>
              <w:top w:val="single" w:sz="2" w:space="0" w:color="000000"/>
              <w:start w:val="single" w:sz="2" w:space="0" w:color="000000"/>
              <w:bottom w:val="single" w:sz="2" w:space="0" w:color="000000"/>
              <w:end w:val="single" w:sz="2" w:space="0" w:color="000000"/>
            </w:tcBorders>
            <w:vAlign w:val="center"/>
          </w:tcPr>
          <w:p>
            <w:pPr>
              <w:pStyle w:val="TableContents"/>
              <w:spacing w:before="0" w:after="0"/>
              <w:ind w:hanging="0" w:start="0" w:end="0"/>
              <w:rPr/>
            </w:pPr>
            <w:r>
              <w:rPr/>
              <w:t>South Korea –for using data illegally obtained without users’ consent</w:t>
            </w:r>
          </w:p>
        </w:tc>
      </w:tr>
      <w:tr>
        <w:trPr>
          <w:trHeight w:val="931" w:hRule="atLeast"/>
        </w:trPr>
        <w:tc>
          <w:tcPr>
            <w:tcW w:w="1652" w:type="dxa"/>
            <w:tcBorders>
              <w:top w:val="single" w:sz="2" w:space="0" w:color="000000"/>
              <w:start w:val="single" w:sz="2" w:space="0" w:color="000000"/>
              <w:bottom w:val="single" w:sz="2" w:space="0" w:color="000000"/>
              <w:end w:val="single" w:sz="2" w:space="0" w:color="000000"/>
            </w:tcBorders>
            <w:vAlign w:val="center"/>
          </w:tcPr>
          <w:p>
            <w:pPr>
              <w:pStyle w:val="TableContents"/>
              <w:spacing w:before="0" w:after="0"/>
              <w:ind w:hanging="0" w:start="0" w:end="0"/>
              <w:rPr/>
            </w:pPr>
            <w:r>
              <w:rPr/>
              <w:t>March</w:t>
            </w:r>
          </w:p>
        </w:tc>
        <w:tc>
          <w:tcPr>
            <w:tcW w:w="1172" w:type="dxa"/>
            <w:tcBorders>
              <w:top w:val="single" w:sz="2" w:space="0" w:color="000000"/>
              <w:start w:val="single" w:sz="2" w:space="0" w:color="000000"/>
              <w:bottom w:val="single" w:sz="2" w:space="0" w:color="000000"/>
              <w:end w:val="single" w:sz="2" w:space="0" w:color="000000"/>
            </w:tcBorders>
            <w:vAlign w:val="center"/>
          </w:tcPr>
          <w:p>
            <w:pPr>
              <w:pStyle w:val="TableContents"/>
              <w:spacing w:before="0" w:after="0"/>
              <w:ind w:hanging="0" w:start="0" w:end="0"/>
              <w:rPr/>
            </w:pPr>
            <w:r>
              <w:rPr/>
              <w:t>$162M</w:t>
            </w:r>
          </w:p>
        </w:tc>
        <w:tc>
          <w:tcPr>
            <w:tcW w:w="6202" w:type="dxa"/>
            <w:tcBorders>
              <w:top w:val="single" w:sz="2" w:space="0" w:color="000000"/>
              <w:start w:val="single" w:sz="2" w:space="0" w:color="000000"/>
              <w:bottom w:val="single" w:sz="2" w:space="0" w:color="000000"/>
              <w:end w:val="single" w:sz="2" w:space="0" w:color="000000"/>
            </w:tcBorders>
            <w:vAlign w:val="center"/>
          </w:tcPr>
          <w:p>
            <w:pPr>
              <w:pStyle w:val="TableContents"/>
              <w:spacing w:before="0" w:after="0"/>
              <w:ind w:hanging="0" w:start="0" w:end="0"/>
              <w:rPr/>
            </w:pPr>
            <w:r>
              <w:rPr/>
              <w:t>France – for violating privacy laws</w:t>
            </w:r>
          </w:p>
        </w:tc>
      </w:tr>
      <w:tr>
        <w:trPr>
          <w:trHeight w:val="861" w:hRule="atLeast"/>
        </w:trPr>
        <w:tc>
          <w:tcPr>
            <w:tcW w:w="1652" w:type="dxa"/>
            <w:tcBorders>
              <w:top w:val="single" w:sz="2" w:space="0" w:color="000000"/>
              <w:start w:val="single" w:sz="2" w:space="0" w:color="000000"/>
              <w:bottom w:val="single" w:sz="2" w:space="0" w:color="000000"/>
              <w:end w:val="single" w:sz="2" w:space="0" w:color="000000"/>
            </w:tcBorders>
            <w:vAlign w:val="center"/>
          </w:tcPr>
          <w:p>
            <w:pPr>
              <w:pStyle w:val="TableContents"/>
              <w:spacing w:before="0" w:after="0"/>
              <w:ind w:hanging="0" w:start="0" w:end="0"/>
              <w:rPr/>
            </w:pPr>
            <w:r>
              <w:rPr/>
              <w:t>April</w:t>
            </w:r>
          </w:p>
        </w:tc>
        <w:tc>
          <w:tcPr>
            <w:tcW w:w="1172" w:type="dxa"/>
            <w:tcBorders>
              <w:top w:val="single" w:sz="2" w:space="0" w:color="000000"/>
              <w:start w:val="single" w:sz="2" w:space="0" w:color="000000"/>
              <w:bottom w:val="single" w:sz="2" w:space="0" w:color="000000"/>
              <w:end w:val="single" w:sz="2" w:space="0" w:color="000000"/>
            </w:tcBorders>
            <w:vAlign w:val="center"/>
          </w:tcPr>
          <w:p>
            <w:pPr>
              <w:pStyle w:val="TableContents"/>
              <w:spacing w:before="0" w:after="0"/>
              <w:ind w:hanging="0" w:start="0" w:end="0"/>
              <w:rPr/>
            </w:pPr>
            <w:r>
              <w:rPr/>
              <w:t>$571M</w:t>
            </w:r>
          </w:p>
        </w:tc>
        <w:tc>
          <w:tcPr>
            <w:tcW w:w="6202" w:type="dxa"/>
            <w:tcBorders>
              <w:top w:val="single" w:sz="2" w:space="0" w:color="000000"/>
              <w:start w:val="single" w:sz="2" w:space="0" w:color="000000"/>
              <w:bottom w:val="single" w:sz="2" w:space="0" w:color="000000"/>
              <w:end w:val="single" w:sz="2" w:space="0" w:color="000000"/>
            </w:tcBorders>
            <w:vAlign w:val="center"/>
          </w:tcPr>
          <w:p>
            <w:pPr>
              <w:pStyle w:val="TableContents"/>
              <w:spacing w:before="0" w:after="0"/>
              <w:ind w:hanging="0" w:start="0" w:end="0"/>
              <w:rPr/>
            </w:pPr>
            <w:r>
              <w:rPr/>
              <w:t>EU – for breaching DMA rules for app stores</w:t>
            </w:r>
          </w:p>
        </w:tc>
      </w:tr>
      <w:tr>
        <w:trPr>
          <w:trHeight w:val="904" w:hRule="atLeast"/>
        </w:trPr>
        <w:tc>
          <w:tcPr>
            <w:tcW w:w="1652" w:type="dxa"/>
            <w:tcBorders>
              <w:top w:val="single" w:sz="2" w:space="0" w:color="000000"/>
              <w:start w:val="single" w:sz="2" w:space="0" w:color="000000"/>
              <w:bottom w:val="single" w:sz="2" w:space="0" w:color="000000"/>
              <w:end w:val="single" w:sz="2" w:space="0" w:color="000000"/>
            </w:tcBorders>
            <w:vAlign w:val="center"/>
          </w:tcPr>
          <w:p>
            <w:pPr>
              <w:pStyle w:val="TableContents"/>
              <w:spacing w:before="0" w:after="0"/>
              <w:ind w:hanging="0" w:start="0" w:end="0"/>
              <w:rPr/>
            </w:pPr>
            <w:r>
              <w:rPr/>
              <w:t>December</w:t>
            </w:r>
          </w:p>
        </w:tc>
        <w:tc>
          <w:tcPr>
            <w:tcW w:w="1172" w:type="dxa"/>
            <w:tcBorders>
              <w:top w:val="single" w:sz="2" w:space="0" w:color="000000"/>
              <w:start w:val="single" w:sz="2" w:space="0" w:color="000000"/>
              <w:bottom w:val="single" w:sz="2" w:space="0" w:color="000000"/>
              <w:end w:val="single" w:sz="2" w:space="0" w:color="000000"/>
            </w:tcBorders>
            <w:vAlign w:val="center"/>
          </w:tcPr>
          <w:p>
            <w:pPr>
              <w:pStyle w:val="TableContents"/>
              <w:spacing w:before="0" w:after="0"/>
              <w:ind w:hanging="0" w:start="0" w:end="0"/>
              <w:rPr/>
            </w:pPr>
            <w:r>
              <w:rPr/>
              <w:t>$115M</w:t>
            </w:r>
          </w:p>
        </w:tc>
        <w:tc>
          <w:tcPr>
            <w:tcW w:w="6202" w:type="dxa"/>
            <w:tcBorders>
              <w:top w:val="single" w:sz="2" w:space="0" w:color="000000"/>
              <w:start w:val="single" w:sz="2" w:space="0" w:color="000000"/>
              <w:bottom w:val="single" w:sz="2" w:space="0" w:color="000000"/>
              <w:end w:val="single" w:sz="2" w:space="0" w:color="000000"/>
            </w:tcBorders>
            <w:vAlign w:val="center"/>
          </w:tcPr>
          <w:p>
            <w:pPr>
              <w:pStyle w:val="TableContents"/>
              <w:spacing w:before="0" w:after="0"/>
              <w:rPr/>
            </w:pPr>
            <w:r>
              <w:rPr/>
              <w:t>Italy – for abusing its dominant App Store position</w:t>
            </w:r>
          </w:p>
        </w:tc>
      </w:tr>
    </w:tbl>
    <w:p>
      <w:pPr>
        <w:pStyle w:val="Normal"/>
        <w:bidi w:val="0"/>
        <w:spacing w:lineRule="auto" w:line="360" w:before="0" w:after="200"/>
        <w:jc w:val="both"/>
        <w:rPr>
          <w:sz w:val="24"/>
          <w:szCs w:val="24"/>
        </w:rPr>
      </w:pPr>
      <w:r>
        <w:rPr>
          <w:sz w:val="24"/>
          <w:szCs w:val="24"/>
        </w:rPr>
      </w:r>
    </w:p>
    <w:p>
      <w:pPr>
        <w:pStyle w:val="Normal"/>
        <w:bidi w:val="0"/>
        <w:spacing w:lineRule="auto" w:line="360" w:before="0" w:after="200"/>
        <w:jc w:val="both"/>
        <w:rPr>
          <w:sz w:val="24"/>
          <w:szCs w:val="24"/>
        </w:rPr>
      </w:pPr>
      <w:r>
        <w:rPr>
          <w:sz w:val="24"/>
          <w:szCs w:val="24"/>
        </w:rPr>
        <w:t>Apple is slowly shifting from absolute control to managed openness because of this. Apple has acknowledged that regulatory navigation is now a nacessaty, hence the appointment of high-level executives like Jennifer Newstead (General Counsel) to bridge the gap between government affairs and legal compliance  (Tech Between the Lines, 2025). Apple is employing Incremental Improvement strategy by waiting for legal precedents to be set by pioneers before committing to a final product architecture (Ahuja and Raichura, 2024). This follower advantage enables Apple to launch its foldable iPhone and AI features with a pre-validated legal framework and reduces the risk of the fines (Softwareseni, 2026).</w:t>
      </w:r>
    </w:p>
    <w:p>
      <w:pPr>
        <w:pStyle w:val="Normal"/>
        <w:bidi w:val="0"/>
        <w:spacing w:lineRule="auto" w:line="360" w:before="0" w:after="200"/>
        <w:jc w:val="both"/>
        <w:rPr>
          <w:sz w:val="24"/>
          <w:szCs w:val="24"/>
        </w:rPr>
      </w:pPr>
      <w:r>
        <w:rPr>
          <w:sz w:val="24"/>
          <w:szCs w:val="24"/>
        </w:rPr>
        <w:t>in Gen AI, Apple’s strategic follower status allows it to meet the rigorous standards of the EU AI Act. Apple has strategically used the delayed time to refine its on-device processing and ‘private cloud Compute’ architectures to align with Article 50 transparency obligations (Artificial Intelligence News, 2026). This creates an opportunity to position itself as the most ‘Privacy Focused’ premium brand while pioneers may face retrofitted compliance challenges in early AI model deployments.</w:t>
      </w:r>
    </w:p>
    <w:p>
      <w:pPr>
        <w:pStyle w:val="Normal"/>
        <w:spacing w:lineRule="auto" w:line="360" w:before="0" w:after="200"/>
        <w:jc w:val="both"/>
        <w:rPr>
          <w:b/>
          <w:bCs/>
          <w:sz w:val="24"/>
          <w:szCs w:val="24"/>
        </w:rPr>
      </w:pPr>
      <w:r>
        <w:rPr>
          <w:b/>
          <w:bCs/>
          <w:sz w:val="24"/>
          <w:szCs w:val="24"/>
        </w:rPr>
      </w:r>
    </w:p>
    <w:p>
      <w:pPr>
        <w:pStyle w:val="Normal"/>
        <w:spacing w:lineRule="auto" w:line="360" w:before="0" w:after="200"/>
        <w:jc w:val="both"/>
        <w:rPr>
          <w:b/>
          <w:bCs/>
          <w:sz w:val="24"/>
          <w:szCs w:val="24"/>
        </w:rPr>
      </w:pPr>
      <w:r>
        <w:rPr>
          <w:b/>
          <w:bCs/>
          <w:sz w:val="24"/>
          <w:szCs w:val="24"/>
        </w:rPr>
        <w:t>Task 2 : Strategic Responses of Pioneer and Follower Organisations</w:t>
      </w:r>
    </w:p>
    <w:p>
      <w:pPr>
        <w:pStyle w:val="Normal"/>
        <w:bidi w:val="0"/>
        <w:spacing w:lineRule="auto" w:line="360" w:before="0" w:after="200"/>
        <w:jc w:val="both"/>
        <w:rPr>
          <w:sz w:val="24"/>
          <w:szCs w:val="24"/>
        </w:rPr>
      </w:pPr>
      <w:r>
        <w:rPr>
          <w:sz w:val="24"/>
          <w:szCs w:val="24"/>
        </w:rPr>
        <w:t>Two foundational frameworks are used to evaluate the strategic responses of Samsung and Apple to the technological and legal shifts of 2026. Ansoff’s Growth Matrix is applied to categorize the direction of each firm’s growth, which clearly explains the continuous ‘product development’ of pioneer organisation in the foldable segment and the follower’s strategic ‘market development’ as it enters new hardware categories.</w:t>
      </w:r>
    </w:p>
    <w:p>
      <w:pPr>
        <w:pStyle w:val="Normal"/>
        <w:bidi w:val="0"/>
        <w:spacing w:lineRule="auto" w:line="360" w:before="0" w:after="200"/>
        <w:jc w:val="both"/>
        <w:rPr>
          <w:rFonts w:ascii="Arial" w:hAnsi="Arial"/>
          <w:sz w:val="24"/>
          <w:szCs w:val="24"/>
        </w:rPr>
      </w:pPr>
      <w:r>
        <w:rPr>
          <w:sz w:val="24"/>
          <w:szCs w:val="24"/>
        </w:rPr>
        <w:drawing>
          <wp:anchor distT="0" distB="0" distL="0" distR="0" simplePos="0" relativeHeight="25" behindDoc="0" locked="0" layoutInCell="0" allowOverlap="1">
            <wp:simplePos x="0" y="0"/>
            <wp:positionH relativeFrom="column">
              <wp:align>center</wp:align>
            </wp:positionH>
            <wp:positionV relativeFrom="paragraph">
              <wp:posOffset>635</wp:posOffset>
            </wp:positionV>
            <wp:extent cx="4802505" cy="3201670"/>
            <wp:effectExtent l="0" t="0" r="0" b="0"/>
            <wp:wrapTopAndBottom/>
            <wp:docPr id="6"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
                    <pic:cNvPicPr>
                      <a:picLocks noChangeAspect="1" noChangeArrowheads="1"/>
                    </pic:cNvPicPr>
                  </pic:nvPicPr>
                  <pic:blipFill>
                    <a:blip r:embed="rId7"/>
                    <a:stretch>
                      <a:fillRect/>
                    </a:stretch>
                  </pic:blipFill>
                  <pic:spPr bwMode="auto">
                    <a:xfrm>
                      <a:off x="0" y="0"/>
                      <a:ext cx="4802505" cy="3201670"/>
                    </a:xfrm>
                    <a:prstGeom prst="rect">
                      <a:avLst/>
                    </a:prstGeom>
                    <a:noFill/>
                  </pic:spPr>
                </pic:pic>
              </a:graphicData>
            </a:graphic>
          </wp:anchor>
        </w:drawing>
      </w:r>
    </w:p>
    <w:p>
      <w:pPr>
        <w:pStyle w:val="Normal"/>
        <w:bidi w:val="0"/>
        <w:spacing w:lineRule="auto" w:line="360" w:before="0" w:after="200"/>
        <w:jc w:val="both"/>
        <w:rPr>
          <w:sz w:val="24"/>
          <w:szCs w:val="24"/>
        </w:rPr>
      </w:pPr>
      <w:r>
        <w:rPr>
          <w:sz w:val="24"/>
          <w:szCs w:val="24"/>
        </w:rPr>
        <w:t>Simultaneously, Porter’s Generic Strategies are applied to assess the nature of their competitive advantage – which clearly explains Samsung’s move toward a mix of cost leadership through vertical integration and differentiation, and Apple is deeply commitment to a broad differentiation strategy. When combined, these 2 frameworks provide a structured perspective to critically appraise how each organization is maintaining the market relevance against 2 macro environmental factors : regulatory pressures and technological disruption.</w:t>
      </w:r>
    </w:p>
    <w:p>
      <w:pPr>
        <w:pStyle w:val="Normal"/>
        <w:pageBreakBefore w:val="false"/>
        <w:spacing w:lineRule="auto" w:line="360" w:before="0" w:after="200"/>
        <w:jc w:val="both"/>
        <w:rPr>
          <w:rFonts w:ascii="Arial" w:hAnsi="Arial" w:eastAsia="Arial" w:cs="Arial"/>
          <w:b w:val="false"/>
          <w:bCs w:val="false"/>
          <w:i w:val="false"/>
          <w:caps w:val="false"/>
          <w:smallCaps w:val="false"/>
          <w:strike w:val="false"/>
          <w:dstrike w:val="false"/>
          <w:color w:val="000000"/>
          <w:position w:val="0"/>
          <w:sz w:val="24"/>
          <w:szCs w:val="24"/>
          <w:u w:val="none"/>
          <w:shd w:fill="auto" w:val="clear"/>
          <w:vertAlign w:val="baseline"/>
        </w:rPr>
      </w:pP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drawing>
          <wp:anchor distT="0" distB="0" distL="0" distR="0" simplePos="0" relativeHeight="26" behindDoc="0" locked="0" layoutInCell="0" allowOverlap="1">
            <wp:simplePos x="0" y="0"/>
            <wp:positionH relativeFrom="column">
              <wp:align>center</wp:align>
            </wp:positionH>
            <wp:positionV relativeFrom="paragraph">
              <wp:posOffset>635</wp:posOffset>
            </wp:positionV>
            <wp:extent cx="5175250" cy="3449955"/>
            <wp:effectExtent l="0" t="0" r="0" b="0"/>
            <wp:wrapTopAndBottom/>
            <wp:docPr id="7"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4"/>
                    <pic:cNvPicPr>
                      <a:picLocks noChangeAspect="1" noChangeArrowheads="1"/>
                    </pic:cNvPicPr>
                  </pic:nvPicPr>
                  <pic:blipFill>
                    <a:blip r:embed="rId8"/>
                    <a:stretch>
                      <a:fillRect/>
                    </a:stretch>
                  </pic:blipFill>
                  <pic:spPr bwMode="auto">
                    <a:xfrm>
                      <a:off x="0" y="0"/>
                      <a:ext cx="5175250" cy="3449955"/>
                    </a:xfrm>
                    <a:prstGeom prst="rect">
                      <a:avLst/>
                    </a:prstGeom>
                    <a:noFill/>
                  </pic:spPr>
                </pic:pic>
              </a:graphicData>
            </a:graphic>
          </wp:anchor>
        </w:drawing>
      </w:r>
    </w:p>
    <w:p>
      <w:pPr>
        <w:pStyle w:val="Normal"/>
        <w:bidi w:val="0"/>
        <w:spacing w:lineRule="auto" w:line="360" w:before="0" w:after="200"/>
        <w:jc w:val="both"/>
        <w:rPr>
          <w:sz w:val="24"/>
          <w:szCs w:val="24"/>
        </w:rPr>
      </w:pPr>
      <w:r>
        <w:rPr>
          <w:rFonts w:eastAsia="Arial" w:cs="Arial"/>
          <w:b/>
          <w:bCs/>
          <w:i w:val="false"/>
          <w:caps w:val="false"/>
          <w:smallCaps w:val="false"/>
          <w:strike w:val="false"/>
          <w:dstrike w:val="false"/>
          <w:color w:val="000000"/>
          <w:position w:val="0"/>
          <w:sz w:val="24"/>
          <w:szCs w:val="24"/>
          <w:u w:val="none"/>
          <w:shd w:fill="auto" w:val="clear"/>
          <w:vertAlign w:val="baseline"/>
        </w:rPr>
        <w:t>2.1 Pioneering Organisation’s Strategic Responses : Samsung</w:t>
      </w:r>
    </w:p>
    <w:p>
      <w:pPr>
        <w:pStyle w:val="Normal"/>
        <w:bidi w:val="0"/>
        <w:spacing w:lineRule="auto" w:line="360" w:before="0" w:after="200"/>
        <w:jc w:val="both"/>
        <w:rPr>
          <w:rFonts w:eastAsia="Arial" w:cs="Arial"/>
          <w:b w:val="false"/>
          <w:bCs w:val="false"/>
          <w:i w:val="false"/>
          <w:caps w:val="false"/>
          <w:smallCaps w:val="false"/>
          <w:strike w:val="false"/>
          <w:dstrike w:val="false"/>
          <w:color w:val="000000"/>
          <w:position w:val="0"/>
          <w:sz w:val="24"/>
          <w:szCs w:val="24"/>
          <w:u w:val="none"/>
          <w:shd w:fill="auto" w:val="clear"/>
          <w:vertAlign w:val="baseline"/>
        </w:rPr>
      </w:pP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As the industry pioneer, Samsung’s strategic response to these macro-environmental factors can be seen in it’s shift from ‘leading through innovation’ to ‘AI as infrastructure’.Samsung has implemented a proactive, vertically integrated strategy that prioritizes technological dominance and legal resilience to sustain its 19% global unit shipment lead during rising memory costs and the looming entry of a premium follower (Omdia, 2026; Crispidea, 2025).</w:t>
      </w:r>
    </w:p>
    <w:p>
      <w:pPr>
        <w:pStyle w:val="Normal"/>
        <w:bidi w:val="0"/>
        <w:spacing w:lineRule="auto" w:line="360" w:before="0" w:after="200"/>
        <w:jc w:val="both"/>
        <w:rPr>
          <w:rFonts w:eastAsia="Arial" w:cs="Arial"/>
          <w:b w:val="false"/>
          <w:bCs w:val="false"/>
          <w:i w:val="false"/>
          <w:caps w:val="false"/>
          <w:smallCaps w:val="false"/>
          <w:strike w:val="false"/>
          <w:dstrike w:val="false"/>
          <w:color w:val="000000"/>
          <w:sz w:val="24"/>
          <w:szCs w:val="24"/>
          <w:u w:val="none"/>
          <w:shd w:fill="auto" w:val="clear"/>
        </w:rPr>
      </w:pPr>
      <w:r>
        <w:rPr>
          <w:rFonts w:eastAsia="Arial" w:cs="Arial"/>
          <w:b w:val="false"/>
          <w:bCs w:val="false"/>
          <w:i w:val="false"/>
          <w:caps w:val="false"/>
          <w:smallCaps w:val="false"/>
          <w:strike w:val="false"/>
          <w:dstrike w:val="false"/>
          <w:color w:val="000000"/>
          <w:sz w:val="24"/>
          <w:szCs w:val="24"/>
          <w:u w:val="none"/>
          <w:shd w:fill="auto" w:val="clear"/>
        </w:rPr>
      </w:r>
    </w:p>
    <w:p>
      <w:pPr>
        <w:pStyle w:val="Normal"/>
        <w:bidi w:val="0"/>
        <w:spacing w:lineRule="auto" w:line="360" w:before="0" w:after="200"/>
        <w:jc w:val="both"/>
        <w:rPr>
          <w:sz w:val="24"/>
          <w:szCs w:val="24"/>
        </w:rPr>
      </w:pPr>
      <w:r>
        <w:rPr>
          <w:rFonts w:eastAsia="Arial" w:cs="Arial"/>
          <w:b/>
          <w:bCs/>
          <w:i w:val="false"/>
          <w:caps w:val="false"/>
          <w:smallCaps w:val="false"/>
          <w:strike w:val="false"/>
          <w:dstrike w:val="false"/>
          <w:color w:val="000000"/>
          <w:position w:val="0"/>
          <w:sz w:val="24"/>
          <w:szCs w:val="24"/>
          <w:u w:val="none"/>
          <w:shd w:fill="auto" w:val="clear"/>
          <w:vertAlign w:val="baseline"/>
        </w:rPr>
        <w:t>Samsung’s Strategic Responses</w:t>
      </w:r>
    </w:p>
    <w:p>
      <w:pPr>
        <w:pStyle w:val="Normal"/>
        <w:bidi w:val="0"/>
        <w:spacing w:lineRule="auto" w:line="360" w:before="0" w:after="200"/>
        <w:jc w:val="both"/>
        <w:rPr>
          <w:sz w:val="24"/>
          <w:szCs w:val="24"/>
        </w:rPr>
      </w:pP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As a primary response, Samsung’s aggressively accelerated its R&amp;D roadmap. In 2026, the company announced a record investment of $74 billion (KRW 110 trillion) in factories and R&amp;D, Which is specifically aimed at securing its lead in the ‘AI Semiconductor’ and ‘Agentic AI segments’ (SamMobile, 2026). Despite risen memory costs and silicon shortage, Samsung reported a record $13.8 billion Q4 profit in early 2026 (Tech in Asia, 2026; Omdia, 2026).</w:t>
      </w:r>
    </w:p>
    <w:p>
      <w:pPr>
        <w:pStyle w:val="Normal"/>
        <w:bidi w:val="0"/>
        <w:spacing w:lineRule="auto" w:line="360" w:before="0" w:after="200"/>
        <w:jc w:val="both"/>
        <w:rPr>
          <w:sz w:val="24"/>
          <w:szCs w:val="24"/>
        </w:rPr>
      </w:pP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Regarding the Legal challenges posed by the EU AI Act, Samsung responded with it’s shift towards a ‘Safety-by-Design’ posture through implementation of ‘AI Guardrails’ and ‘Privacy Display’ technology, which serves as a direct response to Article 50’s transparency mandates. These changes allow Samsung to offer a legally compliant premium experience (Samsung SDS, 2026; Softwareseni, 2026).</w:t>
      </w:r>
    </w:p>
    <w:p>
      <w:pPr>
        <w:pStyle w:val="Normal"/>
        <w:bidi w:val="0"/>
        <w:spacing w:lineRule="auto" w:line="360" w:before="0" w:after="200"/>
        <w:jc w:val="both"/>
        <w:rPr>
          <w:sz w:val="24"/>
          <w:szCs w:val="24"/>
        </w:rPr>
      </w:pPr>
      <w:r>
        <w:rPr>
          <w:rFonts w:eastAsia="Arial" w:cs="Arial"/>
          <w:b/>
          <w:bCs/>
          <w:i w:val="false"/>
          <w:caps w:val="false"/>
          <w:smallCaps w:val="false"/>
          <w:strike w:val="false"/>
          <w:dstrike w:val="false"/>
          <w:color w:val="000000"/>
          <w:position w:val="0"/>
          <w:sz w:val="24"/>
          <w:szCs w:val="24"/>
          <w:u w:val="none"/>
          <w:shd w:fill="auto" w:val="clear"/>
          <w:vertAlign w:val="baseline"/>
        </w:rPr>
        <w:t>Application of Ansoff’s Growth Matrix</w:t>
      </w:r>
    </w:p>
    <w:p>
      <w:pPr>
        <w:pStyle w:val="Normal"/>
        <w:bidi w:val="0"/>
        <w:spacing w:lineRule="auto" w:line="360" w:before="0" w:after="200"/>
        <w:jc w:val="both"/>
        <w:rPr>
          <w:sz w:val="24"/>
          <w:szCs w:val="24"/>
        </w:rPr>
      </w:pP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Samsung’s strategic maneuvers in 2026 can be most effectively analyzed through Ansoff’s Growth Matrix, which reveals a dual-focus on depth and breadth:</w:t>
      </w:r>
    </w:p>
    <w:p>
      <w:pPr>
        <w:pStyle w:val="Normal"/>
        <w:bidi w:val="0"/>
        <w:spacing w:lineRule="auto" w:line="360" w:before="0" w:after="200"/>
        <w:jc w:val="both"/>
        <w:rPr>
          <w:sz w:val="24"/>
          <w:szCs w:val="24"/>
        </w:rPr>
      </w:pPr>
      <w:r>
        <w:rPr>
          <w:rFonts w:eastAsia="Arial" w:cs="Arial"/>
          <w:b/>
          <w:bCs/>
          <w:i w:val="false"/>
          <w:caps w:val="false"/>
          <w:smallCaps w:val="false"/>
          <w:strike w:val="false"/>
          <w:dstrike w:val="false"/>
          <w:color w:val="000000"/>
          <w:position w:val="0"/>
          <w:sz w:val="24"/>
          <w:szCs w:val="24"/>
          <w:u w:val="none"/>
          <w:shd w:fill="auto" w:val="clear"/>
          <w:vertAlign w:val="baseline"/>
        </w:rPr>
        <w:t>Product Development:</w:t>
      </w: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 xml:space="preserve"> This is Samsung’s core pioneering strategy. By launching the Galaxy Z Fold 8 and the first Tri-fold devices, Samsung is creating new products for its existing premium customer base (ResearchGate, 2025). This strategy is designed to defend its first-mover advantage by raising the technical bar so high and increasing the catch up cost of late-movers (Crispidea, 2025).</w:t>
      </w:r>
    </w:p>
    <w:p>
      <w:pPr>
        <w:pStyle w:val="Normal"/>
        <w:bidi w:val="0"/>
        <w:spacing w:lineRule="auto" w:line="360" w:before="0" w:after="200"/>
        <w:jc w:val="both"/>
        <w:rPr>
          <w:sz w:val="24"/>
          <w:szCs w:val="24"/>
        </w:rPr>
      </w:pP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By introducing the Galaxy S26 series with agentic AI that is capable of reasoning and cross-app execution, Samsung is projecting their devices as a proactive companion and attempting to lock users into it’s ecosystem. Thereby mitigating the threat of consumer switching as competitors also mature afterwards (Samsung Newsroom, 2026).</w:t>
      </w:r>
    </w:p>
    <w:p>
      <w:pPr>
        <w:pStyle w:val="Normal"/>
        <w:bidi w:val="0"/>
        <w:spacing w:lineRule="auto" w:line="360" w:before="0" w:after="200"/>
        <w:jc w:val="both"/>
        <w:rPr>
          <w:sz w:val="24"/>
          <w:szCs w:val="24"/>
        </w:rPr>
      </w:pPr>
      <w:r>
        <w:rPr>
          <w:rFonts w:eastAsia="Arial" w:cs="Arial"/>
          <w:b/>
          <w:bCs/>
          <w:i w:val="false"/>
          <w:caps w:val="false"/>
          <w:smallCaps w:val="false"/>
          <w:strike w:val="false"/>
          <w:dstrike w:val="false"/>
          <w:color w:val="000000"/>
          <w:position w:val="0"/>
          <w:sz w:val="24"/>
          <w:szCs w:val="24"/>
          <w:u w:val="none"/>
          <w:shd w:fill="auto" w:val="clear"/>
          <w:vertAlign w:val="baseline"/>
        </w:rPr>
        <w:t>Market Development:</w:t>
      </w: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 xml:space="preserve"> Samsung is aggressively pivoting its mobile AI expertise into the B2B and Enterprise segments through its ‘enterprise AI connect 2026’ initiative; Samsung is offering full-stack AI services to entirely new sectors like manufacturing and finance(Samsung SDS, 2026).</w:t>
      </w:r>
    </w:p>
    <w:p>
      <w:pPr>
        <w:pStyle w:val="Normal"/>
        <w:bidi w:val="0"/>
        <w:spacing w:lineRule="auto" w:line="360" w:before="0" w:after="200"/>
        <w:jc w:val="both"/>
        <w:rPr>
          <w:sz w:val="24"/>
          <w:szCs w:val="24"/>
        </w:rPr>
      </w:pPr>
      <w:r>
        <w:rPr>
          <w:rFonts w:eastAsia="Arial" w:cs="Arial"/>
          <w:b/>
          <w:bCs/>
          <w:i w:val="false"/>
          <w:caps w:val="false"/>
          <w:smallCaps w:val="false"/>
          <w:strike w:val="false"/>
          <w:dstrike w:val="false"/>
          <w:color w:val="000000"/>
          <w:position w:val="0"/>
          <w:sz w:val="24"/>
          <w:szCs w:val="24"/>
          <w:u w:val="none"/>
          <w:shd w:fill="auto" w:val="clear"/>
          <w:vertAlign w:val="baseline"/>
        </w:rPr>
        <w:t>Diversification:</w:t>
      </w: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 xml:space="preserve"> Samsung is diversifying into humanoid robotics and AI-driven healthcare to mitigate the cyclical risks of the smartphone market. its internal ‘Device Solutions’ (DS) division will provide the chips and displays that are nacessary for these new industries (SamMobile, 2026; Crispidea, 2025).</w:t>
      </w:r>
    </w:p>
    <w:p>
      <w:pPr>
        <w:pStyle w:val="Normal"/>
        <w:bidi w:val="0"/>
        <w:spacing w:lineRule="auto" w:line="360" w:before="0" w:after="200"/>
        <w:jc w:val="both"/>
        <w:rPr>
          <w:rFonts w:eastAsia="Arial" w:cs="Arial"/>
          <w:b w:val="false"/>
          <w:bCs w:val="false"/>
          <w:i w:val="false"/>
          <w:caps w:val="false"/>
          <w:smallCaps w:val="false"/>
          <w:strike w:val="false"/>
          <w:dstrike w:val="false"/>
          <w:color w:val="000000"/>
          <w:sz w:val="24"/>
          <w:szCs w:val="24"/>
          <w:u w:val="none"/>
          <w:shd w:fill="auto" w:val="clear"/>
        </w:rPr>
      </w:pPr>
      <w:r>
        <w:rPr>
          <w:rFonts w:eastAsia="Arial" w:cs="Arial"/>
          <w:b w:val="false"/>
          <w:bCs w:val="false"/>
          <w:i w:val="false"/>
          <w:caps w:val="false"/>
          <w:smallCaps w:val="false"/>
          <w:strike w:val="false"/>
          <w:dstrike w:val="false"/>
          <w:color w:val="000000"/>
          <w:sz w:val="24"/>
          <w:szCs w:val="24"/>
          <w:u w:val="none"/>
          <w:shd w:fill="auto" w:val="clear"/>
        </w:rPr>
      </w:r>
    </w:p>
    <w:p>
      <w:pPr>
        <w:pStyle w:val="Normal"/>
        <w:bidi w:val="0"/>
        <w:spacing w:lineRule="auto" w:line="360" w:before="0" w:after="200"/>
        <w:jc w:val="both"/>
        <w:rPr>
          <w:sz w:val="24"/>
          <w:szCs w:val="24"/>
        </w:rPr>
      </w:pPr>
      <w:r>
        <w:rPr>
          <w:rFonts w:eastAsia="Arial" w:cs="Arial"/>
          <w:b/>
          <w:bCs/>
          <w:i w:val="false"/>
          <w:caps w:val="false"/>
          <w:smallCaps w:val="false"/>
          <w:strike w:val="false"/>
          <w:dstrike w:val="false"/>
          <w:color w:val="000000"/>
          <w:position w:val="0"/>
          <w:sz w:val="24"/>
          <w:szCs w:val="24"/>
          <w:u w:val="none"/>
          <w:shd w:fill="auto" w:val="clear"/>
          <w:vertAlign w:val="baseline"/>
        </w:rPr>
        <w:t xml:space="preserve">2.2 Follower Organisation’s Strategic Responses : </w:t>
      </w:r>
      <w:r>
        <w:rPr>
          <w:rFonts w:eastAsia="Arial" w:cs="Arial"/>
          <w:b/>
          <w:bCs/>
          <w:i w:val="false"/>
          <w:caps w:val="false"/>
          <w:smallCaps w:val="false"/>
          <w:strike w:val="false"/>
          <w:dstrike w:val="false"/>
          <w:color w:val="000000"/>
          <w:position w:val="0"/>
          <w:sz w:val="24"/>
          <w:szCs w:val="24"/>
          <w:u w:val="none"/>
          <w:shd w:fill="auto" w:val="clear"/>
          <w:vertAlign w:val="baseline"/>
        </w:rPr>
        <w:t>Apple</w:t>
      </w:r>
    </w:p>
    <w:p>
      <w:pPr>
        <w:pStyle w:val="Normal"/>
        <w:bidi w:val="0"/>
        <w:spacing w:lineRule="auto" w:line="360" w:before="0" w:after="200"/>
        <w:jc w:val="both"/>
        <w:rPr>
          <w:sz w:val="24"/>
          <w:szCs w:val="24"/>
        </w:rPr>
      </w:pP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Apple’s is prioritizing ecosystem refinement and legal safety as a response to these macro-environmental forces. Apple has utilized it’s late-mover advantage to avoid the high R&amp;D costs. By delaying its entry into the foldable and generative AI segments until 2026, it was able to launch products that meet a higher standards (Ahuja and Raichura, 2024).</w:t>
      </w:r>
    </w:p>
    <w:p>
      <w:pPr>
        <w:pStyle w:val="Normal"/>
        <w:bidi w:val="0"/>
        <w:spacing w:lineRule="auto" w:line="360" w:before="0" w:after="200"/>
        <w:jc w:val="both"/>
        <w:rPr>
          <w:sz w:val="24"/>
          <w:szCs w:val="24"/>
        </w:rPr>
      </w:pPr>
      <w:r>
        <w:rPr>
          <w:rFonts w:eastAsia="Arial" w:cs="Arial"/>
          <w:b/>
          <w:bCs/>
          <w:i w:val="false"/>
          <w:caps w:val="false"/>
          <w:smallCaps w:val="false"/>
          <w:strike w:val="false"/>
          <w:dstrike w:val="false"/>
          <w:color w:val="000000"/>
          <w:position w:val="0"/>
          <w:sz w:val="24"/>
          <w:szCs w:val="24"/>
          <w:u w:val="none"/>
          <w:shd w:fill="auto" w:val="clear"/>
          <w:vertAlign w:val="baseline"/>
        </w:rPr>
        <w:t>Apple’s Strategic Responses</w:t>
      </w:r>
    </w:p>
    <w:p>
      <w:pPr>
        <w:pStyle w:val="Normal"/>
        <w:bidi w:val="0"/>
        <w:spacing w:lineRule="auto" w:line="360" w:before="0" w:after="200"/>
        <w:jc w:val="both"/>
        <w:rPr>
          <w:sz w:val="24"/>
          <w:szCs w:val="24"/>
        </w:rPr>
      </w:pP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Apple has shifted it’s focus to productivity and utility. Apple addressed the consumer demand for on-device AI that does not compromise data integrity by integrating ‘Apple Intelligence’ into its first foldable iPhone. Which is a local-first, privacy-centric AI framework developed by Apple (9to5Mac, 2026). It also marketed on 7.8-inch display optimized for iPadOS-style multitasking (BW Businessworld, 2026).</w:t>
      </w:r>
    </w:p>
    <w:p>
      <w:pPr>
        <w:pStyle w:val="Normal"/>
        <w:bidi w:val="0"/>
        <w:spacing w:lineRule="auto" w:line="360" w:before="0" w:after="200"/>
        <w:jc w:val="both"/>
        <w:rPr>
          <w:rFonts w:eastAsia="Arial" w:cs="Arial"/>
          <w:b w:val="false"/>
          <w:bCs w:val="false"/>
          <w:i w:val="false"/>
          <w:caps w:val="false"/>
          <w:smallCaps w:val="false"/>
          <w:strike w:val="false"/>
          <w:dstrike w:val="false"/>
          <w:color w:val="000000"/>
          <w:position w:val="0"/>
          <w:sz w:val="24"/>
          <w:szCs w:val="24"/>
          <w:u w:val="none"/>
          <w:shd w:fill="auto" w:val="clear"/>
          <w:vertAlign w:val="baseline"/>
        </w:rPr>
      </w:pP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For legal challenges, Apple has adopted a strategy of ‘Managed Openness’. Apple has restrained its AI rollouts in Europe to ensure its private cloud compute architecture meets Article 50 transparency mandates before market entry. This was done  In response to the EU AI Act of 2026 and the Digital Markets Act  (Softwareseni, 2026; Artificial Intelligence News, 2026). This delibrate delay ensures that Apple maintains its premium brand reputation for "Privacy as a Human Right" while navigating the threat of massive antitrust fines (9to5Mac, 2026).</w:t>
      </w:r>
    </w:p>
    <w:p>
      <w:pPr>
        <w:pStyle w:val="Normal"/>
        <w:bidi w:val="0"/>
        <w:spacing w:lineRule="auto" w:line="360" w:before="0" w:after="200"/>
        <w:jc w:val="both"/>
        <w:rPr>
          <w:rFonts w:eastAsia="Arial" w:cs="Arial"/>
          <w:b w:val="false"/>
          <w:bCs w:val="false"/>
          <w:i w:val="false"/>
          <w:caps w:val="false"/>
          <w:smallCaps w:val="false"/>
          <w:strike w:val="false"/>
          <w:dstrike w:val="false"/>
          <w:color w:val="000000"/>
          <w:sz w:val="24"/>
          <w:szCs w:val="24"/>
          <w:u w:val="none"/>
          <w:shd w:fill="auto" w:val="clear"/>
        </w:rPr>
      </w:pPr>
      <w:r>
        <w:rPr>
          <w:rFonts w:eastAsia="Arial" w:cs="Arial"/>
          <w:b w:val="false"/>
          <w:bCs w:val="false"/>
          <w:i w:val="false"/>
          <w:caps w:val="false"/>
          <w:smallCaps w:val="false"/>
          <w:strike w:val="false"/>
          <w:dstrike w:val="false"/>
          <w:color w:val="000000"/>
          <w:sz w:val="24"/>
          <w:szCs w:val="24"/>
          <w:u w:val="none"/>
          <w:shd w:fill="auto" w:val="clear"/>
        </w:rPr>
      </w:r>
    </w:p>
    <w:p>
      <w:pPr>
        <w:pStyle w:val="Normal"/>
        <w:bidi w:val="0"/>
        <w:spacing w:lineRule="auto" w:line="360" w:before="0" w:after="200"/>
        <w:jc w:val="both"/>
        <w:rPr>
          <w:sz w:val="24"/>
          <w:szCs w:val="24"/>
        </w:rPr>
      </w:pPr>
      <w:r>
        <w:rPr>
          <w:rFonts w:eastAsia="Arial" w:cs="Arial"/>
          <w:b/>
          <w:bCs/>
          <w:i w:val="false"/>
          <w:caps w:val="false"/>
          <w:smallCaps w:val="false"/>
          <w:strike w:val="false"/>
          <w:dstrike w:val="false"/>
          <w:color w:val="000000"/>
          <w:position w:val="0"/>
          <w:sz w:val="24"/>
          <w:szCs w:val="24"/>
          <w:u w:val="none"/>
          <w:shd w:fill="auto" w:val="clear"/>
          <w:vertAlign w:val="baseline"/>
        </w:rPr>
        <w:t>Application of Porter’s Generic Strategies: Broad Differentiation</w:t>
      </w:r>
    </w:p>
    <w:p>
      <w:pPr>
        <w:pStyle w:val="Normal"/>
        <w:bidi w:val="0"/>
        <w:spacing w:lineRule="auto" w:line="360" w:before="0" w:after="200"/>
        <w:jc w:val="both"/>
        <w:rPr>
          <w:sz w:val="24"/>
          <w:szCs w:val="24"/>
        </w:rPr>
      </w:pP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Apple’s strategic response is most clearly defined through Porter’s Generic Strategy of Broad Differentiation. While rivals are competing on volume or price, Apple is differentiating in 3 ways:</w:t>
      </w:r>
    </w:p>
    <w:p>
      <w:pPr>
        <w:pStyle w:val="Normal"/>
        <w:bidi w:val="0"/>
        <w:spacing w:lineRule="auto" w:line="360" w:before="0" w:after="200"/>
        <w:jc w:val="both"/>
        <w:rPr>
          <w:sz w:val="24"/>
          <w:szCs w:val="24"/>
        </w:rPr>
      </w:pPr>
      <w:r>
        <w:rPr>
          <w:rFonts w:eastAsia="Arial" w:cs="Arial"/>
          <w:b/>
          <w:bCs/>
          <w:i w:val="false"/>
          <w:caps w:val="false"/>
          <w:smallCaps w:val="false"/>
          <w:strike w:val="false"/>
          <w:dstrike w:val="false"/>
          <w:color w:val="000000"/>
          <w:position w:val="0"/>
          <w:sz w:val="24"/>
          <w:szCs w:val="24"/>
          <w:u w:val="none"/>
          <w:shd w:fill="auto" w:val="clear"/>
          <w:vertAlign w:val="baseline"/>
        </w:rPr>
        <w:t>Ecosystem Lock-in:</w:t>
      </w: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 xml:space="preserve"> Apple not just attract new users by optimizing the "iPhone Fold" to work seamlessly with existing Apple services, but it will deepen it’s commitment to it’s 2.5 billion active device base (Intellectia AI, 2026).</w:t>
      </w:r>
    </w:p>
    <w:p>
      <w:pPr>
        <w:pStyle w:val="Normal"/>
        <w:bidi w:val="0"/>
        <w:spacing w:lineRule="auto" w:line="360" w:before="0" w:after="200"/>
        <w:jc w:val="both"/>
        <w:rPr>
          <w:sz w:val="24"/>
          <w:szCs w:val="24"/>
        </w:rPr>
      </w:pPr>
      <w:r>
        <w:rPr>
          <w:rFonts w:eastAsia="Arial" w:cs="Arial"/>
          <w:b/>
          <w:bCs/>
          <w:i w:val="false"/>
          <w:caps w:val="false"/>
          <w:smallCaps w:val="false"/>
          <w:strike w:val="false"/>
          <w:dstrike w:val="false"/>
          <w:color w:val="000000"/>
          <w:position w:val="0"/>
          <w:sz w:val="24"/>
          <w:szCs w:val="24"/>
          <w:u w:val="none"/>
          <w:shd w:fill="auto" w:val="clear"/>
          <w:vertAlign w:val="baseline"/>
        </w:rPr>
        <w:t>Premium Quality over First-to-Market:</w:t>
      </w: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 xml:space="preserve"> Apple is prioritizing its most expensive models ($2,400+ ASP) to maximize margins amidst the memory crunch. Here also Apple is effectively using differentiation to decouple its revenue from volume-based price wars (TelecomLead, 2026; IndexBox, 2026).</w:t>
      </w:r>
    </w:p>
    <w:p>
      <w:pPr>
        <w:pStyle w:val="Normal"/>
        <w:bidi w:val="0"/>
        <w:spacing w:lineRule="auto" w:line="360" w:before="0" w:after="200"/>
        <w:jc w:val="both"/>
        <w:rPr>
          <w:rFonts w:eastAsia="Arial" w:cs="Arial"/>
          <w:b w:val="false"/>
          <w:bCs w:val="false"/>
          <w:i w:val="false"/>
          <w:caps w:val="false"/>
          <w:smallCaps w:val="false"/>
          <w:strike w:val="false"/>
          <w:dstrike w:val="false"/>
          <w:color w:val="000000"/>
          <w:sz w:val="24"/>
          <w:szCs w:val="24"/>
          <w:u w:val="none"/>
          <w:shd w:fill="auto" w:val="clear"/>
        </w:rPr>
      </w:pPr>
      <w:r>
        <w:rPr>
          <w:rFonts w:eastAsia="Arial" w:cs="Arial"/>
          <w:b w:val="false"/>
          <w:bCs w:val="false"/>
          <w:i w:val="false"/>
          <w:caps w:val="false"/>
          <w:smallCaps w:val="false"/>
          <w:strike w:val="false"/>
          <w:dstrike w:val="false"/>
          <w:color w:val="000000"/>
          <w:sz w:val="24"/>
          <w:szCs w:val="24"/>
          <w:u w:val="none"/>
          <w:shd w:fill="auto" w:val="clear"/>
        </w:rPr>
        <w:drawing>
          <wp:anchor distT="0" distB="0" distL="0" distR="0" simplePos="0" relativeHeight="31" behindDoc="0" locked="0" layoutInCell="0" allowOverlap="1">
            <wp:simplePos x="0" y="0"/>
            <wp:positionH relativeFrom="column">
              <wp:align>center</wp:align>
            </wp:positionH>
            <wp:positionV relativeFrom="paragraph">
              <wp:posOffset>635</wp:posOffset>
            </wp:positionV>
            <wp:extent cx="5731510" cy="2845435"/>
            <wp:effectExtent l="0" t="0" r="0" b="0"/>
            <wp:wrapTopAndBottom/>
            <wp:docPr id="8"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9"/>
                    <pic:cNvPicPr>
                      <a:picLocks noChangeAspect="1" noChangeArrowheads="1"/>
                    </pic:cNvPicPr>
                  </pic:nvPicPr>
                  <pic:blipFill>
                    <a:blip r:embed="rId9"/>
                    <a:stretch>
                      <a:fillRect/>
                    </a:stretch>
                  </pic:blipFill>
                  <pic:spPr bwMode="auto">
                    <a:xfrm>
                      <a:off x="0" y="0"/>
                      <a:ext cx="5731510" cy="2845435"/>
                    </a:xfrm>
                    <a:prstGeom prst="rect">
                      <a:avLst/>
                    </a:prstGeom>
                    <a:noFill/>
                  </pic:spPr>
                </pic:pic>
              </a:graphicData>
            </a:graphic>
          </wp:anchor>
        </w:drawing>
      </w:r>
    </w:p>
    <w:p>
      <w:pPr>
        <w:pStyle w:val="Normal"/>
        <w:bidi w:val="0"/>
        <w:spacing w:lineRule="auto" w:line="360" w:before="0" w:after="200"/>
        <w:jc w:val="both"/>
        <w:rPr>
          <w:sz w:val="24"/>
          <w:szCs w:val="24"/>
        </w:rPr>
      </w:pPr>
      <w:r>
        <w:rPr>
          <w:rFonts w:eastAsia="Arial" w:cs="Arial"/>
          <w:b/>
          <w:bCs/>
          <w:i w:val="false"/>
          <w:caps w:val="false"/>
          <w:smallCaps w:val="false"/>
          <w:strike w:val="false"/>
          <w:dstrike w:val="false"/>
          <w:color w:val="000000"/>
          <w:position w:val="0"/>
          <w:sz w:val="24"/>
          <w:szCs w:val="24"/>
          <w:u w:val="none"/>
          <w:shd w:fill="auto" w:val="clear"/>
          <w:vertAlign w:val="baseline"/>
        </w:rPr>
        <w:t>Privacy-Centric AI:</w:t>
      </w: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t xml:space="preserve"> In a saturated market, Apple differentiates through custom M-series and A-series silicon and processing apple intelligence directly on it. It creates a sense of security that rivals cannot easily replicate using third-party chips (Computerworld, 2026).</w:t>
      </w:r>
    </w:p>
    <w:p>
      <w:pPr>
        <w:pStyle w:val="Normal"/>
        <w:bidi w:val="0"/>
        <w:spacing w:lineRule="auto" w:line="360" w:before="0" w:after="200"/>
        <w:jc w:val="both"/>
        <w:rPr>
          <w:rFonts w:ascii="Arial" w:hAnsi="Arial" w:eastAsia="Arial" w:cs="Arial"/>
          <w:b w:val="false"/>
          <w:bCs w:val="false"/>
          <w:i w:val="false"/>
          <w:caps w:val="false"/>
          <w:smallCaps w:val="false"/>
          <w:strike w:val="false"/>
          <w:dstrike w:val="false"/>
          <w:color w:val="000000"/>
          <w:position w:val="0"/>
          <w:sz w:val="24"/>
          <w:szCs w:val="24"/>
          <w:u w:val="none"/>
          <w:shd w:fill="auto" w:val="clear"/>
          <w:vertAlign w:val="baseline"/>
        </w:rPr>
      </w:pPr>
      <w:r>
        <w:rPr>
          <w:rFonts w:eastAsia="Arial" w:cs="Arial"/>
          <w:b w:val="false"/>
          <w:bCs w:val="false"/>
          <w:i w:val="false"/>
          <w:caps w:val="false"/>
          <w:smallCaps w:val="false"/>
          <w:strike w:val="false"/>
          <w:dstrike w:val="false"/>
          <w:color w:val="000000"/>
          <w:position w:val="0"/>
          <w:sz w:val="24"/>
          <w:szCs w:val="24"/>
          <w:u w:val="none"/>
          <w:shd w:fill="auto" w:val="clear"/>
          <w:vertAlign w:val="baseline"/>
        </w:rPr>
      </w:r>
    </w:p>
    <w:p>
      <w:pPr>
        <w:pStyle w:val="Normal"/>
        <w:bidi w:val="0"/>
        <w:spacing w:lineRule="auto" w:line="360" w:before="0" w:after="200"/>
        <w:jc w:val="both"/>
        <w:rPr>
          <w:sz w:val="24"/>
          <w:szCs w:val="24"/>
        </w:rPr>
      </w:pPr>
      <w:r>
        <w:rPr>
          <w:rFonts w:eastAsia="Arial" w:cs="Arial"/>
          <w:b/>
          <w:bCs/>
          <w:i w:val="false"/>
          <w:caps w:val="false"/>
          <w:smallCaps w:val="false"/>
          <w:strike w:val="false"/>
          <w:dstrike w:val="false"/>
          <w:color w:val="000000"/>
          <w:sz w:val="24"/>
          <w:szCs w:val="24"/>
          <w:u w:val="none"/>
          <w:shd w:fill="auto" w:val="clear"/>
        </w:rPr>
        <w:t>3.0 Conclusion</w:t>
      </w:r>
    </w:p>
    <w:p>
      <w:pPr>
        <w:pStyle w:val="Normal"/>
        <w:bidi w:val="0"/>
        <w:spacing w:lineRule="auto" w:line="360" w:before="0" w:after="200"/>
        <w:jc w:val="both"/>
        <w:rPr>
          <w:sz w:val="24"/>
          <w:szCs w:val="24"/>
        </w:rPr>
      </w:pPr>
      <w:r>
        <w:rPr>
          <w:rFonts w:eastAsia="Arial" w:cs="Arial"/>
          <w:b w:val="false"/>
          <w:bCs w:val="false"/>
          <w:i w:val="false"/>
          <w:caps w:val="false"/>
          <w:smallCaps w:val="false"/>
          <w:strike w:val="false"/>
          <w:dstrike w:val="false"/>
          <w:color w:val="000000"/>
          <w:sz w:val="24"/>
          <w:szCs w:val="24"/>
          <w:u w:val="none"/>
          <w:shd w:fill="auto" w:val="clear"/>
        </w:rPr>
        <w:t>In conclusion, this report has critically examined how macro-environmental actors are cruicial for strategic marketing maneuvers within the 2026 smartphone landscape. The analysis in Task 1 demonstrates that Technological breakthroughs in Edge AI and Legal mandates (specifically the EU AI Act) have becomed core strategic determinants instead of additional variables. For Samsung, the pioneering role necessitates a continuous Product Development strategy (Ansoff) to mitigate the "Pioneer’s Dilemma" and defend its first-mover advantage. Conversely, Apple’s success as a strategic follower depends on a Broad Differentiation strategy (Porter). By leveraging the "Late-Mover Advantage" Apple can enter a safe mature market with superior ecosystem integration and pre-validated legal compliance.</w:t>
      </w:r>
      <w:r>
        <w:br w:type="page"/>
      </w:r>
    </w:p>
    <w:p>
      <w:pPr>
        <w:pStyle w:val="Heading1"/>
        <w:spacing w:lineRule="auto" w:line="360" w:before="0" w:after="200"/>
        <w:jc w:val="both"/>
        <w:rPr>
          <w:sz w:val="24"/>
          <w:szCs w:val="24"/>
        </w:rPr>
      </w:pPr>
      <w:bookmarkStart w:id="1" w:name="_pemnsk9klfvc"/>
      <w:bookmarkEnd w:id="1"/>
      <w:r>
        <w:rPr>
          <w:rFonts w:ascii="Arial" w:hAnsi="Arial"/>
          <w:sz w:val="24"/>
          <w:szCs w:val="24"/>
        </w:rPr>
        <w:t>References</w:t>
      </w:r>
    </w:p>
    <w:p>
      <w:pPr>
        <w:pStyle w:val="BodyText"/>
        <w:bidi w:val="0"/>
        <w:ind w:hanging="0" w:start="0" w:end="0"/>
        <w:jc w:val="start"/>
        <w:rPr/>
      </w:pPr>
      <w:r>
        <w:rPr>
          <w:sz w:val="24"/>
          <w:szCs w:val="24"/>
        </w:rPr>
        <w:t xml:space="preserve">1. Counterpoint Research (2025) Global Foldable Smartphone Shipments Hit Record in Q3 2025, Setting Stage for a Breakout 2026. </w:t>
      </w:r>
      <w:hyperlink r:id="rId10">
        <w:r>
          <w:rPr>
            <w:rStyle w:val="Hyperlink"/>
            <w:sz w:val="24"/>
            <w:szCs w:val="24"/>
          </w:rPr>
          <w:t>https://counterpointresearch.com/en/insights/global-foldable-smartphone-market-q3-2025/</w:t>
        </w:r>
      </w:hyperlink>
    </w:p>
    <w:p>
      <w:pPr>
        <w:pStyle w:val="BodyText"/>
        <w:bidi w:val="0"/>
        <w:ind w:hanging="0" w:start="0" w:end="0"/>
        <w:jc w:val="start"/>
        <w:rPr>
          <w:sz w:val="24"/>
          <w:szCs w:val="24"/>
        </w:rPr>
      </w:pPr>
      <w:r>
        <w:rPr>
          <w:sz w:val="24"/>
          <w:szCs w:val="24"/>
        </w:rPr>
      </w:r>
    </w:p>
    <w:p>
      <w:pPr>
        <w:pStyle w:val="BodyText"/>
        <w:bidi w:val="0"/>
        <w:ind w:hanging="0" w:start="0" w:end="0"/>
        <w:jc w:val="start"/>
        <w:rPr/>
      </w:pPr>
      <w:r>
        <w:rPr>
          <w:sz w:val="24"/>
          <w:szCs w:val="24"/>
        </w:rPr>
        <w:t xml:space="preserve">2. Canalys (2025) Huawei leads foldable smartphone market as Samsung falls to 20% in H1 2025. </w:t>
      </w:r>
      <w:hyperlink r:id="rId11">
        <w:r>
          <w:rPr>
            <w:rStyle w:val="Hyperlink"/>
            <w:sz w:val="24"/>
            <w:szCs w:val="24"/>
          </w:rPr>
          <w:t>https://m.economictimes.com/news/international/us/huawei-leads-foldable-smartphone-market-with-48-global-share-as-samsung-falls-to-20-in-2025/articleshow/124205858.cms</w:t>
        </w:r>
      </w:hyperlink>
    </w:p>
    <w:p>
      <w:pPr>
        <w:pStyle w:val="BodyText"/>
        <w:bidi w:val="0"/>
        <w:ind w:hanging="0" w:start="0" w:end="0"/>
        <w:jc w:val="start"/>
        <w:rPr>
          <w:sz w:val="24"/>
          <w:szCs w:val="24"/>
        </w:rPr>
      </w:pPr>
      <w:r>
        <w:rPr>
          <w:sz w:val="24"/>
          <w:szCs w:val="24"/>
        </w:rPr>
      </w:r>
    </w:p>
    <w:p>
      <w:pPr>
        <w:pStyle w:val="BodyText"/>
        <w:bidi w:val="0"/>
        <w:ind w:hanging="0" w:start="0" w:end="0"/>
        <w:jc w:val="start"/>
        <w:rPr/>
      </w:pPr>
      <w:r>
        <w:rPr>
          <w:sz w:val="24"/>
          <w:szCs w:val="24"/>
        </w:rPr>
        <w:t xml:space="preserve">3. Samsung Electronics Announces First Quarter 2025 Results, </w:t>
      </w:r>
      <w:hyperlink r:id="rId12">
        <w:r>
          <w:rPr>
            <w:rStyle w:val="Hyperlink"/>
            <w:sz w:val="24"/>
            <w:szCs w:val="24"/>
          </w:rPr>
          <w:t>https://news.samsung.com/global/samsung-electronics-announces-first-quarter-2025-results</w:t>
        </w:r>
      </w:hyperlink>
    </w:p>
    <w:p>
      <w:pPr>
        <w:pStyle w:val="BodyText"/>
        <w:bidi w:val="0"/>
        <w:ind w:hanging="0" w:start="0" w:end="0"/>
        <w:jc w:val="start"/>
        <w:rPr>
          <w:sz w:val="24"/>
          <w:szCs w:val="24"/>
        </w:rPr>
      </w:pPr>
      <w:r>
        <w:rPr>
          <w:sz w:val="24"/>
          <w:szCs w:val="24"/>
        </w:rPr>
      </w:r>
    </w:p>
    <w:p>
      <w:pPr>
        <w:pStyle w:val="BodyText"/>
        <w:bidi w:val="0"/>
        <w:ind w:hanging="0" w:start="0" w:end="0"/>
        <w:jc w:val="start"/>
        <w:rPr/>
      </w:pPr>
      <w:r>
        <w:rPr>
          <w:sz w:val="24"/>
          <w:szCs w:val="24"/>
        </w:rPr>
        <w:t xml:space="preserve">4. Ahuja, R.J. and Raichura, K. (2024) ‘Strategic Analysis of Apple Inc.: A Comprehensive Examination of its Competitive Position and Future Prospects’, IJARSCT, 4(3), pp. </w:t>
      </w:r>
      <w:hyperlink r:id="rId13">
        <w:r>
          <w:rPr>
            <w:rStyle w:val="Hyperlink"/>
            <w:sz w:val="24"/>
            <w:szCs w:val="24"/>
          </w:rPr>
          <w:t>https://www.ijarsct.co.in/Paper14603.pdf</w:t>
        </w:r>
      </w:hyperlink>
    </w:p>
    <w:p>
      <w:pPr>
        <w:pStyle w:val="BodyText"/>
        <w:bidi w:val="0"/>
        <w:ind w:hanging="0" w:start="0" w:end="0"/>
        <w:jc w:val="start"/>
        <w:rPr>
          <w:rFonts w:ascii="Arial" w:hAnsi="Arial"/>
          <w:sz w:val="24"/>
          <w:szCs w:val="24"/>
        </w:rPr>
      </w:pPr>
      <w:r>
        <w:rPr>
          <w:sz w:val="24"/>
          <w:szCs w:val="24"/>
        </w:rPr>
      </w:r>
    </w:p>
    <w:p>
      <w:pPr>
        <w:pStyle w:val="BodyText"/>
        <w:bidi w:val="0"/>
        <w:ind w:hanging="0" w:start="0" w:end="0"/>
        <w:jc w:val="start"/>
        <w:rPr/>
      </w:pPr>
      <w:r>
        <w:rPr>
          <w:sz w:val="24"/>
          <w:szCs w:val="24"/>
        </w:rPr>
        <w:t xml:space="preserve">5. MBA Knowledge Base (2024) Case Study of Apple: Competitive Advantage Through Innovation. </w:t>
      </w:r>
      <w:hyperlink r:id="rId14">
        <w:r>
          <w:rPr>
            <w:rStyle w:val="Hyperlink"/>
            <w:sz w:val="24"/>
            <w:szCs w:val="24"/>
          </w:rPr>
          <w:t>https://www.mbaknol.com/management-case-studies/case-study-of-apple-competitive-advantage-through-innovation/</w:t>
        </w:r>
      </w:hyperlink>
    </w:p>
    <w:p>
      <w:pPr>
        <w:pStyle w:val="BodyText"/>
        <w:bidi w:val="0"/>
        <w:ind w:hanging="0" w:start="0" w:end="0"/>
        <w:jc w:val="start"/>
        <w:rPr>
          <w:rFonts w:ascii="Arial" w:hAnsi="Arial"/>
          <w:sz w:val="24"/>
          <w:szCs w:val="24"/>
        </w:rPr>
      </w:pPr>
      <w:r>
        <w:rPr>
          <w:sz w:val="24"/>
          <w:szCs w:val="24"/>
        </w:rPr>
      </w:r>
    </w:p>
    <w:p>
      <w:pPr>
        <w:pStyle w:val="BodyText"/>
        <w:bidi w:val="0"/>
        <w:ind w:hanging="0" w:start="0" w:end="0"/>
        <w:jc w:val="start"/>
        <w:rPr/>
      </w:pPr>
      <w:r>
        <w:rPr>
          <w:sz w:val="24"/>
          <w:szCs w:val="24"/>
        </w:rPr>
        <w:t xml:space="preserve">6. ResearchGate (2025) Strategic Evolution and Competitive Analysis of Apple Inc.: Embracing Business Model Innovation. </w:t>
      </w:r>
      <w:hyperlink r:id="rId15">
        <w:r>
          <w:rPr>
            <w:rStyle w:val="Hyperlink"/>
            <w:sz w:val="24"/>
            <w:szCs w:val="24"/>
          </w:rPr>
          <w:t>https://www.researchgate.net/publication/383209319_Strategic_Evolution_and_Competitive_Analysis_of_Apple_Inc</w:t>
        </w:r>
      </w:hyperlink>
    </w:p>
    <w:p>
      <w:pPr>
        <w:pStyle w:val="BodyText"/>
        <w:bidi w:val="0"/>
        <w:ind w:hanging="0" w:start="0" w:end="0"/>
        <w:jc w:val="start"/>
        <w:rPr>
          <w:rFonts w:ascii="Arial" w:hAnsi="Arial"/>
          <w:sz w:val="24"/>
          <w:szCs w:val="24"/>
        </w:rPr>
      </w:pPr>
      <w:r>
        <w:rPr>
          <w:sz w:val="24"/>
          <w:szCs w:val="24"/>
        </w:rPr>
      </w:r>
    </w:p>
    <w:p>
      <w:pPr>
        <w:pStyle w:val="BodyText"/>
        <w:bidi w:val="0"/>
        <w:ind w:hanging="0" w:start="0" w:end="0"/>
        <w:jc w:val="both"/>
        <w:rPr/>
      </w:pPr>
      <w:r>
        <w:rPr>
          <w:sz w:val="24"/>
          <w:szCs w:val="24"/>
        </w:rPr>
        <w:t xml:space="preserve">7. BW Businessworld (2026) </w:t>
      </w:r>
      <w:r>
        <w:rPr>
          <w:i/>
          <w:sz w:val="24"/>
          <w:szCs w:val="24"/>
        </w:rPr>
        <w:t>Apple Set To Overtake Samsung After iPhone Fold Launch: SAG</w:t>
      </w:r>
      <w:r>
        <w:rPr>
          <w:sz w:val="24"/>
          <w:szCs w:val="24"/>
        </w:rPr>
        <w:t xml:space="preserve">. </w:t>
      </w:r>
      <w:hyperlink r:id="rId16">
        <w:r>
          <w:rPr>
            <w:rStyle w:val="Hyperlink"/>
            <w:sz w:val="24"/>
            <w:szCs w:val="24"/>
          </w:rPr>
          <w:t>https://www.businessworld.in/article/apple-overtakes-samsung-iphone-fold-launch-sag-2026-598698</w:t>
        </w:r>
      </w:hyperlink>
    </w:p>
    <w:p>
      <w:pPr>
        <w:pStyle w:val="BodyText"/>
        <w:bidi w:val="0"/>
        <w:ind w:hanging="0" w:start="0" w:end="0"/>
        <w:jc w:val="both"/>
        <w:rPr>
          <w:sz w:val="24"/>
          <w:szCs w:val="24"/>
        </w:rPr>
      </w:pPr>
      <w:r>
        <w:rPr>
          <w:sz w:val="24"/>
          <w:szCs w:val="24"/>
        </w:rPr>
      </w:r>
    </w:p>
    <w:p>
      <w:pPr>
        <w:pStyle w:val="BodyText"/>
        <w:bidi w:val="0"/>
        <w:ind w:hanging="0" w:start="0" w:end="0"/>
        <w:jc w:val="both"/>
        <w:rPr/>
      </w:pPr>
      <w:r>
        <w:rPr>
          <w:sz w:val="24"/>
          <w:szCs w:val="24"/>
        </w:rPr>
        <w:t xml:space="preserve">8. Counterpoint Research (2026) Foldable Smartphone Market Set for 20% Growth in 2026 as Apple's Expected Entry Intensifies Competition. </w:t>
      </w:r>
      <w:hyperlink r:id="rId17">
        <w:r>
          <w:rPr>
            <w:rStyle w:val="Hyperlink"/>
            <w:sz w:val="24"/>
            <w:szCs w:val="24"/>
          </w:rPr>
          <w:t>https://counterpointresearch.com/en/insights/Foldable-Smartphone-Market-Set-for-20-percent-Growth-in-2026</w:t>
        </w:r>
      </w:hyperlink>
    </w:p>
    <w:p>
      <w:pPr>
        <w:pStyle w:val="BodyText"/>
        <w:bidi w:val="0"/>
        <w:ind w:hanging="0" w:start="0" w:end="0"/>
        <w:jc w:val="both"/>
        <w:rPr>
          <w:sz w:val="24"/>
          <w:szCs w:val="24"/>
        </w:rPr>
      </w:pPr>
      <w:r>
        <w:rPr>
          <w:sz w:val="24"/>
          <w:szCs w:val="24"/>
        </w:rPr>
      </w:r>
    </w:p>
    <w:p>
      <w:pPr>
        <w:pStyle w:val="BodyText"/>
        <w:bidi w:val="0"/>
        <w:ind w:hanging="0" w:start="0" w:end="0"/>
        <w:jc w:val="both"/>
        <w:rPr/>
      </w:pPr>
      <w:r>
        <w:rPr>
          <w:sz w:val="24"/>
          <w:szCs w:val="24"/>
        </w:rPr>
        <w:t xml:space="preserve">9. IDC (2025) Worldwide Foldable Smartphone Market to Grow 30% YoY in 2026, Boosted by the First Apple Foldable iPhone. </w:t>
      </w:r>
      <w:hyperlink r:id="rId18">
        <w:r>
          <w:rPr>
            <w:rStyle w:val="Hyperlink"/>
            <w:sz w:val="24"/>
            <w:szCs w:val="24"/>
          </w:rPr>
          <w:t>https://my.idc.com/getdoc.jsp?containerId=prUS54017625</w:t>
        </w:r>
      </w:hyperlink>
    </w:p>
    <w:p>
      <w:pPr>
        <w:pStyle w:val="BodyText"/>
        <w:bidi w:val="0"/>
        <w:ind w:hanging="0" w:start="0" w:end="0"/>
        <w:jc w:val="both"/>
        <w:rPr>
          <w:sz w:val="24"/>
          <w:szCs w:val="24"/>
        </w:rPr>
      </w:pPr>
      <w:r>
        <w:rPr>
          <w:sz w:val="24"/>
          <w:szCs w:val="24"/>
        </w:rPr>
      </w:r>
    </w:p>
    <w:p>
      <w:pPr>
        <w:pStyle w:val="BodyText"/>
        <w:bidi w:val="0"/>
        <w:ind w:hanging="0" w:start="0" w:end="0"/>
        <w:jc w:val="both"/>
        <w:rPr/>
      </w:pPr>
      <w:r>
        <w:rPr>
          <w:sz w:val="24"/>
          <w:szCs w:val="24"/>
        </w:rPr>
        <w:t xml:space="preserve">10. Computerworld (2026) Apple's AI endgame: Why waiting for Siri could make it a winner. </w:t>
      </w:r>
      <w:hyperlink r:id="rId19">
        <w:r>
          <w:rPr>
            <w:rStyle w:val="Hyperlink"/>
            <w:sz w:val="24"/>
            <w:szCs w:val="24"/>
          </w:rPr>
          <w:t>https://www.computerworld.com/article/4150080/apples-ai-endgame-why-waiting-for-siri-could-make-it-a-winner.html</w:t>
        </w:r>
      </w:hyperlink>
    </w:p>
    <w:p>
      <w:pPr>
        <w:pStyle w:val="BodyText"/>
        <w:bidi w:val="0"/>
        <w:ind w:hanging="0" w:start="0" w:end="0"/>
        <w:jc w:val="both"/>
        <w:rPr>
          <w:sz w:val="24"/>
          <w:szCs w:val="24"/>
        </w:rPr>
      </w:pPr>
      <w:r>
        <w:rPr>
          <w:sz w:val="24"/>
          <w:szCs w:val="24"/>
        </w:rPr>
      </w:r>
    </w:p>
    <w:p>
      <w:pPr>
        <w:pStyle w:val="Normal"/>
        <w:widowControl w:val="false"/>
        <w:bidi w:val="0"/>
        <w:rPr/>
      </w:pPr>
      <w:r>
        <w:rPr>
          <w:rFonts w:eastAsia="Times New Roman" w:cs="Times New Roman"/>
          <w:sz w:val="24"/>
          <w:szCs w:val="24"/>
        </w:rPr>
        <w:t xml:space="preserve">11. Crispidea (2025) Apple vs Samsung 2026: Who Wins the Smartphone Battle? </w:t>
      </w:r>
      <w:hyperlink r:id="rId20">
        <w:r>
          <w:rPr>
            <w:rStyle w:val="Hyperlink"/>
            <w:rFonts w:eastAsia="Times New Roman" w:cs="Times New Roman"/>
            <w:sz w:val="24"/>
            <w:szCs w:val="24"/>
          </w:rPr>
          <w:t>https://www.crispidea.com/apple-vs-samsung-2026-smartphone-battle/</w:t>
        </w:r>
      </w:hyperlink>
    </w:p>
    <w:p>
      <w:pPr>
        <w:pStyle w:val="Normal"/>
        <w:widowControl w:val="false"/>
        <w:bidi w:val="0"/>
        <w:rPr>
          <w:rFonts w:ascii="Arial" w:hAnsi="Arial" w:eastAsia="Times New Roman" w:cs="Times New Roman"/>
          <w:sz w:val="24"/>
          <w:szCs w:val="24"/>
        </w:rPr>
      </w:pPr>
      <w:r>
        <w:rPr>
          <w:rFonts w:eastAsia="Times New Roman" w:cs="Times New Roman"/>
          <w:sz w:val="24"/>
          <w:szCs w:val="24"/>
        </w:rPr>
      </w:r>
    </w:p>
    <w:p>
      <w:pPr>
        <w:pStyle w:val="Normal"/>
        <w:widowControl w:val="false"/>
        <w:bidi w:val="0"/>
        <w:rPr/>
      </w:pPr>
      <w:r>
        <w:rPr>
          <w:rFonts w:eastAsia="Times New Roman" w:cs="Times New Roman"/>
          <w:sz w:val="24"/>
          <w:szCs w:val="24"/>
        </w:rPr>
        <w:t xml:space="preserve">12. Omdia (2026) Samsung Unpacked 2026: Short-term pressure, long-term play. </w:t>
      </w:r>
      <w:hyperlink r:id="rId21">
        <w:r>
          <w:rPr>
            <w:rStyle w:val="Hyperlink"/>
            <w:rFonts w:eastAsia="Times New Roman" w:cs="Times New Roman"/>
            <w:sz w:val="24"/>
            <w:szCs w:val="24"/>
          </w:rPr>
          <w:t>https://omdia.tech.informa.com/blogs/2026/feb/samsung-unpacked-2026-short-term-pressure-long-term-play</w:t>
        </w:r>
      </w:hyperlink>
    </w:p>
    <w:p>
      <w:pPr>
        <w:pStyle w:val="Normal"/>
        <w:widowControl w:val="false"/>
        <w:bidi w:val="0"/>
        <w:rPr>
          <w:rFonts w:ascii="Arial" w:hAnsi="Arial" w:eastAsia="Times New Roman" w:cs="Times New Roman"/>
          <w:sz w:val="24"/>
          <w:szCs w:val="24"/>
        </w:rPr>
      </w:pPr>
      <w:r>
        <w:rPr>
          <w:rFonts w:eastAsia="Times New Roman" w:cs="Times New Roman"/>
          <w:sz w:val="24"/>
          <w:szCs w:val="24"/>
        </w:rPr>
      </w:r>
    </w:p>
    <w:p>
      <w:pPr>
        <w:pStyle w:val="Normal"/>
        <w:widowControl w:val="false"/>
        <w:rPr>
          <w:rFonts w:ascii="Arial" w:hAnsi="Arial" w:eastAsia="Times New Roman" w:cs="Times New Roman"/>
          <w:sz w:val="24"/>
          <w:szCs w:val="24"/>
        </w:rPr>
      </w:pPr>
      <w:r>
        <w:rPr>
          <w:rFonts w:eastAsia="Times New Roman" w:cs="Times New Roman"/>
          <w:sz w:val="24"/>
          <w:szCs w:val="24"/>
        </w:rPr>
      </w:r>
    </w:p>
    <w:p>
      <w:pPr>
        <w:pStyle w:val="Normal"/>
        <w:widowControl w:val="false"/>
        <w:bidi w:val="0"/>
        <w:rPr/>
      </w:pPr>
      <w:r>
        <w:rPr>
          <w:rFonts w:eastAsia="Times New Roman" w:cs="Times New Roman"/>
          <w:sz w:val="24"/>
          <w:szCs w:val="24"/>
        </w:rPr>
        <w:t xml:space="preserve">13. ResearchGate (2025) Samsung's Innovation Strategy in Smart Phones Market </w:t>
      </w:r>
      <w:hyperlink r:id="rId22">
        <w:r>
          <w:rPr>
            <w:rStyle w:val="Hyperlink"/>
            <w:rFonts w:eastAsia="Times New Roman" w:cs="Times New Roman"/>
            <w:sz w:val="24"/>
            <w:szCs w:val="24"/>
          </w:rPr>
          <w:t>https://www.researchgate.net/publication/319585333_Samsung's_Innovation_Strategy_in_Smart_Phones_Market</w:t>
        </w:r>
      </w:hyperlink>
    </w:p>
    <w:p>
      <w:pPr>
        <w:pStyle w:val="Normal"/>
        <w:widowControl w:val="false"/>
        <w:bidi w:val="0"/>
        <w:rPr>
          <w:rFonts w:ascii="Arial" w:hAnsi="Arial"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pPr>
      <w:r>
        <w:rPr>
          <w:rFonts w:eastAsia="Times New Roman" w:cs="Times New Roman"/>
          <w:sz w:val="24"/>
          <w:szCs w:val="24"/>
        </w:rPr>
        <w:t xml:space="preserve">14. Samsung to invest nearly $74 billion in 2026 in factories and R&amp;D, SamMobile (2026). </w:t>
      </w:r>
      <w:hyperlink r:id="rId23">
        <w:r>
          <w:rPr>
            <w:rStyle w:val="Hyperlink"/>
            <w:rFonts w:eastAsia="Times New Roman" w:cs="Times New Roman"/>
            <w:sz w:val="24"/>
            <w:szCs w:val="24"/>
          </w:rPr>
          <w:t>https://www.sammobile.com/news/samsung-invest-usd-74-billion-2026-factories-research-development/</w:t>
        </w:r>
      </w:hyperlink>
    </w:p>
    <w:p>
      <w:pPr>
        <w:pStyle w:val="Normal"/>
        <w:bidi w:val="0"/>
        <w:spacing w:lineRule="auto" w:line="360" w:before="0" w:after="200"/>
        <w:jc w:val="both"/>
        <w:rPr/>
      </w:pPr>
      <w:r>
        <w:rPr>
          <w:rFonts w:eastAsia="Times New Roman" w:cs="Times New Roman"/>
          <w:sz w:val="24"/>
          <w:szCs w:val="24"/>
        </w:rPr>
        <w:t xml:space="preserve">15. Samsung Newsroom (2026) Highlights From Galaxy Unpacked 2026: The Beginning of Truly Agentic AI. </w:t>
      </w:r>
      <w:hyperlink r:id="rId24">
        <w:r>
          <w:rPr>
            <w:rStyle w:val="Hyperlink"/>
            <w:rFonts w:eastAsia="Times New Roman" w:cs="Times New Roman"/>
            <w:sz w:val="24"/>
            <w:szCs w:val="24"/>
          </w:rPr>
          <w:t>https://news.samsung.com/in/galaxy-unpacked-2026-highlights-from-galaxy-unpacked-the-beginning-of-truly-agentic-ai</w:t>
        </w:r>
      </w:hyperlink>
    </w:p>
    <w:p>
      <w:pPr>
        <w:pStyle w:val="Normal"/>
        <w:bidi w:val="0"/>
        <w:spacing w:lineRule="auto" w:line="360" w:before="0" w:after="200"/>
        <w:jc w:val="both"/>
        <w:rPr/>
      </w:pPr>
      <w:r>
        <w:rPr>
          <w:rFonts w:eastAsia="Times New Roman" w:cs="Times New Roman"/>
          <w:sz w:val="24"/>
          <w:szCs w:val="24"/>
        </w:rPr>
        <w:t xml:space="preserve">16. Samsung SDS (2026) Wave of Enterprise AI Adoptions Across Industries: Samsung SDS Holds Enterprise AI Connect 2026. </w:t>
      </w:r>
      <w:hyperlink r:id="rId25">
        <w:r>
          <w:rPr>
            <w:rStyle w:val="Hyperlink"/>
            <w:rFonts w:eastAsia="Times New Roman" w:cs="Times New Roman"/>
            <w:sz w:val="24"/>
            <w:szCs w:val="24"/>
          </w:rPr>
          <w:t>https://www.samsungsds.com/en/news/enterpriseai-260129.html</w:t>
        </w:r>
      </w:hyperlink>
    </w:p>
    <w:p>
      <w:pPr>
        <w:pStyle w:val="Normal"/>
        <w:bidi w:val="0"/>
        <w:spacing w:lineRule="auto" w:line="360" w:before="0" w:after="200"/>
        <w:jc w:val="both"/>
        <w:rPr/>
      </w:pPr>
      <w:r>
        <w:rPr>
          <w:rFonts w:eastAsia="Times New Roman" w:cs="Times New Roman"/>
          <w:sz w:val="24"/>
          <w:szCs w:val="24"/>
        </w:rPr>
        <w:t xml:space="preserve">17. Softwareseni (2026) The August 2026 EU AI Act Deadline: What Changes. </w:t>
      </w:r>
      <w:hyperlink r:id="rId26">
        <w:r>
          <w:rPr>
            <w:rStyle w:val="Hyperlink"/>
            <w:rFonts w:eastAsia="Times New Roman" w:cs="Times New Roman"/>
            <w:sz w:val="24"/>
            <w:szCs w:val="24"/>
          </w:rPr>
          <w:t>https://www.softwareseni.com/the-august-2026-eu-ai-act-deadline-what-changes-and-whether-the-digital-omnibus-will-delay-it/</w:t>
        </w:r>
      </w:hyperlink>
    </w:p>
    <w:p>
      <w:pPr>
        <w:pStyle w:val="Normal"/>
        <w:bidi w:val="0"/>
        <w:spacing w:lineRule="auto" w:line="360" w:before="0" w:after="200"/>
        <w:jc w:val="both"/>
        <w:rPr/>
      </w:pPr>
      <w:r>
        <w:rPr>
          <w:rFonts w:eastAsia="Times New Roman" w:cs="Times New Roman"/>
          <w:sz w:val="24"/>
          <w:szCs w:val="24"/>
        </w:rPr>
        <w:t xml:space="preserve">18. Tech in Asia (2026) Samsung Electronics R&amp;D spending hits $25.7b in 2025. </w:t>
      </w:r>
      <w:hyperlink r:id="rId27">
        <w:r>
          <w:rPr>
            <w:rStyle w:val="Hyperlink"/>
            <w:rFonts w:eastAsia="Times New Roman" w:cs="Times New Roman"/>
            <w:sz w:val="24"/>
            <w:szCs w:val="24"/>
          </w:rPr>
          <w:t>https://www.techinasia.com/news/samsung-electronics-spending-hits-257b-2025</w:t>
        </w:r>
      </w:hyperlink>
    </w:p>
    <w:p>
      <w:pPr>
        <w:pStyle w:val="Normal"/>
        <w:bidi w:val="0"/>
        <w:spacing w:lineRule="auto" w:line="360" w:before="0" w:after="200"/>
        <w:jc w:val="both"/>
        <w:rPr/>
      </w:pPr>
      <w:r>
        <w:rPr>
          <w:rFonts w:eastAsia="Times New Roman" w:cs="Times New Roman"/>
          <w:sz w:val="24"/>
          <w:szCs w:val="24"/>
        </w:rPr>
        <w:t xml:space="preserve">19. Artificial Intelligence News (2026) Apple's EU AI delay: Innovation vs regulation. </w:t>
      </w:r>
      <w:hyperlink r:id="rId28">
        <w:r>
          <w:rPr>
            <w:rStyle w:val="Hyperlink"/>
            <w:rFonts w:eastAsia="Times New Roman" w:cs="Times New Roman"/>
            <w:sz w:val="24"/>
            <w:szCs w:val="24"/>
          </w:rPr>
          <w:t>https://www.artificialintelligence-news.com/news/apple-eu-ai-delay-innovation-vs-regulation/</w:t>
        </w:r>
      </w:hyperlink>
    </w:p>
    <w:p>
      <w:pPr>
        <w:pStyle w:val="Normal"/>
        <w:bidi w:val="0"/>
        <w:spacing w:lineRule="auto" w:line="360" w:before="0" w:after="200"/>
        <w:jc w:val="both"/>
        <w:rPr/>
      </w:pPr>
      <w:r>
        <w:rPr>
          <w:rFonts w:eastAsia="Times New Roman" w:cs="Times New Roman"/>
          <w:sz w:val="24"/>
          <w:szCs w:val="24"/>
        </w:rPr>
        <w:t xml:space="preserve">20. Apple Set To Overtake Samsung After iPhone Fold Launch: SAG (BW Businessworld, 2026) </w:t>
      </w:r>
      <w:hyperlink r:id="rId29">
        <w:r>
          <w:rPr>
            <w:rStyle w:val="Hyperlink"/>
            <w:rFonts w:eastAsia="Times New Roman" w:cs="Times New Roman"/>
            <w:sz w:val="24"/>
            <w:szCs w:val="24"/>
          </w:rPr>
          <w:t>https://www.businessworld.in/article/apple-overtakes-samsung-iphone-fold-launch-sag-2026-598698</w:t>
        </w:r>
      </w:hyperlink>
    </w:p>
    <w:p>
      <w:pPr>
        <w:pStyle w:val="Normal"/>
        <w:bidi w:val="0"/>
        <w:spacing w:lineRule="auto" w:line="360" w:before="0" w:after="200"/>
        <w:jc w:val="both"/>
        <w:rPr/>
      </w:pPr>
      <w:r>
        <w:rPr>
          <w:rFonts w:eastAsia="Times New Roman" w:cs="Times New Roman"/>
          <w:sz w:val="24"/>
          <w:szCs w:val="24"/>
        </w:rPr>
        <w:t xml:space="preserve">21. Computerworld (2026) Apple's AI endgame: Why waiting for Siri could make it a winner. </w:t>
      </w:r>
      <w:hyperlink r:id="rId30">
        <w:r>
          <w:rPr>
            <w:rStyle w:val="Hyperlink"/>
            <w:rFonts w:eastAsia="Times New Roman" w:cs="Times New Roman"/>
            <w:sz w:val="24"/>
            <w:szCs w:val="24"/>
          </w:rPr>
          <w:t>https://www.computerworld.com/article/4150080/apples-ai-endgame-why-waiting-for-siri-could-make-it-a-winner.html</w:t>
        </w:r>
      </w:hyperlink>
    </w:p>
    <w:p>
      <w:pPr>
        <w:pStyle w:val="Normal"/>
        <w:bidi w:val="0"/>
        <w:spacing w:lineRule="auto" w:line="360" w:before="0" w:after="200"/>
        <w:jc w:val="both"/>
        <w:rPr/>
      </w:pPr>
      <w:r>
        <w:rPr>
          <w:rFonts w:eastAsia="Times New Roman" w:cs="Times New Roman"/>
          <w:sz w:val="24"/>
          <w:szCs w:val="24"/>
        </w:rPr>
        <w:t>22. ITP.net (2025) Apple Revamps AI Strategy Ahead of 2026 Device-Based Launch.</w:t>
      </w:r>
      <w:hyperlink r:id="rId31">
        <w:r>
          <w:rPr>
            <w:rStyle w:val="Hyperlink"/>
            <w:rFonts w:eastAsia="Times New Roman" w:cs="Times New Roman"/>
            <w:sz w:val="24"/>
            <w:szCs w:val="24"/>
          </w:rPr>
          <w:t>https://www.itp.net/digital-culture/apple-ai-strategy-2026</w:t>
        </w:r>
      </w:hyperlink>
    </w:p>
    <w:p>
      <w:pPr>
        <w:pStyle w:val="Normal"/>
        <w:bidi w:val="0"/>
        <w:spacing w:lineRule="auto" w:line="360" w:before="0" w:after="200"/>
        <w:jc w:val="both"/>
        <w:rPr/>
      </w:pPr>
      <w:r>
        <w:rPr>
          <w:rFonts w:eastAsia="Times New Roman" w:cs="Times New Roman"/>
          <w:sz w:val="24"/>
          <w:szCs w:val="24"/>
        </w:rPr>
        <w:t xml:space="preserve">23. Tech Between the Lines (2025) 2026: The Year Apple's Strategy Faces Its Reckoning. </w:t>
      </w:r>
      <w:hyperlink r:id="rId32">
        <w:r>
          <w:rPr>
            <w:rStyle w:val="Hyperlink"/>
            <w:rFonts w:eastAsia="Times New Roman" w:cs="Times New Roman"/>
            <w:sz w:val="24"/>
            <w:szCs w:val="24"/>
          </w:rPr>
          <w:t>https://www.techbetweenthelines.com/2026-the-year-apples-strategy-faces-its-reckoning/</w:t>
        </w:r>
      </w:hyperlink>
    </w:p>
    <w:p>
      <w:pPr>
        <w:pStyle w:val="Normal"/>
        <w:bidi w:val="0"/>
        <w:spacing w:lineRule="auto" w:line="360" w:before="0" w:after="200"/>
        <w:jc w:val="both"/>
        <w:rPr/>
      </w:pPr>
      <w:r>
        <w:rPr>
          <w:rFonts w:eastAsia="Times New Roman" w:cs="Times New Roman"/>
          <w:sz w:val="24"/>
          <w:szCs w:val="24"/>
        </w:rPr>
        <w:t xml:space="preserve">24. Apple to prioritise premium iPhone launches in 2026 amid memory crunch TelecomLead (2026) </w:t>
      </w:r>
      <w:hyperlink r:id="rId33">
        <w:r>
          <w:rPr>
            <w:rStyle w:val="Hyperlink"/>
            <w:rFonts w:eastAsia="Times New Roman" w:cs="Times New Roman"/>
            <w:sz w:val="24"/>
            <w:szCs w:val="24"/>
          </w:rPr>
          <w:t>https://telecom.economictimes.indiatimes.com/news/devices/apple-to-focus-on-premium-iphone-models-in-2026-amid-supply-chain-challenges/127796501</w:t>
        </w:r>
      </w:hyperlink>
    </w:p>
    <w:p>
      <w:pPr>
        <w:pStyle w:val="Normal"/>
        <w:bidi w:val="0"/>
        <w:spacing w:lineRule="auto" w:line="360" w:before="0" w:after="200"/>
        <w:jc w:val="both"/>
        <w:rPr/>
      </w:pPr>
      <w:r>
        <w:rPr>
          <w:rFonts w:eastAsia="Times New Roman" w:cs="Times New Roman"/>
          <w:sz w:val="24"/>
          <w:szCs w:val="24"/>
        </w:rPr>
        <w:t xml:space="preserve">25. CSIS (2026) Guarding the Gates: The Digital Markets Act and Lessons in Ex Ante Regulation. </w:t>
      </w:r>
      <w:hyperlink r:id="rId34">
        <w:r>
          <w:rPr>
            <w:rStyle w:val="Hyperlink"/>
            <w:rFonts w:eastAsia="Times New Roman" w:cs="Times New Roman"/>
            <w:sz w:val="24"/>
            <w:szCs w:val="24"/>
          </w:rPr>
          <w:t>https://www.csis.org/blogs/charting-geoeconomics/guarding-gates-digital-markets-act-and-lessons-ex-ante-regulation</w:t>
        </w:r>
      </w:hyperlink>
    </w:p>
    <w:p>
      <w:pPr>
        <w:pStyle w:val="Normal"/>
        <w:bidi w:val="0"/>
        <w:spacing w:lineRule="auto" w:line="360" w:before="0" w:after="200"/>
        <w:jc w:val="both"/>
        <w:rPr/>
      </w:pPr>
      <w:r>
        <w:rPr>
          <w:rFonts w:eastAsia="Times New Roman" w:cs="Times New Roman"/>
          <w:sz w:val="24"/>
          <w:szCs w:val="24"/>
        </w:rPr>
        <w:t xml:space="preserve">26. European Union (2025) Timeline for the Implementation of the EU AI Act | AI Act Service Desk. </w:t>
      </w:r>
      <w:hyperlink r:id="rId35">
        <w:r>
          <w:rPr>
            <w:rStyle w:val="Hyperlink"/>
            <w:rFonts w:eastAsia="Times New Roman" w:cs="Times New Roman"/>
            <w:sz w:val="24"/>
            <w:szCs w:val="24"/>
          </w:rPr>
          <w:t>https://ai-act-service-desk.ec.europa.eu/en/ai-act/timeline/timeline-implementation-eu-ai-act</w:t>
        </w:r>
      </w:hyperlink>
    </w:p>
    <w:p>
      <w:pPr>
        <w:pStyle w:val="Normal"/>
        <w:bidi w:val="0"/>
        <w:spacing w:lineRule="auto" w:line="360" w:before="0" w:after="200"/>
        <w:jc w:val="both"/>
        <w:rPr/>
      </w:pPr>
      <w:r>
        <w:rPr>
          <w:rFonts w:eastAsia="Times New Roman" w:cs="Times New Roman"/>
          <w:sz w:val="24"/>
          <w:szCs w:val="24"/>
        </w:rPr>
        <w:t xml:space="preserve">27. Sammy Fans (2026) Samsung building defenses against EU tech regulation. </w:t>
      </w:r>
      <w:hyperlink r:id="rId36">
        <w:r>
          <w:rPr>
            <w:rStyle w:val="Hyperlink"/>
            <w:rFonts w:eastAsia="Times New Roman" w:cs="Times New Roman"/>
            <w:sz w:val="24"/>
            <w:szCs w:val="24"/>
          </w:rPr>
          <w:t>https://www.sammyfans.com/2026/01/18/samsung-building-defenses-against-eu-tech-regulation/</w:t>
        </w:r>
      </w:hyperlink>
    </w:p>
    <w:p>
      <w:pPr>
        <w:pStyle w:val="Normal"/>
        <w:bidi w:val="0"/>
        <w:spacing w:lineRule="auto" w:line="360" w:before="0" w:after="200"/>
        <w:jc w:val="both"/>
        <w:rPr/>
      </w:pPr>
      <w:r>
        <w:rPr>
          <w:rFonts w:eastAsia="Times New Roman" w:cs="Times New Roman"/>
          <w:sz w:val="24"/>
          <w:szCs w:val="24"/>
        </w:rPr>
        <w:t xml:space="preserve">28. 9to5Mac (2026) Apple was fined a total of $851M last year for privacy and antitrust violations. </w:t>
      </w:r>
      <w:hyperlink r:id="rId37">
        <w:r>
          <w:rPr>
            <w:rStyle w:val="Hyperlink"/>
            <w:rFonts w:eastAsia="Times New Roman" w:cs="Times New Roman"/>
            <w:sz w:val="24"/>
            <w:szCs w:val="24"/>
          </w:rPr>
          <w:t>https://9to5mac.com/2026/01/28/apple-was-fined-a-total-of-851m-last-year-for-privacy-and-antitrust-violations/</w:t>
        </w:r>
      </w:hyperlink>
    </w:p>
    <w:p>
      <w:pPr>
        <w:pStyle w:val="Normal"/>
        <w:bidi w:val="0"/>
        <w:spacing w:lineRule="auto" w:line="360" w:before="0" w:after="200"/>
        <w:jc w:val="both"/>
        <w:rPr/>
      </w:pPr>
      <w:r>
        <w:rPr>
          <w:rFonts w:eastAsia="Times New Roman" w:cs="Times New Roman"/>
          <w:sz w:val="24"/>
          <w:szCs w:val="24"/>
        </w:rPr>
        <w:t xml:space="preserve">29. Financial Content (2026) The Intelligence Supercycle: A Deep Dive into Apple's (AAPL) 2026 Transformation. </w:t>
      </w:r>
      <w:hyperlink r:id="rId38">
        <w:r>
          <w:rPr>
            <w:rStyle w:val="Hyperlink"/>
            <w:rFonts w:eastAsia="Times New Roman" w:cs="Times New Roman"/>
            <w:sz w:val="24"/>
            <w:szCs w:val="24"/>
          </w:rPr>
          <w:t>https://markets.financialcontent.com/stocks/article/finterra-2026-3-24-the-intelligence-supercycle-a-deep-dive-into-apples-aapl-2026-transformation</w:t>
        </w:r>
      </w:hyperlink>
    </w:p>
    <w:p>
      <w:pPr>
        <w:pStyle w:val="Normal"/>
        <w:bidi w:val="0"/>
        <w:spacing w:lineRule="auto" w:line="360" w:before="0" w:after="200"/>
        <w:jc w:val="both"/>
        <w:rPr/>
      </w:pPr>
      <w:r>
        <w:rPr>
          <w:rFonts w:eastAsia="Times New Roman" w:cs="Times New Roman"/>
          <w:sz w:val="24"/>
          <w:szCs w:val="24"/>
        </w:rPr>
        <w:t xml:space="preserve">30. Milken Institute (2024) Tech Regulation Digest: Antitrust Scrutiny and Apple's Evolving Regulatory Strategies. </w:t>
      </w:r>
      <w:hyperlink r:id="rId39">
        <w:r>
          <w:rPr>
            <w:rStyle w:val="Hyperlink"/>
            <w:rFonts w:eastAsia="Times New Roman" w:cs="Times New Roman"/>
            <w:sz w:val="24"/>
            <w:szCs w:val="24"/>
          </w:rPr>
          <w:t>https://milkeninstitute.org/article/tech-regulation-digest-antitrust-scrutiny-apple</w:t>
        </w:r>
      </w:hyperlink>
    </w:p>
    <w:p>
      <w:pPr>
        <w:pStyle w:val="Normal"/>
        <w:bidi w:val="0"/>
        <w:spacing w:lineRule="auto" w:line="360" w:before="0" w:after="200"/>
        <w:jc w:val="both"/>
        <w:rPr>
          <w:sz w:val="24"/>
          <w:szCs w:val="24"/>
        </w:rPr>
      </w:pPr>
      <w:r>
        <w:rPr>
          <w:sz w:val="24"/>
          <w:szCs w:val="24"/>
        </w:rPr>
      </w:r>
    </w:p>
    <w:sectPr>
      <w:headerReference w:type="even" r:id="rId40"/>
      <w:headerReference w:type="default" r:id="rId41"/>
      <w:headerReference w:type="first" r:id="rId42"/>
      <w:footerReference w:type="even" r:id="rId43"/>
      <w:footerReference w:type="default" r:id="rId44"/>
      <w:footerReference w:type="first" r:id="rId45"/>
      <w:type w:val="nextPage"/>
      <w:pgSz w:w="11906" w:h="16838"/>
      <w:pgMar w:left="1440" w:right="1440" w:gutter="0" w:header="720" w:top="1440" w:footer="720" w:bottom="144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Liberation Sans">
    <w:altName w:val="Arial"/>
    <w:charset w:val="00" w:characterSet="windows-1252"/>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22</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22</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2" w:name="_GoBack"/>
    <w:bookmarkEnd w:id="2"/>
    <w:r>
      <w:rPr/>
      <w:drawing>
        <wp:inline distT="0" distB="0" distL="0" distR="0">
          <wp:extent cx="1783715" cy="951865"/>
          <wp:effectExtent l="0" t="0" r="0" b="0"/>
          <wp:docPr id="9"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3" w:name="_GoBack"/>
    <w:bookmarkEnd w:id="3"/>
    <w:r>
      <w:rPr/>
      <w:drawing>
        <wp:inline distT="0" distB="0" distL="0" distR="0">
          <wp:extent cx="1783715" cy="951865"/>
          <wp:effectExtent l="0" t="0" r="0" b="0"/>
          <wp:docPr id="10"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settings.xml><?xml version="1.0" encoding="utf-8"?>
<w:settings xmlns:w="http://schemas.openxmlformats.org/wordprocessingml/2006/main">
  <w:zoom w:percent="85"/>
  <w:defaultTabStop w:val="720"/>
  <w:autoHyphenation w:val="true"/>
  <w:hyphenationZone w:val="0"/>
  <w:compat>
    <w:doNotExpandShiftReturn/>
    <w:compatSetting w:name="compatibilityMode" w:uri="http://schemas.microsoft.com/office/word" w:val="15"/>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Times New Roman"/>
        <w:lang w:val="en-US"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lsdException w:name="heading 1" w:uiPriority="0" w:semiHidden="0" w:unhideWhenUsed="0" w:qFormat="1"/>
    <w:lsdException w:name="heading 2" w:uiPriority="0" w:semiHidden="0" w:unhideWhenUsed="0" w:qFormat="1"/>
    <w:lsdException w:name="heading 3" w:uiPriority="0" w:semiHidden="0" w:unhideWhenUsed="0"/>
    <w:lsdException w:name="heading 4" w:uiPriority="0" w:semiHidden="0" w:unhideWhenUsed="0"/>
    <w:lsdException w:name="heading 5" w:uiPriority="0" w:semiHidden="0" w:unhideWhenUsed="0" w:qFormat="1"/>
    <w:lsdException w:name="heading 6" w:uiPriority="0" w:semiHidden="0" w:unhideWhenUsed="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lsdException w:name="Closing" w:uiPriority="0" w:semiHidden="0" w:unhideWhenUsed="0"/>
    <w:lsdException w:name="Signature" w:uiPriority="0" w:semiHidden="0" w:unhideWhenUsed="0"/>
    <w:lsdException w:name="Default Paragraph Font" w:uiPriority="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suppressAutoHyphens w:val="true"/>
      <w:bidi w:val="0"/>
      <w:spacing w:lineRule="auto" w:line="276" w:before="0" w:after="0"/>
      <w:jc w:val="start"/>
    </w:pPr>
    <w:rPr>
      <w:rFonts w:ascii="Arial" w:hAnsi="Arial" w:eastAsia="Arial" w:cs="Arial"/>
      <w:color w:val="auto"/>
      <w:kern w:val="0"/>
      <w:sz w:val="22"/>
      <w:szCs w:val="22"/>
      <w:lang w:val="zh-CN" w:eastAsia="zh-CN" w:bidi="hi-IN"/>
    </w:rPr>
  </w:style>
  <w:style w:type="paragraph" w:styleId="Heading1">
    <w:name w:val="heading 1"/>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2">
    <w:name w:val="heading 2"/>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3">
    <w:name w:val="heading 3"/>
    <w:basedOn w:val="Normal"/>
    <w:next w:val="Normal"/>
    <w:uiPriority w:val="0"/>
    <w:qFormat/>
    <w:pPr>
      <w:keepNext w:val="true"/>
      <w:keepLines/>
      <w:pageBreakBefore w:val="false"/>
      <w:spacing w:before="320" w:after="80"/>
    </w:pPr>
    <w:rPr>
      <w:color w:val="434343"/>
      <w:sz w:val="28"/>
      <w:szCs w:val="28"/>
    </w:rPr>
  </w:style>
  <w:style w:type="paragraph" w:styleId="Heading4">
    <w:name w:val="heading 4"/>
    <w:basedOn w:val="Normal"/>
    <w:next w:val="Normal"/>
    <w:uiPriority w:val="0"/>
    <w:qFormat/>
    <w:pPr>
      <w:keepNext w:val="true"/>
      <w:keepLines/>
      <w:pageBreakBefore w:val="false"/>
      <w:spacing w:before="280" w:after="80"/>
    </w:pPr>
    <w:rPr>
      <w:color w:val="666666"/>
      <w:sz w:val="24"/>
      <w:szCs w:val="24"/>
    </w:rPr>
  </w:style>
  <w:style w:type="paragraph" w:styleId="Heading5">
    <w:name w:val="heading 5"/>
    <w:basedOn w:val="Normal"/>
    <w:next w:val="Normal"/>
    <w:uiPriority w:val="0"/>
    <w:qFormat/>
    <w:pPr>
      <w:keepNext w:val="true"/>
      <w:keepLines/>
      <w:pageBreakBefore w:val="false"/>
      <w:spacing w:before="240" w:after="80"/>
    </w:pPr>
    <w:rPr>
      <w:color w:val="666666"/>
      <w:sz w:val="22"/>
      <w:szCs w:val="22"/>
    </w:rPr>
  </w:style>
  <w:style w:type="paragraph" w:styleId="Heading6">
    <w:name w:val="heading 6"/>
    <w:basedOn w:val="Normal"/>
    <w:next w:val="Normal"/>
    <w:uiPriority w:val="0"/>
    <w:qFormat/>
    <w:pPr>
      <w:keepNext w:val="true"/>
      <w:keepLines/>
      <w:pageBreakBefore w:val="false"/>
      <w:spacing w:before="240" w:after="80"/>
    </w:pPr>
    <w:rPr>
      <w:i/>
      <w:color w:val="666666"/>
      <w:sz w:val="22"/>
      <w:szCs w:val="22"/>
    </w:rPr>
  </w:style>
  <w:style w:type="character" w:styleId="DefaultParagraphFont" w:default="1">
    <w:name w:val="Default Paragraph Font"/>
    <w:uiPriority w:val="0"/>
    <w:semiHidden/>
    <w:qFormat/>
    <w:rPr/>
  </w:style>
  <w:style w:type="character" w:styleId="Hyperlink">
    <w:name w:val="Hyperlink"/>
    <w:rPr>
      <w:color w:val="000080"/>
      <w:u w:val="single"/>
    </w:rPr>
  </w:style>
  <w:style w:type="character" w:styleId="IndexLink">
    <w:name w:val="Index Link"/>
    <w:qFormat/>
    <w:rPr/>
  </w:style>
  <w:style w:type="character" w:styleId="FootnoteCharacters">
    <w:name w:val="Footnote Characters"/>
    <w:qFormat/>
    <w:rPr/>
  </w:style>
  <w:style w:type="character" w:styleId="EndnoteCharacters">
    <w:name w:val="Endnote Characters"/>
    <w:qFormat/>
    <w:rPr/>
  </w:style>
  <w:style w:type="character" w:styleId="FollowedHyperlink">
    <w:name w:val="FollowedHyperlink"/>
    <w:rPr>
      <w:color w:val="800000"/>
      <w:u w:val="single"/>
    </w:rPr>
  </w:style>
  <w:style w:type="character" w:styleId="Strong">
    <w:name w:val="Strong"/>
    <w:qFormat/>
    <w:rPr>
      <w:b/>
      <w:bCs/>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Subtitle">
    <w:name w:val="Subtitle"/>
    <w:basedOn w:val="Normal"/>
    <w:next w:val="Normal"/>
    <w:uiPriority w:val="0"/>
    <w:qFormat/>
    <w:pPr>
      <w:keepNext w:val="true"/>
      <w:keepLines/>
      <w:pageBreakBefore w:val="false"/>
      <w:spacing w:before="0" w:after="320"/>
    </w:pPr>
    <w:rPr>
      <w:rFonts w:ascii="Arial" w:hAnsi="Arial" w:eastAsia="Arial" w:cs="Arial"/>
      <w:color w:val="666666"/>
      <w:sz w:val="30"/>
      <w:szCs w:val="30"/>
    </w:rPr>
  </w:style>
  <w:style w:type="paragraph" w:styleId="Title">
    <w:name w:val="Title"/>
    <w:basedOn w:val="Normal"/>
    <w:next w:val="Normal"/>
    <w:uiPriority w:val="0"/>
    <w:qFormat/>
    <w:pPr>
      <w:keepNext w:val="true"/>
      <w:keepLines/>
      <w:pageBreakBefore w:val="false"/>
      <w:spacing w:before="0" w:after="60"/>
    </w:pPr>
    <w:rPr>
      <w:sz w:val="52"/>
      <w:szCs w:val="52"/>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paragraph" w:styleId="ListContents">
    <w:name w:val="List Contents"/>
    <w:basedOn w:val="Normal"/>
    <w:qFormat/>
    <w:pPr>
      <w:ind w:start="567"/>
    </w:pPr>
    <w:rPr/>
  </w:style>
  <w:style w:type="paragraph" w:styleId="normal1">
    <w:name w:val="normal1"/>
    <w:qFormat/>
    <w:pPr>
      <w:widowControl/>
      <w:suppressAutoHyphens w:val="true"/>
      <w:bidi w:val="0"/>
      <w:spacing w:lineRule="auto" w:line="259" w:before="0" w:after="160"/>
      <w:jc w:val="start"/>
    </w:pPr>
    <w:rPr>
      <w:rFonts w:ascii="Times New Roman" w:hAnsi="Times New Roman" w:eastAsia="SimSun" w:cs="Times New Roman"/>
      <w:color w:val="auto"/>
      <w:kern w:val="0"/>
      <w:sz w:val="20"/>
      <w:szCs w:val="20"/>
      <w:lang w:val="en-US" w:eastAsia="zh-CN" w:bidi="hi-IN"/>
    </w:rPr>
  </w:style>
  <w:style w:type="paragraph" w:styleId="normal2">
    <w:name w:val="normal2"/>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table" w:default="1" w:styleId="9">
    <w:name w:val="Normal Table"/>
    <w:uiPriority w:val="0"/>
    <w:semiHidden/>
    <w:tblPr>
      <w:tblCellMar>
        <w:top w:w="0" w:type="dxa"/>
        <w:left w:w="108" w:type="dxa"/>
        <w:bottom w:w="0" w:type="dxa"/>
        <w:right w:w="108" w:type="dxa"/>
      </w:tblCellMar>
    </w:tblPr>
  </w:style>
  <w:style w:type="table" w:customStyle="1" w:styleId="12">
    <w:name w:val="TableNormal"/>
    <w:uiPriority w:val="0"/>
    <w:qFormat/>
  </w:style>
  <w:style w:type="table" w:customStyle="1" w:styleId="13">
    <w:name w:val="_Style 10"/>
    <w:basedOn w:val="12"/>
    <w:uiPriority w:val="0"/>
    <w:qFormat/>
    <w:pPr>
      <w:spacing w:after="0" w:line="240" w:lineRule="auto"/>
    </w:pPr>
    <w:tblPr>
      <w:tblCellMar>
        <w:top w:w="0" w:type="dxa"/>
        <w:left w:w="108" w:type="dxa"/>
        <w:bottom w:w="0" w:type="dxa"/>
        <w:right w:w="108" w:type="dxa"/>
      </w:tblCellMar>
    </w:tblPr>
  </w:style>
  <w:style w:type="table" w:customStyle="1" w:styleId="14">
    <w:name w:val="_Style 11"/>
    <w:basedOn w:val="12"/>
    <w:uiPriority w:val="0"/>
    <w:qFormat/>
    <w:tblPr>
      <w:tblCellMar>
        <w:top w:w="100" w:type="dxa"/>
        <w:left w:w="100" w:type="dxa"/>
        <w:bottom w:w="100" w:type="dxa"/>
        <w:right w:w="100" w:type="dxa"/>
      </w:tblCellMar>
    </w:tblPr>
  </w:style>
  <w:style w:type="table" w:customStyle="1" w:styleId="15">
    <w:name w:val="_Style 12"/>
    <w:basedOn w:val="12"/>
    <w:uiPriority w:val="0"/>
    <w:qFormat/>
    <w:tblPr>
      <w:tblCellMar>
        <w:top w:w="100" w:type="dxa"/>
        <w:left w:w="100" w:type="dxa"/>
        <w:bottom w:w="100" w:type="dxa"/>
        <w:right w:w="100" w:type="dxa"/>
      </w:tblCellMar>
    </w:tblPr>
  </w:style>
  <w:style w:type="table" w:customStyle="1" w:styleId="16">
    <w:name w:val="_Style 13"/>
    <w:basedOn w:val="12"/>
    <w:uiPriority w:val="0"/>
    <w:qFormat/>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hyperlink" Target="https://counterpointresearch.com/en/insights/global-foldable-smartphone-market-q3-2025/" TargetMode="External"/><Relationship Id="rId11" Type="http://schemas.openxmlformats.org/officeDocument/2006/relationships/hyperlink" Target="https://m.economictimes.com/news/international/us/huawei-leads-foldable-smartphone-market-with-48-global-share-as-samsung-falls-to-20-in-2025/articleshow/124205858.cms" TargetMode="External"/><Relationship Id="rId12" Type="http://schemas.openxmlformats.org/officeDocument/2006/relationships/hyperlink" Target="https://news.samsung.com/global/samsung-electronics-announces-first-quarter-2025-results" TargetMode="External"/><Relationship Id="rId13" Type="http://schemas.openxmlformats.org/officeDocument/2006/relationships/hyperlink" Target="https://www.ijarsct.co.in/Paper14603.pdf" TargetMode="External"/><Relationship Id="rId14" Type="http://schemas.openxmlformats.org/officeDocument/2006/relationships/hyperlink" Target="https://www.mbaknol.com/management-case-studies/case-study-of-apple-competitive-advantage-through-innovation/" TargetMode="External"/><Relationship Id="rId15" Type="http://schemas.openxmlformats.org/officeDocument/2006/relationships/hyperlink" Target="https://www.researchgate.net/publication/383209319_Strategic_Evolution_and_Competitive_Analysis_of_Apple_Inc" TargetMode="External"/><Relationship Id="rId16" Type="http://schemas.openxmlformats.org/officeDocument/2006/relationships/hyperlink" Target="https://www.businessworld.in/article/apple-overtakes-samsung-iphone-fold-launch-sag-2026-598698" TargetMode="External"/><Relationship Id="rId17" Type="http://schemas.openxmlformats.org/officeDocument/2006/relationships/hyperlink" Target="https://counterpointresearch.com/en/insights/Foldable-Smartphone-Market-Set-for-20-percent-Growth-in-2026" TargetMode="External"/><Relationship Id="rId18" Type="http://schemas.openxmlformats.org/officeDocument/2006/relationships/hyperlink" Target="https://my.idc.com/getdoc.jsp?containerId=prUS54017625" TargetMode="External"/><Relationship Id="rId19" Type="http://schemas.openxmlformats.org/officeDocument/2006/relationships/hyperlink" Target="https://www.computerworld.com/article/4150080/apples-ai-endgame-why-waiting-for-siri-could-make-it-a-winner.html" TargetMode="External"/><Relationship Id="rId20" Type="http://schemas.openxmlformats.org/officeDocument/2006/relationships/hyperlink" Target="https://www.crispidea.com/apple-vs-samsung-2026-smartphone-battle/" TargetMode="External"/><Relationship Id="rId21" Type="http://schemas.openxmlformats.org/officeDocument/2006/relationships/hyperlink" Target="https://omdia.tech.informa.com/blogs/2026/feb/samsung-unpacked-2026-short-term-pressure-long-term-play" TargetMode="External"/><Relationship Id="rId22" Type="http://schemas.openxmlformats.org/officeDocument/2006/relationships/hyperlink" Target="https://www.researchgate.net/publication/319585333_Samsung&apos;s_Innovation_Strategy_in_Smart_Phones_Market" TargetMode="External"/><Relationship Id="rId23" Type="http://schemas.openxmlformats.org/officeDocument/2006/relationships/hyperlink" Target="https://www.sammobile.com/news/samsung-invest-usd-74-billion-2026-factories-research-development/" TargetMode="External"/><Relationship Id="rId24" Type="http://schemas.openxmlformats.org/officeDocument/2006/relationships/hyperlink" Target="https://news.samsung.com/in/galaxy-unpacked-2026-highlights-from-galaxy-unpacked-the-beginning-of-truly-agentic-ai" TargetMode="External"/><Relationship Id="rId25" Type="http://schemas.openxmlformats.org/officeDocument/2006/relationships/hyperlink" Target="https://www.samsungsds.com/en/news/enterpriseai-260129.html" TargetMode="External"/><Relationship Id="rId26" Type="http://schemas.openxmlformats.org/officeDocument/2006/relationships/hyperlink" Target="https://www.softwareseni.com/the-august-2026-eu-ai-act-deadline-what-changes-and-whether-the-digital-omnibus-will-delay-it/" TargetMode="External"/><Relationship Id="rId27" Type="http://schemas.openxmlformats.org/officeDocument/2006/relationships/hyperlink" Target="https://www.techinasia.com/news/samsung-electronics-spending-hits-257b-2025" TargetMode="External"/><Relationship Id="rId28" Type="http://schemas.openxmlformats.org/officeDocument/2006/relationships/hyperlink" Target="https://www.artificialintelligence-news.com/news/apple-eu-ai-delay-innovation-vs-regulation/" TargetMode="External"/><Relationship Id="rId29" Type="http://schemas.openxmlformats.org/officeDocument/2006/relationships/hyperlink" Target="https://www.businessworld.in/article/apple-overtakes-samsung-iphone-fold-launch-sag-2026-598698" TargetMode="External"/><Relationship Id="rId30" Type="http://schemas.openxmlformats.org/officeDocument/2006/relationships/hyperlink" Target="https://www.computerworld.com/article/4150080/apples-ai-endgame-why-waiting-for-siri-could-make-it-a-winner.html" TargetMode="External"/><Relationship Id="rId31" Type="http://schemas.openxmlformats.org/officeDocument/2006/relationships/hyperlink" Target="https://www.itp.net/digital-culture/apple-ai-strategy-2026" TargetMode="External"/><Relationship Id="rId32" Type="http://schemas.openxmlformats.org/officeDocument/2006/relationships/hyperlink" Target="https://www.techbetweenthelines.com/2026-the-year-apples-strategy-faces-its-reckoning/" TargetMode="External"/><Relationship Id="rId33" Type="http://schemas.openxmlformats.org/officeDocument/2006/relationships/hyperlink" Target="https://telecom.economictimes.indiatimes.com/news/devices/apple-to-focus-on-premium-iphone-models-in-2026-amid-supply-chain-challenges/127796501" TargetMode="External"/><Relationship Id="rId34" Type="http://schemas.openxmlformats.org/officeDocument/2006/relationships/hyperlink" Target="https://www.csis.org/blogs/charting-geoeconomics/guarding-gates-digital-markets-act-and-lessons-ex-ante-regulation" TargetMode="External"/><Relationship Id="rId35" Type="http://schemas.openxmlformats.org/officeDocument/2006/relationships/hyperlink" Target="https://ai-act-service-desk.ec.europa.eu/en/ai-act/timeline/timeline-implementation-eu-ai-act" TargetMode="External"/><Relationship Id="rId36" Type="http://schemas.openxmlformats.org/officeDocument/2006/relationships/hyperlink" Target="https://www.sammyfans.com/2026/01/18/samsung-building-defenses-against-eu-tech-regulation/" TargetMode="External"/><Relationship Id="rId37" Type="http://schemas.openxmlformats.org/officeDocument/2006/relationships/hyperlink" Target="https://9to5mac.com/2026/01/28/apple-was-fined-a-total-of-851m-last-year-for-privacy-and-antitrust-violations/" TargetMode="External"/><Relationship Id="rId38" Type="http://schemas.openxmlformats.org/officeDocument/2006/relationships/hyperlink" Target="https://markets.financialcontent.com/stocks/article/finterra-2026-3-24-the-intelligence-supercycle-a-deep-dive-into-apples-aapl-2026-transformation" TargetMode="External"/><Relationship Id="rId39" Type="http://schemas.openxmlformats.org/officeDocument/2006/relationships/hyperlink" Target="https://milkeninstitute.org/article/tech-regulation-digest-antitrust-scrutiny-apple" TargetMode="External"/><Relationship Id="rId40" Type="http://schemas.openxmlformats.org/officeDocument/2006/relationships/header" Target="header1.xml"/><Relationship Id="rId41" Type="http://schemas.openxmlformats.org/officeDocument/2006/relationships/header" Target="header2.xml"/><Relationship Id="rId42" Type="http://schemas.openxmlformats.org/officeDocument/2006/relationships/header" Target="header3.xml"/><Relationship Id="rId43" Type="http://schemas.openxmlformats.org/officeDocument/2006/relationships/footer" Target="footer1.xml"/><Relationship Id="rId44" Type="http://schemas.openxmlformats.org/officeDocument/2006/relationships/footer" Target="footer2.xml"/><Relationship Id="rId45" Type="http://schemas.openxmlformats.org/officeDocument/2006/relationships/footer" Target="footer3.xml"/><Relationship Id="rId46" Type="http://schemas.openxmlformats.org/officeDocument/2006/relationships/fontTable" Target="fontTable.xml"/><Relationship Id="rId47" Type="http://schemas.openxmlformats.org/officeDocument/2006/relationships/settings" Target="settings.xml"/><Relationship Id="rId48" Type="http://schemas.openxmlformats.org/officeDocument/2006/relationships/theme" Target="theme/theme1.xml"/>
</Relationships>
</file>

<file path=word/_rels/header2.xml.rels><?xml version="1.0" encoding="UTF-8"?>
<Relationships xmlns="http://schemas.openxmlformats.org/package/2006/relationships"><Relationship Id="rId1" Type="http://schemas.openxmlformats.org/officeDocument/2006/relationships/image" Target="media/image9.jpeg"/>
</Relationships>
</file>

<file path=word/_rels/header3.xml.rels><?xml version="1.0" encoding="UTF-8"?>
<Relationships xmlns="http://schemas.openxmlformats.org/package/2006/relationships"><Relationship Id="rId1" Type="http://schemas.openxmlformats.org/officeDocument/2006/relationships/image" Target="media/image9.jpe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2480</TotalTime>
  <Application>LibreOffice/25.8.5.2$Windows_X86_64 LibreOffice_project/9c8b85f387cc00a89945a79c9e6239f32e450ac2</Application>
  <AppVersion>15.0000</AppVersion>
  <Pages>22</Pages>
  <Words>3738</Words>
  <Characters>25338</Characters>
  <CharactersWithSpaces>29022</CharactersWithSpaces>
  <Paragraphs>131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2025-11-04T08:13:42Z</dcterms:created>
  <dc:creator>dasdi</dc:creator>
  <dc:description/>
  <dc:language>en-US</dc:language>
  <cp:lastModifiedBy/>
  <dcterms:modified xsi:type="dcterms:W3CDTF">2026-03-27T14:59:19Z</dcterms:modified>
  <cp:revision>377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