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3323607"/>
        <w:docPartObj>
          <w:docPartGallery w:val="Cover Pages"/>
          <w:docPartUnique/>
        </w:docPartObj>
      </w:sdtPr>
      <w:sdtEndPr>
        <w:rPr>
          <w:rFonts w:ascii="Arial" w:hAnsi="Arial" w:cs="Arial"/>
          <w:sz w:val="22"/>
          <w:szCs w:val="22"/>
        </w:rPr>
      </w:sdtEndPr>
      <w:sdtContent>
        <w:p w14:paraId="630D2B61" w14:textId="77777777" w:rsidR="0032166F" w:rsidRPr="00A30457" w:rsidRDefault="0032166F" w:rsidP="00777941">
          <w:pPr>
            <w:spacing w:after="120"/>
          </w:pPr>
          <w:r w:rsidRPr="00A30457">
            <w:rPr>
              <w:noProof/>
            </w:rPr>
            <w:drawing>
              <wp:anchor distT="0" distB="0" distL="114300" distR="114300" simplePos="0" relativeHeight="251659264" behindDoc="0" locked="0" layoutInCell="1" allowOverlap="1" wp14:anchorId="2B26AECC" wp14:editId="060C85EE">
                <wp:simplePos x="0" y="0"/>
                <wp:positionH relativeFrom="column">
                  <wp:posOffset>0</wp:posOffset>
                </wp:positionH>
                <wp:positionV relativeFrom="paragraph">
                  <wp:posOffset>292100</wp:posOffset>
                </wp:positionV>
                <wp:extent cx="1809750" cy="723900"/>
                <wp:effectExtent l="0" t="0" r="0" b="0"/>
                <wp:wrapSquare wrapText="bothSides"/>
                <wp:docPr id="664371456"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0B4622D3" w14:textId="77777777" w:rsidR="0032166F" w:rsidRPr="00A30457" w:rsidRDefault="0032166F" w:rsidP="0032166F"/>
        <w:p w14:paraId="1CB2B26D" w14:textId="77777777" w:rsidR="0032166F" w:rsidRPr="00A30457" w:rsidRDefault="0032166F" w:rsidP="0032166F"/>
        <w:p w14:paraId="0E73B4CD" w14:textId="77777777" w:rsidR="0032166F" w:rsidRPr="00A30457" w:rsidRDefault="0032166F" w:rsidP="0032166F"/>
        <w:p w14:paraId="07EBCE9A" w14:textId="77777777" w:rsidR="0032166F" w:rsidRPr="00A30457" w:rsidRDefault="0032166F" w:rsidP="0032166F"/>
        <w:p w14:paraId="7C61B146" w14:textId="77777777" w:rsidR="0032166F" w:rsidRPr="00FE3B90" w:rsidRDefault="0032166F" w:rsidP="0032166F">
          <w:pPr>
            <w:rPr>
              <w:rFonts w:ascii="Arial" w:hAnsi="Arial" w:cs="Arial"/>
              <w:sz w:val="22"/>
              <w:szCs w:val="22"/>
            </w:rPr>
          </w:pPr>
          <w:bookmarkStart w:id="0" w:name="_Hlk119323191"/>
          <w:r w:rsidRPr="00FE3B90">
            <w:rPr>
              <w:rFonts w:ascii="Arial" w:hAnsi="Arial" w:cs="Arial"/>
              <w:b/>
              <w:bCs/>
              <w:sz w:val="22"/>
              <w:szCs w:val="22"/>
            </w:rPr>
            <w:t>Student name</w:t>
          </w:r>
          <w:r w:rsidRPr="00FE3B90">
            <w:rPr>
              <w:rFonts w:ascii="Arial" w:hAnsi="Arial" w:cs="Arial"/>
              <w:sz w:val="22"/>
              <w:szCs w:val="22"/>
            </w:rPr>
            <w:t>: Francis Egbeonu</w:t>
          </w:r>
        </w:p>
        <w:p w14:paraId="4ADAC7A2" w14:textId="77777777" w:rsidR="0032166F" w:rsidRPr="00FE3B90" w:rsidRDefault="0032166F" w:rsidP="0032166F">
          <w:pPr>
            <w:rPr>
              <w:rFonts w:ascii="Arial" w:hAnsi="Arial" w:cs="Arial"/>
              <w:sz w:val="22"/>
              <w:szCs w:val="22"/>
              <w:lang w:val="nl-NL"/>
            </w:rPr>
          </w:pPr>
          <w:r w:rsidRPr="00FE3B90">
            <w:rPr>
              <w:rFonts w:ascii="Arial" w:hAnsi="Arial" w:cs="Arial"/>
              <w:b/>
              <w:bCs/>
              <w:sz w:val="22"/>
              <w:szCs w:val="22"/>
              <w:lang w:val="nl-NL"/>
            </w:rPr>
            <w:t>Student ID</w:t>
          </w:r>
          <w:r w:rsidRPr="00FE3B90">
            <w:rPr>
              <w:rFonts w:ascii="Arial" w:hAnsi="Arial" w:cs="Arial"/>
              <w:sz w:val="22"/>
              <w:szCs w:val="22"/>
              <w:lang w:val="nl-NL"/>
            </w:rPr>
            <w:t>: 2438118</w:t>
          </w:r>
        </w:p>
        <w:p w14:paraId="46297FC5" w14:textId="77777777" w:rsidR="0032166F" w:rsidRPr="00FE3B90" w:rsidRDefault="0032166F" w:rsidP="0032166F">
          <w:pPr>
            <w:rPr>
              <w:rFonts w:ascii="Arial" w:hAnsi="Arial" w:cs="Arial"/>
              <w:sz w:val="22"/>
              <w:szCs w:val="22"/>
              <w:lang w:val="nl-NL"/>
            </w:rPr>
          </w:pPr>
        </w:p>
        <w:p w14:paraId="41179450" w14:textId="77777777" w:rsidR="0032166F" w:rsidRPr="00FE3B90" w:rsidRDefault="0032166F" w:rsidP="0032166F">
          <w:pPr>
            <w:rPr>
              <w:rFonts w:ascii="Arial" w:hAnsi="Arial" w:cs="Arial"/>
              <w:sz w:val="22"/>
              <w:szCs w:val="22"/>
              <w:lang w:val="nl-NL"/>
            </w:rPr>
          </w:pPr>
          <w:r w:rsidRPr="00FE3B90">
            <w:rPr>
              <w:rFonts w:ascii="Arial" w:hAnsi="Arial" w:cs="Arial"/>
              <w:b/>
              <w:bCs/>
              <w:sz w:val="22"/>
              <w:szCs w:val="22"/>
              <w:lang w:val="nl-NL"/>
            </w:rPr>
            <w:t>Module name</w:t>
          </w:r>
          <w:r w:rsidRPr="00FE3B90">
            <w:rPr>
              <w:rFonts w:ascii="Arial" w:hAnsi="Arial" w:cs="Arial"/>
              <w:sz w:val="22"/>
              <w:szCs w:val="22"/>
              <w:lang w:val="nl-NL"/>
            </w:rPr>
            <w:t>: Introduction to Health and Social Care</w:t>
          </w:r>
        </w:p>
        <w:p w14:paraId="40A1A28B" w14:textId="77777777" w:rsidR="0032166F" w:rsidRPr="00FE3B90" w:rsidRDefault="0032166F" w:rsidP="0032166F">
          <w:pPr>
            <w:rPr>
              <w:rFonts w:ascii="Arial" w:hAnsi="Arial" w:cs="Arial"/>
              <w:sz w:val="22"/>
              <w:szCs w:val="22"/>
            </w:rPr>
          </w:pPr>
          <w:r w:rsidRPr="00FE3B90">
            <w:rPr>
              <w:rFonts w:ascii="Arial" w:hAnsi="Arial" w:cs="Arial"/>
              <w:b/>
              <w:bCs/>
              <w:sz w:val="22"/>
              <w:szCs w:val="22"/>
            </w:rPr>
            <w:t>Module code</w:t>
          </w:r>
          <w:r w:rsidRPr="00FE3B90">
            <w:rPr>
              <w:rFonts w:ascii="Arial" w:hAnsi="Arial" w:cs="Arial"/>
              <w:sz w:val="22"/>
              <w:szCs w:val="22"/>
            </w:rPr>
            <w:t>: LCH4003</w:t>
          </w:r>
        </w:p>
        <w:p w14:paraId="13E59467" w14:textId="7A8CD218" w:rsidR="0032166F" w:rsidRPr="00FE3B90" w:rsidRDefault="0032166F" w:rsidP="0032166F">
          <w:pPr>
            <w:rPr>
              <w:rFonts w:ascii="Arial" w:hAnsi="Arial" w:cs="Arial"/>
              <w:sz w:val="22"/>
              <w:szCs w:val="22"/>
            </w:rPr>
          </w:pPr>
          <w:r w:rsidRPr="00FE3B90">
            <w:rPr>
              <w:rFonts w:ascii="Arial" w:hAnsi="Arial" w:cs="Arial"/>
              <w:b/>
              <w:bCs/>
              <w:sz w:val="22"/>
              <w:szCs w:val="22"/>
            </w:rPr>
            <w:t>Lecturer name</w:t>
          </w:r>
          <w:r w:rsidRPr="00FE3B90">
            <w:rPr>
              <w:rFonts w:ascii="Arial" w:hAnsi="Arial" w:cs="Arial"/>
              <w:sz w:val="22"/>
              <w:szCs w:val="22"/>
            </w:rPr>
            <w:t xml:space="preserve"> Mark Kane</w:t>
          </w:r>
          <w:bookmarkEnd w:id="0"/>
          <w:r w:rsidRPr="00FE3B90">
            <w:rPr>
              <w:rFonts w:ascii="Arial" w:hAnsi="Arial" w:cs="Arial"/>
              <w:sz w:val="22"/>
              <w:szCs w:val="22"/>
            </w:rPr>
            <w:t xml:space="preserve"> </w:t>
          </w:r>
        </w:p>
        <w:p w14:paraId="496469EC" w14:textId="697AE817" w:rsidR="00897AF9" w:rsidRPr="00FE3B90" w:rsidRDefault="00897AF9" w:rsidP="00897AF9">
          <w:pPr>
            <w:rPr>
              <w:rFonts w:ascii="Arial" w:hAnsi="Arial" w:cs="Arial"/>
              <w:b/>
              <w:bCs/>
              <w:sz w:val="22"/>
              <w:szCs w:val="22"/>
            </w:rPr>
          </w:pPr>
        </w:p>
        <w:p w14:paraId="2C406A96" w14:textId="77777777" w:rsidR="00897AF9" w:rsidRPr="00FE3B90" w:rsidRDefault="00897AF9" w:rsidP="00897AF9">
          <w:pPr>
            <w:rPr>
              <w:rFonts w:ascii="Arial" w:hAnsi="Arial" w:cs="Arial"/>
              <w:b/>
              <w:bCs/>
              <w:sz w:val="22"/>
              <w:szCs w:val="22"/>
            </w:rPr>
          </w:pPr>
          <w:r w:rsidRPr="00FE3B90">
            <w:rPr>
              <w:rFonts w:ascii="Arial" w:hAnsi="Arial" w:cs="Arial"/>
              <w:b/>
              <w:bCs/>
              <w:sz w:val="22"/>
              <w:szCs w:val="22"/>
            </w:rPr>
            <w:br w:type="page"/>
          </w:r>
        </w:p>
        <w:bookmarkStart w:id="1" w:name="_Toc215512910" w:displacedByCustomXml="next"/>
        <w:sdt>
          <w:sdtPr>
            <w:rPr>
              <w:rFonts w:ascii="Arial" w:hAnsi="Arial" w:cs="Arial"/>
              <w:sz w:val="22"/>
              <w:szCs w:val="22"/>
            </w:rPr>
            <w:id w:val="-1368068899"/>
            <w:docPartObj>
              <w:docPartGallery w:val="Table of Contents"/>
              <w:docPartUnique/>
            </w:docPartObj>
          </w:sdtPr>
          <w:sdtContent>
            <w:p w14:paraId="3E45CCE4" w14:textId="77777777" w:rsidR="00897AF9" w:rsidRPr="00FE3B90" w:rsidRDefault="00897AF9" w:rsidP="00897AF9">
              <w:pPr>
                <w:rPr>
                  <w:rFonts w:ascii="Arial" w:hAnsi="Arial" w:cs="Arial"/>
                  <w:b/>
                  <w:sz w:val="22"/>
                  <w:szCs w:val="22"/>
                </w:rPr>
              </w:pPr>
              <w:r w:rsidRPr="00FE3B90">
                <w:rPr>
                  <w:rFonts w:ascii="Arial" w:hAnsi="Arial" w:cs="Arial"/>
                  <w:b/>
                  <w:sz w:val="22"/>
                  <w:szCs w:val="22"/>
                </w:rPr>
                <w:t>Table of Contents</w:t>
              </w:r>
              <w:bookmarkEnd w:id="1"/>
            </w:p>
            <w:p w14:paraId="16D21CD9" w14:textId="425A113C" w:rsidR="00897AF9" w:rsidRPr="00FE3B90" w:rsidRDefault="00897AF9" w:rsidP="00897AF9">
              <w:pPr>
                <w:rPr>
                  <w:rFonts w:ascii="Arial" w:hAnsi="Arial" w:cs="Arial"/>
                  <w:noProof/>
                  <w:sz w:val="22"/>
                  <w:szCs w:val="22"/>
                  <w:lang w:val="en-US"/>
                </w:rPr>
              </w:pPr>
              <w:r w:rsidRPr="00FE3B90">
                <w:rPr>
                  <w:rFonts w:ascii="Arial" w:hAnsi="Arial" w:cs="Arial"/>
                  <w:sz w:val="22"/>
                  <w:szCs w:val="22"/>
                </w:rPr>
                <w:fldChar w:fldCharType="begin"/>
              </w:r>
              <w:r w:rsidRPr="00FE3B90">
                <w:rPr>
                  <w:rFonts w:ascii="Arial" w:hAnsi="Arial" w:cs="Arial"/>
                  <w:sz w:val="22"/>
                  <w:szCs w:val="22"/>
                </w:rPr>
                <w:instrText xml:space="preserve"> TOC \o "1-3" \h \z \u </w:instrText>
              </w:r>
              <w:r w:rsidRPr="00FE3B90">
                <w:rPr>
                  <w:rFonts w:ascii="Arial" w:hAnsi="Arial" w:cs="Arial"/>
                  <w:sz w:val="22"/>
                  <w:szCs w:val="22"/>
                </w:rPr>
                <w:fldChar w:fldCharType="separate"/>
              </w:r>
              <w:hyperlink r:id="rId6" w:anchor="_Toc215512910" w:history="1">
                <w:r w:rsidRPr="00FE3B90">
                  <w:rPr>
                    <w:rStyle w:val="Hyperlink"/>
                    <w:rFonts w:ascii="Arial" w:hAnsi="Arial" w:cs="Arial"/>
                    <w:noProof/>
                    <w:sz w:val="22"/>
                    <w:szCs w:val="22"/>
                  </w:rPr>
                  <w:t xml:space="preserve"> Contents</w:t>
                </w:r>
                <w:r w:rsidR="000D3961" w:rsidRPr="00FE3B90">
                  <w:rPr>
                    <w:rStyle w:val="Hyperlink"/>
                    <w:rFonts w:ascii="Arial" w:hAnsi="Arial" w:cs="Arial"/>
                    <w:noProof/>
                    <w:sz w:val="22"/>
                    <w:szCs w:val="22"/>
                  </w:rPr>
                  <w:t>…………………………………………………………………………………………..</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_Toc215512910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1</w:t>
                </w:r>
                <w:r w:rsidRPr="00FE3B90">
                  <w:rPr>
                    <w:rStyle w:val="Hyperlink"/>
                    <w:rFonts w:ascii="Arial" w:hAnsi="Arial" w:cs="Arial"/>
                    <w:noProof/>
                    <w:webHidden/>
                    <w:sz w:val="22"/>
                    <w:szCs w:val="22"/>
                  </w:rPr>
                  <w:fldChar w:fldCharType="end"/>
                </w:r>
              </w:hyperlink>
            </w:p>
            <w:p w14:paraId="15A97864" w14:textId="6E702FFB" w:rsidR="00897AF9" w:rsidRPr="00FE3B90" w:rsidRDefault="00897AF9" w:rsidP="00897AF9">
              <w:pPr>
                <w:rPr>
                  <w:rFonts w:ascii="Arial" w:hAnsi="Arial" w:cs="Arial"/>
                  <w:noProof/>
                  <w:sz w:val="22"/>
                  <w:szCs w:val="22"/>
                  <w:lang w:val="en-US"/>
                </w:rPr>
              </w:pPr>
              <w:hyperlink r:id="rId7" w:anchor="_Toc215512911" w:history="1">
                <w:r w:rsidRPr="00FE3B90">
                  <w:rPr>
                    <w:rStyle w:val="Hyperlink"/>
                    <w:rFonts w:ascii="Arial" w:hAnsi="Arial" w:cs="Arial"/>
                    <w:noProof/>
                    <w:sz w:val="22"/>
                    <w:szCs w:val="22"/>
                  </w:rPr>
                  <w:t>Introduction</w:t>
                </w:r>
                <w:r w:rsidR="000D3961" w:rsidRPr="00FE3B90">
                  <w:rPr>
                    <w:rStyle w:val="Hyperlink"/>
                    <w:rFonts w:ascii="Arial" w:hAnsi="Arial" w:cs="Arial"/>
                    <w:noProof/>
                    <w:sz w:val="22"/>
                    <w:szCs w:val="22"/>
                  </w:rPr>
                  <w:t>…………………………………………………………………………………………</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_Toc215512911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2</w:t>
                </w:r>
                <w:r w:rsidRPr="00FE3B90">
                  <w:rPr>
                    <w:rStyle w:val="Hyperlink"/>
                    <w:rFonts w:ascii="Arial" w:hAnsi="Arial" w:cs="Arial"/>
                    <w:noProof/>
                    <w:webHidden/>
                    <w:sz w:val="22"/>
                    <w:szCs w:val="22"/>
                  </w:rPr>
                  <w:fldChar w:fldCharType="end"/>
                </w:r>
              </w:hyperlink>
            </w:p>
            <w:p w14:paraId="217C59B7" w14:textId="568F1C60" w:rsidR="00897AF9" w:rsidRPr="00FE3B90" w:rsidRDefault="00897AF9" w:rsidP="00897AF9">
              <w:pPr>
                <w:rPr>
                  <w:rFonts w:ascii="Arial" w:hAnsi="Arial" w:cs="Arial"/>
                  <w:noProof/>
                  <w:sz w:val="22"/>
                  <w:szCs w:val="22"/>
                  <w:lang w:val="en-US"/>
                </w:rPr>
              </w:pPr>
              <w:hyperlink r:id="rId8" w:anchor="_Toc215512912" w:history="1">
                <w:r w:rsidRPr="00FE3B90">
                  <w:rPr>
                    <w:rStyle w:val="Hyperlink"/>
                    <w:rFonts w:ascii="Arial" w:hAnsi="Arial" w:cs="Arial"/>
                    <w:noProof/>
                    <w:sz w:val="22"/>
                    <w:szCs w:val="22"/>
                  </w:rPr>
                  <w:t>Importance of effective communication within the context of Mrs Mann’s care</w:t>
                </w:r>
                <w:r w:rsidR="000D3961" w:rsidRPr="00FE3B90">
                  <w:rPr>
                    <w:rStyle w:val="Hyperlink"/>
                    <w:rFonts w:ascii="Arial" w:hAnsi="Arial" w:cs="Arial"/>
                    <w:noProof/>
                    <w:sz w:val="22"/>
                    <w:szCs w:val="22"/>
                  </w:rPr>
                  <w:t xml:space="preserve"> </w:t>
                </w:r>
                <w:r w:rsidR="003813BE" w:rsidRPr="00FE3B90">
                  <w:rPr>
                    <w:rStyle w:val="Hyperlink"/>
                    <w:rFonts w:ascii="Arial" w:hAnsi="Arial" w:cs="Arial"/>
                    <w:noProof/>
                    <w:sz w:val="22"/>
                    <w:szCs w:val="22"/>
                  </w:rPr>
                  <w:t>………</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_Toc215512912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2</w:t>
                </w:r>
                <w:r w:rsidRPr="00FE3B90">
                  <w:rPr>
                    <w:rStyle w:val="Hyperlink"/>
                    <w:rFonts w:ascii="Arial" w:hAnsi="Arial" w:cs="Arial"/>
                    <w:noProof/>
                    <w:webHidden/>
                    <w:sz w:val="22"/>
                    <w:szCs w:val="22"/>
                  </w:rPr>
                  <w:fldChar w:fldCharType="end"/>
                </w:r>
              </w:hyperlink>
            </w:p>
            <w:p w14:paraId="3A8A7C99" w14:textId="7F13E5B6" w:rsidR="00897AF9" w:rsidRPr="00FE3B90" w:rsidRDefault="00897AF9" w:rsidP="00897AF9">
              <w:pPr>
                <w:rPr>
                  <w:rFonts w:ascii="Arial" w:hAnsi="Arial" w:cs="Arial"/>
                  <w:noProof/>
                  <w:sz w:val="22"/>
                  <w:szCs w:val="22"/>
                  <w:lang w:val="en-US"/>
                </w:rPr>
              </w:pPr>
              <w:hyperlink r:id="rId9" w:anchor="_Toc215512913" w:history="1">
                <w:r w:rsidRPr="00FE3B90">
                  <w:rPr>
                    <w:rStyle w:val="Hyperlink"/>
                    <w:rFonts w:ascii="Arial" w:hAnsi="Arial" w:cs="Arial"/>
                    <w:noProof/>
                    <w:sz w:val="22"/>
                    <w:szCs w:val="22"/>
                  </w:rPr>
                  <w:t>Key role of record keeping and applying the principles of the Data Protection Act 2018 within the context of Mrs Mann’s care</w:t>
                </w:r>
                <w:r w:rsidR="003813BE" w:rsidRPr="00FE3B90">
                  <w:rPr>
                    <w:rStyle w:val="Hyperlink"/>
                    <w:rFonts w:ascii="Arial" w:hAnsi="Arial" w:cs="Arial"/>
                    <w:noProof/>
                    <w:sz w:val="22"/>
                    <w:szCs w:val="22"/>
                  </w:rPr>
                  <w:t xml:space="preserve"> ………………………………………………………………</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_Toc215512913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3</w:t>
                </w:r>
                <w:r w:rsidRPr="00FE3B90">
                  <w:rPr>
                    <w:rStyle w:val="Hyperlink"/>
                    <w:rFonts w:ascii="Arial" w:hAnsi="Arial" w:cs="Arial"/>
                    <w:noProof/>
                    <w:webHidden/>
                    <w:sz w:val="22"/>
                    <w:szCs w:val="22"/>
                  </w:rPr>
                  <w:fldChar w:fldCharType="end"/>
                </w:r>
              </w:hyperlink>
            </w:p>
            <w:p w14:paraId="6DDADF7B" w14:textId="08ACCFF3" w:rsidR="00897AF9" w:rsidRPr="00FE3B90" w:rsidRDefault="00897AF9" w:rsidP="00897AF9">
              <w:pPr>
                <w:rPr>
                  <w:rFonts w:ascii="Arial" w:hAnsi="Arial" w:cs="Arial"/>
                  <w:noProof/>
                  <w:sz w:val="22"/>
                  <w:szCs w:val="22"/>
                  <w:lang w:val="en-US"/>
                </w:rPr>
              </w:pPr>
              <w:hyperlink r:id="rId10" w:anchor="_Toc215512914" w:history="1">
                <w:r w:rsidRPr="00FE3B90">
                  <w:rPr>
                    <w:rStyle w:val="Hyperlink"/>
                    <w:rFonts w:ascii="Arial" w:hAnsi="Arial" w:cs="Arial"/>
                    <w:noProof/>
                    <w:sz w:val="22"/>
                    <w:szCs w:val="22"/>
                  </w:rPr>
                  <w:t>Importance of working collaboratively with other professionals involved in Mrs Mann’s care</w:t>
                </w:r>
                <w:r w:rsidR="003813BE" w:rsidRPr="00FE3B90">
                  <w:rPr>
                    <w:rStyle w:val="Hyperlink"/>
                    <w:rFonts w:ascii="Arial" w:hAnsi="Arial" w:cs="Arial"/>
                    <w:noProof/>
                    <w:sz w:val="22"/>
                    <w:szCs w:val="22"/>
                  </w:rPr>
                  <w:t xml:space="preserve"> ………………………………………………………………………………………………………</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_Toc215512914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5</w:t>
                </w:r>
                <w:r w:rsidRPr="00FE3B90">
                  <w:rPr>
                    <w:rStyle w:val="Hyperlink"/>
                    <w:rFonts w:ascii="Arial" w:hAnsi="Arial" w:cs="Arial"/>
                    <w:noProof/>
                    <w:webHidden/>
                    <w:sz w:val="22"/>
                    <w:szCs w:val="22"/>
                  </w:rPr>
                  <w:fldChar w:fldCharType="end"/>
                </w:r>
              </w:hyperlink>
            </w:p>
            <w:p w14:paraId="00BC7317" w14:textId="7EB06BD6" w:rsidR="00897AF9" w:rsidRPr="00FE3B90" w:rsidRDefault="00897AF9" w:rsidP="00897AF9">
              <w:pPr>
                <w:rPr>
                  <w:rFonts w:ascii="Arial" w:hAnsi="Arial" w:cs="Arial"/>
                  <w:noProof/>
                  <w:sz w:val="22"/>
                  <w:szCs w:val="22"/>
                  <w:lang w:val="en-US"/>
                </w:rPr>
              </w:pPr>
              <w:hyperlink r:id="rId11" w:anchor="_Toc215512915" w:history="1">
                <w:r w:rsidRPr="00FE3B90">
                  <w:rPr>
                    <w:rStyle w:val="Hyperlink"/>
                    <w:rFonts w:ascii="Arial" w:hAnsi="Arial" w:cs="Arial"/>
                    <w:noProof/>
                    <w:sz w:val="22"/>
                    <w:szCs w:val="22"/>
                  </w:rPr>
                  <w:t>Strategies for addressing and overcoming common challenges</w:t>
                </w:r>
                <w:r w:rsidR="003813BE" w:rsidRPr="00FE3B90">
                  <w:rPr>
                    <w:rStyle w:val="Hyperlink"/>
                    <w:rFonts w:ascii="Arial" w:hAnsi="Arial" w:cs="Arial"/>
                    <w:noProof/>
                    <w:sz w:val="22"/>
                    <w:szCs w:val="22"/>
                  </w:rPr>
                  <w:t xml:space="preserve"> ……………………………</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_Toc215512915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5</w:t>
                </w:r>
                <w:r w:rsidRPr="00FE3B90">
                  <w:rPr>
                    <w:rStyle w:val="Hyperlink"/>
                    <w:rFonts w:ascii="Arial" w:hAnsi="Arial" w:cs="Arial"/>
                    <w:noProof/>
                    <w:webHidden/>
                    <w:sz w:val="22"/>
                    <w:szCs w:val="22"/>
                  </w:rPr>
                  <w:fldChar w:fldCharType="end"/>
                </w:r>
              </w:hyperlink>
            </w:p>
            <w:p w14:paraId="5897E124" w14:textId="2D5854FA" w:rsidR="00897AF9" w:rsidRPr="00FE3B90" w:rsidRDefault="00897AF9" w:rsidP="00897AF9">
              <w:pPr>
                <w:rPr>
                  <w:rFonts w:ascii="Arial" w:hAnsi="Arial" w:cs="Arial"/>
                  <w:noProof/>
                  <w:sz w:val="22"/>
                  <w:szCs w:val="22"/>
                  <w:lang w:val="en-US"/>
                </w:rPr>
              </w:pPr>
              <w:hyperlink r:id="rId12" w:anchor="_Toc215512916" w:history="1">
                <w:r w:rsidRPr="00FE3B90">
                  <w:rPr>
                    <w:rStyle w:val="Hyperlink"/>
                    <w:rFonts w:ascii="Arial" w:hAnsi="Arial" w:cs="Arial"/>
                    <w:noProof/>
                    <w:sz w:val="22"/>
                    <w:szCs w:val="22"/>
                  </w:rPr>
                  <w:t>Conclusion</w:t>
                </w:r>
                <w:r w:rsidR="003813BE" w:rsidRPr="00FE3B90">
                  <w:rPr>
                    <w:rStyle w:val="Hyperlink"/>
                    <w:rFonts w:ascii="Arial" w:hAnsi="Arial" w:cs="Arial"/>
                    <w:noProof/>
                    <w:sz w:val="22"/>
                    <w:szCs w:val="22"/>
                  </w:rPr>
                  <w:t xml:space="preserve"> ………………………………………………………………………………………..</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_Toc215512916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5</w:t>
                </w:r>
                <w:r w:rsidRPr="00FE3B90">
                  <w:rPr>
                    <w:rStyle w:val="Hyperlink"/>
                    <w:rFonts w:ascii="Arial" w:hAnsi="Arial" w:cs="Arial"/>
                    <w:noProof/>
                    <w:webHidden/>
                    <w:sz w:val="22"/>
                    <w:szCs w:val="22"/>
                  </w:rPr>
                  <w:fldChar w:fldCharType="end"/>
                </w:r>
              </w:hyperlink>
            </w:p>
            <w:p w14:paraId="55A50D3A" w14:textId="2CB7A971" w:rsidR="00897AF9" w:rsidRPr="00FE3B90" w:rsidRDefault="00897AF9" w:rsidP="00897AF9">
              <w:pPr>
                <w:rPr>
                  <w:rFonts w:ascii="Arial" w:hAnsi="Arial" w:cs="Arial"/>
                  <w:noProof/>
                  <w:sz w:val="22"/>
                  <w:szCs w:val="22"/>
                  <w:lang w:val="en-US"/>
                </w:rPr>
              </w:pPr>
              <w:hyperlink r:id="rId13" w:anchor="_Toc215512917" w:history="1">
                <w:r w:rsidRPr="00FE3B90">
                  <w:rPr>
                    <w:rStyle w:val="Hyperlink"/>
                    <w:rFonts w:ascii="Arial" w:hAnsi="Arial" w:cs="Arial"/>
                    <w:noProof/>
                    <w:sz w:val="22"/>
                    <w:szCs w:val="22"/>
                  </w:rPr>
                  <w:t>References</w:t>
                </w:r>
                <w:r w:rsidR="003813BE" w:rsidRPr="00FE3B90">
                  <w:rPr>
                    <w:rStyle w:val="Hyperlink"/>
                    <w:rFonts w:ascii="Arial" w:hAnsi="Arial" w:cs="Arial"/>
                    <w:noProof/>
                    <w:sz w:val="22"/>
                    <w:szCs w:val="22"/>
                  </w:rPr>
                  <w:t xml:space="preserve">  ……………………………………………………………………………………….</w:t>
                </w:r>
                <w:r w:rsidRPr="00FE3B90">
                  <w:rPr>
                    <w:rStyle w:val="Hyperlink"/>
                    <w:rFonts w:ascii="Arial" w:hAnsi="Arial" w:cs="Arial"/>
                    <w:noProof/>
                    <w:webHidden/>
                    <w:sz w:val="22"/>
                    <w:szCs w:val="22"/>
                  </w:rPr>
                  <w:tab/>
                </w:r>
                <w:r w:rsidRPr="00FE3B90">
                  <w:rPr>
                    <w:rStyle w:val="Hyperlink"/>
                    <w:rFonts w:ascii="Arial" w:hAnsi="Arial" w:cs="Arial"/>
                    <w:noProof/>
                    <w:webHidden/>
                    <w:sz w:val="22"/>
                    <w:szCs w:val="22"/>
                  </w:rPr>
                  <w:fldChar w:fldCharType="begin"/>
                </w:r>
                <w:r w:rsidRPr="00FE3B90">
                  <w:rPr>
                    <w:rStyle w:val="Hyperlink"/>
                    <w:rFonts w:ascii="Arial" w:hAnsi="Arial" w:cs="Arial"/>
                    <w:noProof/>
                    <w:webHidden/>
                    <w:sz w:val="22"/>
                    <w:szCs w:val="22"/>
                  </w:rPr>
                  <w:instrText xml:space="preserve"> PAGEREF _Toc215512917 \h </w:instrText>
                </w:r>
                <w:r w:rsidRPr="00FE3B90">
                  <w:rPr>
                    <w:rStyle w:val="Hyperlink"/>
                    <w:rFonts w:ascii="Arial" w:hAnsi="Arial" w:cs="Arial"/>
                    <w:noProof/>
                    <w:webHidden/>
                    <w:sz w:val="22"/>
                    <w:szCs w:val="22"/>
                  </w:rPr>
                </w:r>
                <w:r w:rsidRPr="00FE3B90">
                  <w:rPr>
                    <w:rStyle w:val="Hyperlink"/>
                    <w:rFonts w:ascii="Arial" w:hAnsi="Arial" w:cs="Arial"/>
                    <w:noProof/>
                    <w:webHidden/>
                    <w:sz w:val="22"/>
                    <w:szCs w:val="22"/>
                  </w:rPr>
                  <w:fldChar w:fldCharType="separate"/>
                </w:r>
                <w:r w:rsidRPr="00FE3B90">
                  <w:rPr>
                    <w:rStyle w:val="Hyperlink"/>
                    <w:rFonts w:ascii="Arial" w:hAnsi="Arial" w:cs="Arial"/>
                    <w:noProof/>
                    <w:webHidden/>
                    <w:sz w:val="22"/>
                    <w:szCs w:val="22"/>
                  </w:rPr>
                  <w:t>7</w:t>
                </w:r>
                <w:r w:rsidRPr="00FE3B90">
                  <w:rPr>
                    <w:rStyle w:val="Hyperlink"/>
                    <w:rFonts w:ascii="Arial" w:hAnsi="Arial" w:cs="Arial"/>
                    <w:noProof/>
                    <w:webHidden/>
                    <w:sz w:val="22"/>
                    <w:szCs w:val="22"/>
                  </w:rPr>
                  <w:fldChar w:fldCharType="end"/>
                </w:r>
              </w:hyperlink>
            </w:p>
            <w:p w14:paraId="37F945A2" w14:textId="77777777" w:rsidR="00897AF9" w:rsidRPr="00FE3B90" w:rsidRDefault="00897AF9" w:rsidP="00897AF9">
              <w:pPr>
                <w:rPr>
                  <w:rFonts w:ascii="Arial" w:hAnsi="Arial" w:cs="Arial"/>
                  <w:sz w:val="22"/>
                  <w:szCs w:val="22"/>
                </w:rPr>
              </w:pPr>
              <w:r w:rsidRPr="00FE3B90">
                <w:rPr>
                  <w:rFonts w:ascii="Arial" w:hAnsi="Arial" w:cs="Arial"/>
                  <w:sz w:val="22"/>
                  <w:szCs w:val="22"/>
                </w:rPr>
                <w:fldChar w:fldCharType="end"/>
              </w:r>
            </w:p>
          </w:sdtContent>
        </w:sdt>
        <w:p w14:paraId="70F13057" w14:textId="77777777" w:rsidR="00897AF9" w:rsidRPr="00FE3B90" w:rsidRDefault="00897AF9" w:rsidP="00897AF9">
          <w:pPr>
            <w:rPr>
              <w:rFonts w:ascii="Arial" w:hAnsi="Arial" w:cs="Arial"/>
              <w:sz w:val="22"/>
              <w:szCs w:val="22"/>
            </w:rPr>
          </w:pPr>
        </w:p>
        <w:p w14:paraId="6FD8674C" w14:textId="77777777" w:rsidR="00897AF9" w:rsidRPr="00FE3B90" w:rsidRDefault="00897AF9" w:rsidP="00897AF9">
          <w:pPr>
            <w:rPr>
              <w:rFonts w:ascii="Arial" w:hAnsi="Arial" w:cs="Arial"/>
              <w:sz w:val="22"/>
              <w:szCs w:val="22"/>
            </w:rPr>
          </w:pPr>
        </w:p>
        <w:p w14:paraId="5BFFCBD0" w14:textId="77777777" w:rsidR="00897AF9" w:rsidRPr="00FE3B90" w:rsidRDefault="00897AF9" w:rsidP="00897AF9">
          <w:pPr>
            <w:rPr>
              <w:rFonts w:ascii="Arial" w:hAnsi="Arial" w:cs="Arial"/>
              <w:b/>
              <w:sz w:val="22"/>
              <w:szCs w:val="22"/>
            </w:rPr>
          </w:pPr>
          <w:r w:rsidRPr="00FE3B90">
            <w:rPr>
              <w:rFonts w:ascii="Arial" w:hAnsi="Arial" w:cs="Arial"/>
              <w:sz w:val="22"/>
              <w:szCs w:val="22"/>
            </w:rPr>
            <w:br w:type="page"/>
          </w:r>
        </w:p>
      </w:sdtContent>
    </w:sdt>
    <w:p w14:paraId="7F3AD87B" w14:textId="77777777" w:rsidR="00897AF9" w:rsidRPr="00FE3B90" w:rsidRDefault="00897AF9" w:rsidP="00897AF9">
      <w:pPr>
        <w:rPr>
          <w:rFonts w:ascii="Arial" w:hAnsi="Arial" w:cs="Arial"/>
          <w:b/>
          <w:sz w:val="22"/>
          <w:szCs w:val="22"/>
        </w:rPr>
      </w:pPr>
      <w:bookmarkStart w:id="2" w:name="_Toc215512911"/>
      <w:r w:rsidRPr="00FE3B90">
        <w:rPr>
          <w:rFonts w:ascii="Arial" w:hAnsi="Arial" w:cs="Arial"/>
          <w:b/>
          <w:sz w:val="22"/>
          <w:szCs w:val="22"/>
        </w:rPr>
        <w:lastRenderedPageBreak/>
        <w:t>Introduction</w:t>
      </w:r>
      <w:bookmarkEnd w:id="2"/>
    </w:p>
    <w:p w14:paraId="0F8FD26F" w14:textId="77777777" w:rsidR="00897AF9" w:rsidRPr="00FE3B90" w:rsidRDefault="00897AF9" w:rsidP="00897AF9">
      <w:pPr>
        <w:rPr>
          <w:rFonts w:ascii="Arial" w:hAnsi="Arial" w:cs="Arial"/>
          <w:sz w:val="22"/>
          <w:szCs w:val="22"/>
        </w:rPr>
      </w:pPr>
      <w:r w:rsidRPr="00FE3B90">
        <w:rPr>
          <w:rFonts w:ascii="Arial" w:hAnsi="Arial" w:cs="Arial"/>
          <w:sz w:val="22"/>
          <w:szCs w:val="22"/>
        </w:rPr>
        <w:t>This essay presents a case study that demonstrates the importance of communication, record-keeping, and teamwork in health and social care. The case patient, Mrs Mann, is a 72-year-old woman receiving care and support following a successful hip replacement surgery. Mrs Mann currently lives alone and speaks little English. For rehabilitation, she receives care and support from her local GP and depends on a community physiotherapist and other home care workers. This essay will critically examine three fundamental aspects of her care: the significance of communication, the imperative of precise administrative skills and record-keeping, and the necessity of collaborative efforts across professional boundaries. The discussion draws upon pertinent legislation and policy framework to illustrate how these principles support safe, timely, and high-quality person-centred care. In the end, the debate will show that bringing these key concepts together during care delivery is the only way to guarantee dignity, safety, and good health and social care outcomes.</w:t>
      </w:r>
    </w:p>
    <w:p w14:paraId="1B88A798" w14:textId="77777777" w:rsidR="00897AF9" w:rsidRPr="00FE3B90" w:rsidRDefault="00897AF9" w:rsidP="00897AF9">
      <w:pPr>
        <w:rPr>
          <w:rFonts w:ascii="Arial" w:hAnsi="Arial" w:cs="Arial"/>
          <w:b/>
          <w:sz w:val="22"/>
          <w:szCs w:val="22"/>
        </w:rPr>
      </w:pPr>
      <w:bookmarkStart w:id="3" w:name="_Toc215512912"/>
      <w:r w:rsidRPr="00FE3B90">
        <w:rPr>
          <w:rFonts w:ascii="Arial" w:hAnsi="Arial" w:cs="Arial"/>
          <w:b/>
          <w:sz w:val="22"/>
          <w:szCs w:val="22"/>
        </w:rPr>
        <w:t>Importance of effective communication within the context of Mrs Mann’s care</w:t>
      </w:r>
      <w:bookmarkEnd w:id="3"/>
    </w:p>
    <w:p w14:paraId="64923FB1" w14:textId="77777777" w:rsidR="00897AF9" w:rsidRPr="00FE3B90" w:rsidRDefault="00897AF9" w:rsidP="00897AF9">
      <w:pPr>
        <w:rPr>
          <w:rFonts w:ascii="Arial" w:hAnsi="Arial" w:cs="Arial"/>
          <w:sz w:val="22"/>
          <w:szCs w:val="22"/>
        </w:rPr>
      </w:pPr>
      <w:r w:rsidRPr="008A5386">
        <w:rPr>
          <w:rFonts w:ascii="Arial" w:hAnsi="Arial" w:cs="Arial"/>
          <w:sz w:val="22"/>
          <w:szCs w:val="22"/>
        </w:rPr>
        <w:t>Effective communication is vital in health and social care because it ensures the delivery of safe, timely, and person-centred care. It allows healthcare professionals to understand the individual needs of service users, build trust, reduce errors, and promote better health outcomes (</w:t>
      </w:r>
      <w:proofErr w:type="spellStart"/>
      <w:r w:rsidRPr="008A5386">
        <w:rPr>
          <w:rFonts w:ascii="Arial" w:hAnsi="Arial" w:cs="Arial"/>
          <w:sz w:val="22"/>
          <w:szCs w:val="22"/>
        </w:rPr>
        <w:t>Sharkiya</w:t>
      </w:r>
      <w:proofErr w:type="spellEnd"/>
      <w:r w:rsidRPr="008A5386">
        <w:rPr>
          <w:rFonts w:ascii="Arial" w:hAnsi="Arial" w:cs="Arial"/>
          <w:sz w:val="22"/>
          <w:szCs w:val="22"/>
        </w:rPr>
        <w:t>, 2023). For example, in Mrs Mann's case, the professionals' failure to communicate effectively led to a delay in changing her medication, potentially jeopardising her recovery. According to Howick et al. (2024), poor communication among healthcare professionals is consistently identified as a key factor in adverse events in healthcare. Therefore, care workers, the GP, and the physiotherapist all must receive the same clear and accurate information. The Equality Act 2010 strengthens this by requiring health services to ensure</w:t>
      </w:r>
      <w:r w:rsidRPr="00FE3B90">
        <w:rPr>
          <w:rFonts w:ascii="Arial" w:hAnsi="Arial" w:cs="Arial"/>
          <w:sz w:val="22"/>
          <w:szCs w:val="22"/>
        </w:rPr>
        <w:t xml:space="preserve"> equal access and prevent discrimination, including language barriers that might impede patients' understanding of their care (UK Government, 2010). For Mrs Mann, effective communication is crucial for both safety and fairness, ensuring she receives the same standard of care as any other patient.</w:t>
      </w:r>
    </w:p>
    <w:p w14:paraId="59A26275" w14:textId="77777777" w:rsidR="00897AF9" w:rsidRPr="00FE3B90" w:rsidRDefault="00897AF9" w:rsidP="00897AF9">
      <w:pPr>
        <w:rPr>
          <w:rFonts w:ascii="Arial" w:hAnsi="Arial" w:cs="Arial"/>
          <w:sz w:val="22"/>
          <w:szCs w:val="22"/>
        </w:rPr>
      </w:pPr>
      <w:r w:rsidRPr="00FE3B90">
        <w:rPr>
          <w:rFonts w:ascii="Arial" w:hAnsi="Arial" w:cs="Arial"/>
          <w:sz w:val="22"/>
          <w:szCs w:val="22"/>
        </w:rPr>
        <w:t>Language barriers are a big problem in health and social care, especially for people who do not speak English as their first language. Mrs Mann's limited English skills mean she needs her daughter to translate for her, which raises concerns about accuracy and privacy. To ensure patients fully understand their treatment, NHS England (2018) recommends using professional interpreters and communication strategies sensitive to different cultures. In this case, visual aids, translated materials, and simpler language can be used to help people with language barriers communicate more effectively. Studies indicate that culturally competent communication enhances patient satisfaction and treatment adherence (Parker et al., 2020). In this situation, caregivers need to adjust how they talk to Mrs Mann, so she feels respected and understood.</w:t>
      </w:r>
    </w:p>
    <w:p w14:paraId="45A817B1" w14:textId="77777777" w:rsidR="00897AF9" w:rsidRPr="00F9291F" w:rsidRDefault="00897AF9" w:rsidP="00897AF9">
      <w:pPr>
        <w:rPr>
          <w:rFonts w:ascii="Arial" w:hAnsi="Arial" w:cs="Arial"/>
          <w:sz w:val="22"/>
          <w:szCs w:val="22"/>
        </w:rPr>
      </w:pPr>
      <w:r w:rsidRPr="00FE3B90">
        <w:rPr>
          <w:rFonts w:ascii="Arial" w:hAnsi="Arial" w:cs="Arial"/>
          <w:sz w:val="22"/>
          <w:szCs w:val="22"/>
        </w:rPr>
        <w:t>Therefore, it is important to adopt communication models that give structured ways to talk to each other that can make the exchange of information during care delivery more transparent and less likely to be misunderstood. For example, the Shannon-Weaver Model views communication as a process that includes a sender, a message, a channel, a receiver, and feedback (Getchell et al., 2023; Shannon and Weaver, 1949). In Mrs Mann's case, care workers are the senders of information about her medications or physiotherapy exercises, while her daughter or interpreter is the channel, and Mrs Mann is the receiver. In this process, feedba</w:t>
      </w:r>
      <w:r w:rsidRPr="00FE3B90">
        <w:rPr>
          <w:rFonts w:ascii="Arial" w:hAnsi="Arial" w:cs="Arial"/>
          <w:i/>
          <w:iCs/>
          <w:sz w:val="22"/>
          <w:szCs w:val="22"/>
        </w:rPr>
        <w:t xml:space="preserve">ck is essential to ensuring people understand and follow directions correctly </w:t>
      </w:r>
      <w:r w:rsidRPr="00FE3B90">
        <w:rPr>
          <w:rFonts w:ascii="Arial" w:hAnsi="Arial" w:cs="Arial"/>
          <w:i/>
          <w:iCs/>
          <w:sz w:val="22"/>
          <w:szCs w:val="22"/>
        </w:rPr>
        <w:lastRenderedPageBreak/>
        <w:t>(</w:t>
      </w:r>
      <w:r w:rsidRPr="008A5386">
        <w:rPr>
          <w:rFonts w:ascii="Arial" w:hAnsi="Arial" w:cs="Arial"/>
          <w:i/>
          <w:iCs/>
          <w:sz w:val="22"/>
          <w:szCs w:val="22"/>
        </w:rPr>
        <w:t xml:space="preserve">Getchell et al., 2023). However, errors can happen without effective feedback loops, as </w:t>
      </w:r>
      <w:r w:rsidRPr="00F9291F">
        <w:rPr>
          <w:rFonts w:ascii="Arial" w:hAnsi="Arial" w:cs="Arial"/>
          <w:sz w:val="22"/>
          <w:szCs w:val="22"/>
        </w:rPr>
        <w:t>shown by the delayed change in medication. Healthcare professionals can identify communication problems and develop solutions using these kinds of models.</w:t>
      </w:r>
    </w:p>
    <w:p w14:paraId="5CA1BE6F" w14:textId="77777777" w:rsidR="00897AF9" w:rsidRPr="00F9291F" w:rsidRDefault="00897AF9" w:rsidP="00897AF9">
      <w:pPr>
        <w:rPr>
          <w:rFonts w:ascii="Arial" w:hAnsi="Arial" w:cs="Arial"/>
          <w:sz w:val="22"/>
          <w:szCs w:val="22"/>
        </w:rPr>
      </w:pPr>
      <w:r w:rsidRPr="00F9291F">
        <w:rPr>
          <w:rFonts w:ascii="Arial" w:hAnsi="Arial" w:cs="Arial"/>
          <w:sz w:val="22"/>
          <w:szCs w:val="22"/>
        </w:rPr>
        <w:t>In addition, listening actively and showing empathy can also help communication in health and social care (</w:t>
      </w:r>
      <w:proofErr w:type="spellStart"/>
      <w:r w:rsidRPr="00F9291F">
        <w:rPr>
          <w:rFonts w:ascii="Arial" w:hAnsi="Arial" w:cs="Arial"/>
          <w:sz w:val="22"/>
          <w:szCs w:val="22"/>
        </w:rPr>
        <w:t>Moudatsou</w:t>
      </w:r>
      <w:proofErr w:type="spellEnd"/>
      <w:r w:rsidRPr="00F9291F">
        <w:rPr>
          <w:rFonts w:ascii="Arial" w:hAnsi="Arial" w:cs="Arial"/>
          <w:sz w:val="22"/>
          <w:szCs w:val="22"/>
        </w:rPr>
        <w:t xml:space="preserve"> et al., 2020). For example, Egan's SOLER model provides an appropriate framework for demonstrating active listening skills and showing empathy during interaction with service users. The model shows practitioners how to sit squarely, keep an open posture, lean forward, keep eye contact, and relax when you are not speaking (Egan, 2018). Mrs Mann's spoken English is not very good, so nonverbal cues, such as attentive body language and reassuring gestures, can help her feel understood and build trust. Research indicates that patients who perceive themselves as being heard are more inclined to interact positively with their care (</w:t>
      </w:r>
      <w:proofErr w:type="spellStart"/>
      <w:r w:rsidRPr="00F9291F">
        <w:rPr>
          <w:rFonts w:ascii="Arial" w:hAnsi="Arial" w:cs="Arial"/>
          <w:sz w:val="22"/>
          <w:szCs w:val="22"/>
        </w:rPr>
        <w:t>Sharkiya</w:t>
      </w:r>
      <w:proofErr w:type="spellEnd"/>
      <w:r w:rsidRPr="00F9291F">
        <w:rPr>
          <w:rFonts w:ascii="Arial" w:hAnsi="Arial" w:cs="Arial"/>
          <w:sz w:val="22"/>
          <w:szCs w:val="22"/>
        </w:rPr>
        <w:t>, 2023). By using structured communication models and empathetic listening, care workers can ensure that Mrs Mann's needs are met in ways that reduce risks and speed up recovery.</w:t>
      </w:r>
    </w:p>
    <w:p w14:paraId="4413A00F" w14:textId="77777777" w:rsidR="00897AF9" w:rsidRPr="00F9291F" w:rsidRDefault="00897AF9" w:rsidP="00897AF9">
      <w:pPr>
        <w:rPr>
          <w:rFonts w:ascii="Arial" w:hAnsi="Arial" w:cs="Arial"/>
          <w:sz w:val="22"/>
          <w:szCs w:val="22"/>
        </w:rPr>
      </w:pPr>
      <w:bookmarkStart w:id="4" w:name="_Toc215512913"/>
      <w:r w:rsidRPr="00F9291F">
        <w:rPr>
          <w:rFonts w:ascii="Arial" w:hAnsi="Arial" w:cs="Arial"/>
          <w:sz w:val="22"/>
          <w:szCs w:val="22"/>
        </w:rPr>
        <w:t>Key role of record keeping and applying the principles of the Data Protection Act 2018 within the context of Mrs Mann’s care</w:t>
      </w:r>
      <w:bookmarkEnd w:id="4"/>
    </w:p>
    <w:p w14:paraId="7F53CC39" w14:textId="08B702A4" w:rsidR="00897AF9" w:rsidRPr="00F9291F" w:rsidRDefault="00897AF9" w:rsidP="00897AF9">
      <w:pPr>
        <w:rPr>
          <w:rFonts w:ascii="Arial" w:hAnsi="Arial" w:cs="Arial"/>
          <w:sz w:val="22"/>
          <w:szCs w:val="22"/>
        </w:rPr>
      </w:pPr>
      <w:r w:rsidRPr="00F9291F">
        <w:rPr>
          <w:rFonts w:ascii="Arial" w:hAnsi="Arial" w:cs="Arial"/>
          <w:sz w:val="22"/>
          <w:szCs w:val="22"/>
        </w:rPr>
        <w:t xml:space="preserve">Maintaining accurate records is essential for upholding high standards and ensuring patient safety in health and social care (NHS England, 2025). In Mrs Mann's case, inconsistent paperwork delayed a change in her medication, highlighting the risks of poor administrative practices. </w:t>
      </w:r>
      <w:proofErr w:type="spellStart"/>
      <w:r w:rsidRPr="00F9291F">
        <w:rPr>
          <w:rFonts w:ascii="Arial" w:hAnsi="Arial" w:cs="Arial"/>
          <w:sz w:val="22"/>
          <w:szCs w:val="22"/>
        </w:rPr>
        <w:t>Demsash</w:t>
      </w:r>
      <w:proofErr w:type="spellEnd"/>
      <w:r w:rsidRPr="00F9291F">
        <w:rPr>
          <w:rFonts w:ascii="Arial" w:hAnsi="Arial" w:cs="Arial"/>
          <w:sz w:val="22"/>
          <w:szCs w:val="22"/>
        </w:rPr>
        <w:t xml:space="preserve"> et al. (2023) reiterated that accurate record-keeping reflects professionalism and pride, reinforcing the need to protect patient safety and deliver quality care. In this process, healthcare practitioners are required to adhere to laws and rules for keeping records safely and legally. For example, the Data Protection Act 2018 states that personal information must be handled in a lawful, fair, and secure way to protect patients' privacy (ICO, 2018). In health and social care, this means that Mrs Mann's records must be accurate, kept safe, and shared only with professionals who have permission to view them. The Caldicott Principles emphasise the necessity of safeguarding patient information, asserting that identifiable data must be utilised solely when essential and accompanied by suitable protections (Department of Health, 2013). These frameworks help professionals feel confident that their record-keeping practices are lawful and ethical, reinforcing trust in their work.</w:t>
      </w:r>
    </w:p>
    <w:p w14:paraId="4CCE9753" w14:textId="23EA510D" w:rsidR="00897AF9" w:rsidRPr="00F9291F" w:rsidRDefault="00897AF9" w:rsidP="00897AF9">
      <w:pPr>
        <w:rPr>
          <w:rFonts w:ascii="Arial" w:hAnsi="Arial" w:cs="Arial"/>
          <w:sz w:val="22"/>
          <w:szCs w:val="22"/>
        </w:rPr>
      </w:pPr>
      <w:r w:rsidRPr="00F9291F">
        <w:rPr>
          <w:rFonts w:ascii="Arial" w:hAnsi="Arial" w:cs="Arial"/>
          <w:sz w:val="22"/>
          <w:szCs w:val="22"/>
        </w:rPr>
        <w:t xml:space="preserve">Therefore, training staff and conducting regular audits are essential to ensuring the best practice of maintaining accurate and secure patient records in healthcare settings (NHS England, 2025; NMC, 2018). Training ensures that care workers understand the importance of keeping records and can use systems correctly. Auditing keeps an eye on things and finds gaps or inconsistencies that could put patient safety at risk (NHS England, 2025). In this in Mrs Mann's case sooner, which would have stopped the delay in changing her medication. The RCN (2023) says that keeping records is not just a bureaucratic task; it is an important part of being a professional. Health and social care providers can ensure that administrative skills support safe, person-centred care by integrating training and auditing into the organisation's </w:t>
      </w:r>
      <w:r w:rsidR="00F9291F" w:rsidRPr="00F9291F">
        <w:rPr>
          <w:rFonts w:ascii="Arial" w:hAnsi="Arial" w:cs="Arial"/>
          <w:sz w:val="22"/>
          <w:szCs w:val="22"/>
        </w:rPr>
        <w:t xml:space="preserve">case, conducting regular audits may have led to the discovery of the inconsistent paperwork </w:t>
      </w:r>
      <w:r w:rsidRPr="00F9291F">
        <w:rPr>
          <w:rFonts w:ascii="Arial" w:hAnsi="Arial" w:cs="Arial"/>
          <w:sz w:val="22"/>
          <w:szCs w:val="22"/>
        </w:rPr>
        <w:t>culture.</w:t>
      </w:r>
    </w:p>
    <w:p w14:paraId="2C90254B" w14:textId="77777777" w:rsidR="00897AF9" w:rsidRPr="00F9291F" w:rsidRDefault="00897AF9" w:rsidP="00897AF9">
      <w:pPr>
        <w:rPr>
          <w:rFonts w:ascii="Arial" w:hAnsi="Arial" w:cs="Arial"/>
          <w:sz w:val="22"/>
          <w:szCs w:val="22"/>
        </w:rPr>
      </w:pPr>
      <w:bookmarkStart w:id="5" w:name="_Toc215512914"/>
      <w:r w:rsidRPr="00F9291F">
        <w:rPr>
          <w:rFonts w:ascii="Arial" w:hAnsi="Arial" w:cs="Arial"/>
          <w:sz w:val="22"/>
          <w:szCs w:val="22"/>
        </w:rPr>
        <w:t>Importance of working collaboratively with other professionals involved in Mrs Mann’s care</w:t>
      </w:r>
      <w:bookmarkEnd w:id="5"/>
    </w:p>
    <w:p w14:paraId="30F3756E" w14:textId="77777777" w:rsidR="00897AF9" w:rsidRPr="00F9291F" w:rsidRDefault="00897AF9" w:rsidP="00897AF9">
      <w:pPr>
        <w:rPr>
          <w:rFonts w:ascii="Arial" w:hAnsi="Arial" w:cs="Arial"/>
          <w:sz w:val="22"/>
          <w:szCs w:val="22"/>
        </w:rPr>
      </w:pPr>
      <w:r w:rsidRPr="00F9291F">
        <w:rPr>
          <w:rFonts w:ascii="Arial" w:hAnsi="Arial" w:cs="Arial"/>
          <w:sz w:val="22"/>
          <w:szCs w:val="22"/>
        </w:rPr>
        <w:lastRenderedPageBreak/>
        <w:t>For holistic care to work, professionals need to work together with each practitioner demonstrating their area of expertise and skills (Geese and Schmitt, 2023). Mrs Mann's recovery depends on the collaborative work of her GP, physiotherapist, and care workers to ensure all her care needs are addressed. Every professional brings their own set of skills, but if they do not work together, care can become disjointed (NMC, 2018). Barr et al. (2024) assert that collaborative practice is fundamental to contemporary health and social care, facilitating the integration of skills and resources to address intricate needs. In Mrs Mann's case, working together ensures that her rehabilitation, medication management, and personal care are in sync, helping her get better and stay independent. This requires the adoption of structured communication methods to reinforce professionalism and shared purpose, supporting effective collaboration (NMC, 2018).</w:t>
      </w:r>
    </w:p>
    <w:p w14:paraId="06ECC5DF" w14:textId="77777777" w:rsidR="00897AF9" w:rsidRPr="00F9291F" w:rsidRDefault="00897AF9" w:rsidP="00897AF9">
      <w:pPr>
        <w:rPr>
          <w:rFonts w:ascii="Arial" w:hAnsi="Arial" w:cs="Arial"/>
          <w:sz w:val="22"/>
          <w:szCs w:val="22"/>
        </w:rPr>
      </w:pPr>
      <w:bookmarkStart w:id="6" w:name="_Toc215512915"/>
      <w:r w:rsidRPr="00F9291F">
        <w:rPr>
          <w:rFonts w:ascii="Arial" w:hAnsi="Arial" w:cs="Arial"/>
          <w:sz w:val="22"/>
          <w:szCs w:val="22"/>
        </w:rPr>
        <w:t>Strategies for addressing and overcoming common challenges</w:t>
      </w:r>
      <w:bookmarkEnd w:id="6"/>
    </w:p>
    <w:p w14:paraId="446FA55F" w14:textId="4E368704" w:rsidR="0083161E" w:rsidRPr="00F9291F" w:rsidRDefault="00897AF9" w:rsidP="0083161E">
      <w:pPr>
        <w:rPr>
          <w:rFonts w:ascii="Arial" w:hAnsi="Arial" w:cs="Arial"/>
          <w:sz w:val="22"/>
          <w:szCs w:val="22"/>
        </w:rPr>
      </w:pPr>
      <w:r w:rsidRPr="00F9291F">
        <w:rPr>
          <w:rFonts w:ascii="Arial" w:hAnsi="Arial" w:cs="Arial"/>
          <w:sz w:val="22"/>
          <w:szCs w:val="22"/>
        </w:rPr>
        <w:t>While collaboration is crucial, it faces challenges like miscommunication, unclear role boundaries, and differing priorities. Rosen et al. (2018) note that organisational cultures and expectations can hinder effective teamwork. For instance, poor communication between the GP and care workers delayed a medication change for Mrs Mann</w:t>
      </w:r>
      <w:r w:rsidR="0083161E">
        <w:rPr>
          <w:rFonts w:ascii="Arial" w:hAnsi="Arial" w:cs="Arial"/>
          <w:sz w:val="22"/>
          <w:szCs w:val="22"/>
        </w:rPr>
        <w:t>.</w:t>
      </w:r>
    </w:p>
    <w:p w14:paraId="0A28118B" w14:textId="529608C3" w:rsidR="00897AF9" w:rsidRPr="00F9291F" w:rsidRDefault="0083161E" w:rsidP="00897AF9">
      <w:pPr>
        <w:rPr>
          <w:rFonts w:ascii="Arial" w:hAnsi="Arial" w:cs="Arial"/>
          <w:sz w:val="22"/>
          <w:szCs w:val="22"/>
        </w:rPr>
      </w:pPr>
      <w:r>
        <w:rPr>
          <w:rFonts w:ascii="Arial" w:hAnsi="Arial" w:cs="Arial"/>
          <w:sz w:val="22"/>
          <w:szCs w:val="22"/>
        </w:rPr>
        <w:t>S</w:t>
      </w:r>
      <w:r w:rsidR="00897AF9" w:rsidRPr="00F9291F">
        <w:rPr>
          <w:rFonts w:ascii="Arial" w:hAnsi="Arial" w:cs="Arial"/>
          <w:sz w:val="22"/>
          <w:szCs w:val="22"/>
        </w:rPr>
        <w:t>tructured ways of talking and working together are needed for effective collaboration. Multidisciplinary team meetings, shared care plans, and integrated digital records are all ways to encourage teamwork (NHS England, 2019). These methods ensure that everyone who works with Mrs Mann knows how she is doing and can adjust her care plans as needed. For instance, care workers need to know what the physiotherapist said about mobility exercises so that they can all do them the same way. Clear communication helps professionals feel capable and responsible for seamless teamwork, especially within Integrated Care Systems (ICS) that bring together health and social care sectors.</w:t>
      </w:r>
    </w:p>
    <w:p w14:paraId="3E35C7C7" w14:textId="77777777" w:rsidR="00897AF9" w:rsidRPr="00F9291F" w:rsidRDefault="00897AF9" w:rsidP="00897AF9">
      <w:pPr>
        <w:rPr>
          <w:rFonts w:ascii="Arial" w:hAnsi="Arial" w:cs="Arial"/>
          <w:sz w:val="22"/>
          <w:szCs w:val="22"/>
        </w:rPr>
      </w:pPr>
      <w:bookmarkStart w:id="7" w:name="_Toc215512916"/>
      <w:r w:rsidRPr="00F9291F">
        <w:rPr>
          <w:rFonts w:ascii="Arial" w:hAnsi="Arial" w:cs="Arial"/>
          <w:sz w:val="22"/>
          <w:szCs w:val="22"/>
        </w:rPr>
        <w:t>Conclusion</w:t>
      </w:r>
      <w:bookmarkEnd w:id="7"/>
    </w:p>
    <w:p w14:paraId="303E05AB" w14:textId="77777777" w:rsidR="00897AF9" w:rsidRPr="00F9291F" w:rsidRDefault="00897AF9" w:rsidP="00897AF9">
      <w:pPr>
        <w:rPr>
          <w:rFonts w:ascii="Arial" w:hAnsi="Arial" w:cs="Arial"/>
          <w:sz w:val="22"/>
          <w:szCs w:val="22"/>
        </w:rPr>
      </w:pPr>
      <w:r w:rsidRPr="00F9291F">
        <w:rPr>
          <w:rFonts w:ascii="Arial" w:hAnsi="Arial" w:cs="Arial"/>
          <w:sz w:val="22"/>
          <w:szCs w:val="22"/>
        </w:rPr>
        <w:t>In conclusion, Mrs Mann's case demonstrates the critical roles of communication, record-keeping, and collaboration in health and social care. The Equality Act 2010 and models such as Shannon-Weaver and SOLER support effective communication, helping patients understand and participate in their care. Accurate record keeping, safeguarded by the Data Protection Act 2018 and the Caldicott Principles, ensures privacy and continuity. Frameworks like Integrated Care Systems facilitate teamwork among professionals to deliver comprehensive, person-centred care, even amid challenges. These components work together to promote safe practice, ensuring patients like Mrs Mann receive respectful and helpful support. Recognising the complexity of service users' needs, these areas must continue to improve to sustain trust and quality in care.</w:t>
      </w:r>
    </w:p>
    <w:p w14:paraId="566C4BEF" w14:textId="77777777" w:rsidR="00897AF9" w:rsidRPr="00F9291F" w:rsidRDefault="00897AF9" w:rsidP="007B5767">
      <w:pPr>
        <w:spacing w:after="360"/>
        <w:rPr>
          <w:rFonts w:ascii="Arial" w:hAnsi="Arial" w:cs="Arial"/>
          <w:sz w:val="22"/>
          <w:szCs w:val="22"/>
        </w:rPr>
      </w:pPr>
      <w:r w:rsidRPr="00F9291F">
        <w:rPr>
          <w:rFonts w:ascii="Arial" w:hAnsi="Arial" w:cs="Arial"/>
          <w:sz w:val="22"/>
          <w:szCs w:val="22"/>
        </w:rPr>
        <w:br w:type="page"/>
      </w:r>
    </w:p>
    <w:p w14:paraId="13A9EF5C" w14:textId="77777777" w:rsidR="00897AF9" w:rsidRPr="00897AF9" w:rsidRDefault="00897AF9" w:rsidP="00897AF9">
      <w:pPr>
        <w:rPr>
          <w:b/>
        </w:rPr>
      </w:pPr>
      <w:bookmarkStart w:id="8" w:name="_Toc215512917"/>
      <w:r w:rsidRPr="00897AF9">
        <w:rPr>
          <w:b/>
        </w:rPr>
        <w:lastRenderedPageBreak/>
        <w:t>References</w:t>
      </w:r>
      <w:bookmarkEnd w:id="8"/>
    </w:p>
    <w:p w14:paraId="79506699" w14:textId="77777777" w:rsidR="00897AF9" w:rsidRPr="00897AF9" w:rsidRDefault="00897AF9" w:rsidP="00897AF9">
      <w:r w:rsidRPr="00897AF9">
        <w:t>Barr, H., Anderson, E. S. and Hutchings, M. (2024) ‘Interprofessional learning to integrate care: organic strategic and systemic responses for change’, </w:t>
      </w:r>
      <w:r w:rsidRPr="00897AF9">
        <w:rPr>
          <w:i/>
          <w:iCs/>
        </w:rPr>
        <w:t>Journal of Interprofessional Care</w:t>
      </w:r>
      <w:r w:rsidRPr="00897AF9">
        <w:t>, 38(6), pp. 985–996.</w:t>
      </w:r>
    </w:p>
    <w:p w14:paraId="1C7CF50B" w14:textId="77777777" w:rsidR="00897AF9" w:rsidRPr="00897AF9" w:rsidRDefault="00897AF9" w:rsidP="00897AF9">
      <w:r w:rsidRPr="00897AF9">
        <w:t xml:space="preserve">Care Quality Commission [CQC] (2025) </w:t>
      </w:r>
      <w:r w:rsidRPr="00897AF9">
        <w:rPr>
          <w:i/>
          <w:iCs/>
        </w:rPr>
        <w:t>Regulations for service providers and managers</w:t>
      </w:r>
      <w:r w:rsidRPr="00897AF9">
        <w:t xml:space="preserve">. Available at: </w:t>
      </w:r>
      <w:hyperlink r:id="rId14" w:history="1">
        <w:r w:rsidRPr="00897AF9">
          <w:rPr>
            <w:rStyle w:val="Hyperlink"/>
          </w:rPr>
          <w:t>https://www.cqc.org.uk/guidance-regulation/providers/regulations-service-providers-and-managers/health-social-care-act/regulation-17</w:t>
        </w:r>
      </w:hyperlink>
      <w:r w:rsidRPr="00897AF9">
        <w:t xml:space="preserve"> (Accessed 21 November 2025).</w:t>
      </w:r>
    </w:p>
    <w:p w14:paraId="00D16B69" w14:textId="77777777" w:rsidR="00897AF9" w:rsidRPr="00897AF9" w:rsidRDefault="00897AF9" w:rsidP="00897AF9">
      <w:pPr>
        <w:rPr>
          <w:lang w:val="en-US"/>
        </w:rPr>
      </w:pPr>
      <w:proofErr w:type="spellStart"/>
      <w:r w:rsidRPr="00897AF9">
        <w:rPr>
          <w:lang w:val="en-US"/>
        </w:rPr>
        <w:t>Demsash</w:t>
      </w:r>
      <w:proofErr w:type="spellEnd"/>
      <w:r w:rsidRPr="00897AF9">
        <w:rPr>
          <w:lang w:val="en-US"/>
        </w:rPr>
        <w:t xml:space="preserve">, A. W., Kassie, S. Y., </w:t>
      </w:r>
      <w:proofErr w:type="spellStart"/>
      <w:r w:rsidRPr="00897AF9">
        <w:rPr>
          <w:lang w:val="en-US"/>
        </w:rPr>
        <w:t>Dubale</w:t>
      </w:r>
      <w:proofErr w:type="spellEnd"/>
      <w:r w:rsidRPr="00897AF9">
        <w:rPr>
          <w:lang w:val="en-US"/>
        </w:rPr>
        <w:t xml:space="preserve">, A. T., Chereka, A. A., </w:t>
      </w:r>
      <w:proofErr w:type="spellStart"/>
      <w:r w:rsidRPr="00897AF9">
        <w:rPr>
          <w:lang w:val="en-US"/>
        </w:rPr>
        <w:t>Ngusie</w:t>
      </w:r>
      <w:proofErr w:type="spellEnd"/>
      <w:r w:rsidRPr="00897AF9">
        <w:rPr>
          <w:lang w:val="en-US"/>
        </w:rPr>
        <w:t xml:space="preserve">, H. S., Hunde, M. K., Emanu, M. D., Shibabaw, A. A. and Walle, A. D. (2023) ‘Health professionals’ routine practice documentation and its associated factors in a resource-limited setting: A cross-sectional study’, </w:t>
      </w:r>
      <w:r w:rsidRPr="00897AF9">
        <w:rPr>
          <w:i/>
          <w:iCs/>
          <w:lang w:val="en-US"/>
        </w:rPr>
        <w:t>BMJ Health &amp; Care Informatics</w:t>
      </w:r>
      <w:r w:rsidRPr="00897AF9">
        <w:rPr>
          <w:lang w:val="en-US"/>
        </w:rPr>
        <w:t>, 30(1), e100699.</w:t>
      </w:r>
    </w:p>
    <w:p w14:paraId="7D124866" w14:textId="77777777" w:rsidR="00897AF9" w:rsidRPr="00897AF9" w:rsidRDefault="00897AF9" w:rsidP="00897AF9">
      <w:r w:rsidRPr="00897AF9">
        <w:t xml:space="preserve">Department of Health (2013) </w:t>
      </w:r>
      <w:r w:rsidRPr="00897AF9">
        <w:rPr>
          <w:i/>
          <w:iCs/>
        </w:rPr>
        <w:t>Information: To Share or Not to Share? The Information Governance Review</w:t>
      </w:r>
      <w:r w:rsidRPr="00897AF9">
        <w:t xml:space="preserve">. London: Department of Health. Available at: </w:t>
      </w:r>
      <w:hyperlink r:id="rId15" w:history="1">
        <w:r w:rsidRPr="00897AF9">
          <w:rPr>
            <w:rStyle w:val="Hyperlink"/>
          </w:rPr>
          <w:t>https://assets.publishing.service.gov.uk/media/5a7c4716e5274a2041cf2ebb/9731-2901141-TSO-Caldicott-Government_Response_ACCESSIBLE.PDF</w:t>
        </w:r>
      </w:hyperlink>
      <w:r w:rsidRPr="00897AF9">
        <w:t xml:space="preserve"> (Accessed 23 November 2025).</w:t>
      </w:r>
    </w:p>
    <w:p w14:paraId="4170662B" w14:textId="77777777" w:rsidR="00897AF9" w:rsidRPr="00897AF9" w:rsidRDefault="00897AF9" w:rsidP="00897AF9">
      <w:pPr>
        <w:rPr>
          <w:lang w:val="en-US"/>
        </w:rPr>
      </w:pPr>
      <w:r w:rsidRPr="00897AF9">
        <w:t xml:space="preserve">Egan, G. (2018) </w:t>
      </w:r>
      <w:r w:rsidRPr="00897AF9">
        <w:rPr>
          <w:i/>
          <w:iCs/>
        </w:rPr>
        <w:t>The Skilled Helper: A Problem-Management and Opportunity-Development Approach to Helping</w:t>
      </w:r>
      <w:r w:rsidRPr="00897AF9">
        <w:t xml:space="preserve"> (11th </w:t>
      </w:r>
      <w:proofErr w:type="spellStart"/>
      <w:r w:rsidRPr="00897AF9">
        <w:t>edn</w:t>
      </w:r>
      <w:proofErr w:type="spellEnd"/>
      <w:r w:rsidRPr="00897AF9">
        <w:t>). CENGAGE Learning Custom Publishing.</w:t>
      </w:r>
    </w:p>
    <w:p w14:paraId="100C6168" w14:textId="77777777" w:rsidR="00897AF9" w:rsidRPr="00897AF9" w:rsidRDefault="00897AF9" w:rsidP="00897AF9">
      <w:r w:rsidRPr="00897AF9">
        <w:t xml:space="preserve">Equality Act 2010. (2010) </w:t>
      </w:r>
      <w:r w:rsidRPr="00897AF9">
        <w:rPr>
          <w:i/>
          <w:iCs/>
        </w:rPr>
        <w:t>Equality Act 2010</w:t>
      </w:r>
      <w:r w:rsidRPr="00897AF9">
        <w:t>. London: The Stationery Office.</w:t>
      </w:r>
    </w:p>
    <w:p w14:paraId="460187D5" w14:textId="77777777" w:rsidR="00897AF9" w:rsidRPr="00897AF9" w:rsidRDefault="00897AF9" w:rsidP="00897AF9">
      <w:pPr>
        <w:rPr>
          <w:lang w:val="en-US"/>
        </w:rPr>
      </w:pPr>
      <w:r w:rsidRPr="00897AF9">
        <w:rPr>
          <w:lang w:val="en-US"/>
        </w:rPr>
        <w:t>Geese, F. and Schmitt, U. (</w:t>
      </w:r>
      <w:proofErr w:type="gramStart"/>
      <w:r w:rsidRPr="00897AF9">
        <w:rPr>
          <w:lang w:val="en-US"/>
        </w:rPr>
        <w:t>2023) ‘</w:t>
      </w:r>
      <w:proofErr w:type="gramEnd"/>
      <w:r w:rsidRPr="00897AF9">
        <w:rPr>
          <w:lang w:val="en-US"/>
        </w:rPr>
        <w:t xml:space="preserve">Interprofessional Collaboration in Complex Patient Care Transition: A Qualitative Multi-Perspective Analysis’, </w:t>
      </w:r>
      <w:r w:rsidRPr="00897AF9">
        <w:rPr>
          <w:i/>
          <w:iCs/>
          <w:lang w:val="en-US"/>
        </w:rPr>
        <w:t>Healthcare</w:t>
      </w:r>
      <w:r w:rsidRPr="00897AF9">
        <w:rPr>
          <w:lang w:val="en-US"/>
        </w:rPr>
        <w:t>, 11(3), p. 359.</w:t>
      </w:r>
    </w:p>
    <w:p w14:paraId="43C4C0EF" w14:textId="77777777" w:rsidR="00897AF9" w:rsidRPr="00897AF9" w:rsidRDefault="00897AF9" w:rsidP="00897AF9">
      <w:pPr>
        <w:rPr>
          <w:lang w:val="en-US"/>
        </w:rPr>
      </w:pPr>
      <w:r w:rsidRPr="00897AF9">
        <w:rPr>
          <w:lang w:val="en-US"/>
        </w:rPr>
        <w:t>Getchell, K., Dubinsky, J. and Lentz, P. (</w:t>
      </w:r>
      <w:proofErr w:type="gramStart"/>
      <w:r w:rsidRPr="00897AF9">
        <w:rPr>
          <w:lang w:val="en-US"/>
        </w:rPr>
        <w:t>2023) ‘</w:t>
      </w:r>
      <w:proofErr w:type="gramEnd"/>
      <w:r w:rsidRPr="00897AF9">
        <w:rPr>
          <w:lang w:val="en-US"/>
        </w:rPr>
        <w:t xml:space="preserve">A Critique of Transmission Communication Models in Introductory Management and </w:t>
      </w:r>
      <w:proofErr w:type="spellStart"/>
      <w:r w:rsidRPr="00897AF9">
        <w:rPr>
          <w:lang w:val="en-US"/>
        </w:rPr>
        <w:t>Organisational</w:t>
      </w:r>
      <w:proofErr w:type="spellEnd"/>
      <w:r w:rsidRPr="00897AF9">
        <w:rPr>
          <w:lang w:val="en-US"/>
        </w:rPr>
        <w:t xml:space="preserve"> </w:t>
      </w:r>
      <w:proofErr w:type="spellStart"/>
      <w:r w:rsidRPr="00897AF9">
        <w:rPr>
          <w:lang w:val="en-US"/>
        </w:rPr>
        <w:t>Behaviour</w:t>
      </w:r>
      <w:proofErr w:type="spellEnd"/>
      <w:r w:rsidRPr="00897AF9">
        <w:rPr>
          <w:lang w:val="en-US"/>
        </w:rPr>
        <w:t xml:space="preserve"> Textbooks’, </w:t>
      </w:r>
      <w:r w:rsidRPr="00897AF9">
        <w:rPr>
          <w:i/>
          <w:iCs/>
          <w:lang w:val="en-US"/>
        </w:rPr>
        <w:t>Journal of Management Education</w:t>
      </w:r>
      <w:r w:rsidRPr="00897AF9">
        <w:rPr>
          <w:lang w:val="en-US"/>
        </w:rPr>
        <w:t>, 47(5), pp. 477-504.</w:t>
      </w:r>
    </w:p>
    <w:p w14:paraId="6E2A6065" w14:textId="77777777" w:rsidR="00897AF9" w:rsidRPr="00897AF9" w:rsidRDefault="00897AF9" w:rsidP="00897AF9">
      <w:r w:rsidRPr="00897AF9">
        <w:t xml:space="preserve">Gov.UK (2018) </w:t>
      </w:r>
      <w:r w:rsidRPr="00897AF9">
        <w:rPr>
          <w:i/>
          <w:iCs/>
        </w:rPr>
        <w:t>Data Protection Act 2018</w:t>
      </w:r>
      <w:r w:rsidRPr="00897AF9">
        <w:t xml:space="preserve">. Available at: </w:t>
      </w:r>
      <w:hyperlink r:id="rId16" w:history="1">
        <w:r w:rsidRPr="00897AF9">
          <w:rPr>
            <w:rStyle w:val="Hyperlink"/>
          </w:rPr>
          <w:t>https://www.legislation.gov.uk/ukpga/2018/12</w:t>
        </w:r>
      </w:hyperlink>
      <w:r w:rsidRPr="00897AF9">
        <w:t xml:space="preserve"> (Accessed 23 November 2025).</w:t>
      </w:r>
    </w:p>
    <w:p w14:paraId="6AC0FF25" w14:textId="77777777" w:rsidR="00897AF9" w:rsidRPr="00897AF9" w:rsidRDefault="00897AF9" w:rsidP="00897AF9">
      <w:pPr>
        <w:rPr>
          <w:lang w:val="en-US"/>
        </w:rPr>
      </w:pPr>
      <w:r w:rsidRPr="00897AF9">
        <w:rPr>
          <w:lang w:val="en-US"/>
        </w:rPr>
        <w:t xml:space="preserve">Howick, J., Bennett-Weston, A., Solomon, J., Nockels, K., Bostock, J., &amp; </w:t>
      </w:r>
      <w:proofErr w:type="spellStart"/>
      <w:r w:rsidRPr="00897AF9">
        <w:rPr>
          <w:lang w:val="en-US"/>
        </w:rPr>
        <w:t>Keshtkar</w:t>
      </w:r>
      <w:proofErr w:type="spellEnd"/>
      <w:r w:rsidRPr="00897AF9">
        <w:rPr>
          <w:lang w:val="en-US"/>
        </w:rPr>
        <w:t xml:space="preserve">, L. (2024). How does communication affect patient safety? Protocol for a systematic review and logic model. </w:t>
      </w:r>
      <w:r w:rsidRPr="00897AF9">
        <w:rPr>
          <w:i/>
          <w:iCs/>
          <w:lang w:val="en-US"/>
        </w:rPr>
        <w:t>BMJ Open</w:t>
      </w:r>
      <w:r w:rsidRPr="00897AF9">
        <w:rPr>
          <w:lang w:val="en-US"/>
        </w:rPr>
        <w:t xml:space="preserve">, </w:t>
      </w:r>
      <w:r w:rsidRPr="00897AF9">
        <w:rPr>
          <w:i/>
          <w:iCs/>
          <w:lang w:val="en-US"/>
        </w:rPr>
        <w:t>14</w:t>
      </w:r>
      <w:r w:rsidRPr="00897AF9">
        <w:rPr>
          <w:lang w:val="en-US"/>
        </w:rPr>
        <w:t>(5), e085312. https://doi.org/10.1136/bmjopen-2024-085312</w:t>
      </w:r>
    </w:p>
    <w:p w14:paraId="09092368" w14:textId="77777777" w:rsidR="00897AF9" w:rsidRPr="00897AF9" w:rsidRDefault="00897AF9" w:rsidP="00897AF9">
      <w:r w:rsidRPr="00897AF9">
        <w:t xml:space="preserve">Information Commissioner’s Office (ICO) (2018) </w:t>
      </w:r>
      <w:r w:rsidRPr="00897AF9">
        <w:rPr>
          <w:i/>
          <w:iCs/>
        </w:rPr>
        <w:t>Guide to the Data Protection Act 2018</w:t>
      </w:r>
      <w:r w:rsidRPr="00897AF9">
        <w:t>. Wilmslow: ICO.</w:t>
      </w:r>
    </w:p>
    <w:p w14:paraId="3EA01503" w14:textId="77777777" w:rsidR="00897AF9" w:rsidRPr="00897AF9" w:rsidRDefault="00897AF9" w:rsidP="00897AF9">
      <w:bookmarkStart w:id="9" w:name="_Hlk215413606"/>
      <w:proofErr w:type="spellStart"/>
      <w:r w:rsidRPr="00897AF9">
        <w:t>Kaihlanen</w:t>
      </w:r>
      <w:proofErr w:type="spellEnd"/>
      <w:r w:rsidRPr="00897AF9">
        <w:t>,</w:t>
      </w:r>
      <w:bookmarkEnd w:id="9"/>
      <w:r w:rsidRPr="00897AF9">
        <w:t xml:space="preserve"> AM., </w:t>
      </w:r>
      <w:proofErr w:type="spellStart"/>
      <w:r w:rsidRPr="00897AF9">
        <w:t>Laukka</w:t>
      </w:r>
      <w:proofErr w:type="spellEnd"/>
      <w:r w:rsidRPr="00897AF9">
        <w:t xml:space="preserve">, E., Nadav, J., </w:t>
      </w:r>
      <w:proofErr w:type="spellStart"/>
      <w:r w:rsidRPr="00897AF9">
        <w:t>Närvänen</w:t>
      </w:r>
      <w:proofErr w:type="spellEnd"/>
      <w:r w:rsidRPr="00897AF9">
        <w:t xml:space="preserve">, J., Saukkonen, P., Koivisto, J. and </w:t>
      </w:r>
      <w:proofErr w:type="spellStart"/>
      <w:r w:rsidRPr="00897AF9">
        <w:t>Heponiemi</w:t>
      </w:r>
      <w:proofErr w:type="spellEnd"/>
      <w:r w:rsidRPr="00897AF9">
        <w:t xml:space="preserve">, T. (2023) ‘The effects of digitalisation on health and social care work: a </w:t>
      </w:r>
      <w:r w:rsidRPr="00897AF9">
        <w:lastRenderedPageBreak/>
        <w:t>qualitative descriptive study of the perceptions of professionals and managers’, </w:t>
      </w:r>
      <w:r w:rsidRPr="00897AF9">
        <w:rPr>
          <w:i/>
          <w:iCs/>
        </w:rPr>
        <w:t>BMC Health Service Research,</w:t>
      </w:r>
      <w:r w:rsidRPr="00897AF9">
        <w:t> 23(1), p. 714.</w:t>
      </w:r>
    </w:p>
    <w:p w14:paraId="1E52F1D4" w14:textId="77777777" w:rsidR="00897AF9" w:rsidRPr="00897AF9" w:rsidRDefault="00897AF9" w:rsidP="00897AF9">
      <w:pPr>
        <w:rPr>
          <w:lang w:val="en-US"/>
        </w:rPr>
      </w:pPr>
      <w:r w:rsidRPr="00897AF9">
        <w:rPr>
          <w:lang w:val="en-US"/>
        </w:rPr>
        <w:t xml:space="preserve">Moudatsou, M., Stavropoulou, A., </w:t>
      </w:r>
      <w:proofErr w:type="spellStart"/>
      <w:r w:rsidRPr="00897AF9">
        <w:rPr>
          <w:lang w:val="en-US"/>
        </w:rPr>
        <w:t>Philalithis</w:t>
      </w:r>
      <w:proofErr w:type="spellEnd"/>
      <w:r w:rsidRPr="00897AF9">
        <w:rPr>
          <w:lang w:val="en-US"/>
        </w:rPr>
        <w:t xml:space="preserve">, A. and </w:t>
      </w:r>
      <w:proofErr w:type="spellStart"/>
      <w:r w:rsidRPr="00897AF9">
        <w:rPr>
          <w:lang w:val="en-US"/>
        </w:rPr>
        <w:t>Koukouli</w:t>
      </w:r>
      <w:proofErr w:type="spellEnd"/>
      <w:r w:rsidRPr="00897AF9">
        <w:rPr>
          <w:lang w:val="en-US"/>
        </w:rPr>
        <w:t xml:space="preserve">, S. (2020) ‘The Role of Empathy in Health and Social Care Professionals’, </w:t>
      </w:r>
      <w:r w:rsidRPr="00897AF9">
        <w:rPr>
          <w:i/>
          <w:iCs/>
          <w:lang w:val="en-US"/>
        </w:rPr>
        <w:t>Healthcare</w:t>
      </w:r>
      <w:r w:rsidRPr="00897AF9">
        <w:rPr>
          <w:lang w:val="en-US"/>
        </w:rPr>
        <w:t>, 8(1), 26.</w:t>
      </w:r>
    </w:p>
    <w:p w14:paraId="6F140E68" w14:textId="77777777" w:rsidR="00897AF9" w:rsidRPr="00897AF9" w:rsidRDefault="00897AF9" w:rsidP="00897AF9">
      <w:r w:rsidRPr="00897AF9">
        <w:t xml:space="preserve">NHS England (2018) </w:t>
      </w:r>
      <w:r w:rsidRPr="00897AF9">
        <w:rPr>
          <w:i/>
          <w:iCs/>
        </w:rPr>
        <w:t>Guidance for commissioners: Interpreting and Translation Services in Primary Care.</w:t>
      </w:r>
      <w:r w:rsidRPr="00897AF9">
        <w:t xml:space="preserve"> Available at: </w:t>
      </w:r>
      <w:hyperlink r:id="rId17" w:history="1">
        <w:r w:rsidRPr="00897AF9">
          <w:rPr>
            <w:rStyle w:val="Hyperlink"/>
          </w:rPr>
          <w:t>https://www.england.nhs.uk/wp-content/uploads/2018/09/guidance-for-commissioners-interpreting-and-translation-services-in-primary-care.pdf</w:t>
        </w:r>
      </w:hyperlink>
      <w:r w:rsidRPr="00897AF9">
        <w:t xml:space="preserve"> (Accessed 25 November 2025).</w:t>
      </w:r>
    </w:p>
    <w:p w14:paraId="6F79950E" w14:textId="77777777" w:rsidR="00897AF9" w:rsidRPr="00897AF9" w:rsidRDefault="00897AF9" w:rsidP="00897AF9">
      <w:r w:rsidRPr="00897AF9">
        <w:rPr>
          <w:lang w:val="en-US"/>
        </w:rPr>
        <w:t xml:space="preserve">NHS England (2019) </w:t>
      </w:r>
      <w:r w:rsidRPr="00897AF9">
        <w:rPr>
          <w:i/>
          <w:iCs/>
        </w:rPr>
        <w:t>Designing integrated care systems (ICSs) in England</w:t>
      </w:r>
      <w:r w:rsidRPr="00897AF9">
        <w:t xml:space="preserve">. Available at: </w:t>
      </w:r>
      <w:hyperlink r:id="rId18" w:history="1">
        <w:r w:rsidRPr="00897AF9">
          <w:rPr>
            <w:rStyle w:val="Hyperlink"/>
          </w:rPr>
          <w:t>https://www.england.nhs.uk/wp-content/uploads/2019/06/designing-integrated-care-systems-in-england.pdf</w:t>
        </w:r>
      </w:hyperlink>
      <w:r w:rsidRPr="00897AF9">
        <w:t xml:space="preserve"> (Accessed 23 November 2025).</w:t>
      </w:r>
    </w:p>
    <w:p w14:paraId="26581BDF" w14:textId="77777777" w:rsidR="00897AF9" w:rsidRPr="00897AF9" w:rsidRDefault="00897AF9" w:rsidP="00897AF9">
      <w:r w:rsidRPr="00897AF9">
        <w:t xml:space="preserve">NHS England (2025) </w:t>
      </w:r>
      <w:r w:rsidRPr="00897AF9">
        <w:rPr>
          <w:i/>
          <w:iCs/>
        </w:rPr>
        <w:t>High quality patient records</w:t>
      </w:r>
      <w:r w:rsidRPr="00897AF9">
        <w:t xml:space="preserve">. Available at: </w:t>
      </w:r>
      <w:hyperlink r:id="rId19" w:history="1">
        <w:r w:rsidRPr="00897AF9">
          <w:rPr>
            <w:rStyle w:val="Hyperlink"/>
          </w:rPr>
          <w:t>https://www.england.nhs.uk/long-read/high-quality-patient-records/</w:t>
        </w:r>
      </w:hyperlink>
      <w:r w:rsidRPr="00897AF9">
        <w:t xml:space="preserve"> (Accessed 24 November 2025).</w:t>
      </w:r>
    </w:p>
    <w:p w14:paraId="1D31EF23" w14:textId="77777777" w:rsidR="00897AF9" w:rsidRPr="00897AF9" w:rsidRDefault="00897AF9" w:rsidP="00897AF9">
      <w:pPr>
        <w:rPr>
          <w:lang w:val="en-US"/>
        </w:rPr>
      </w:pPr>
      <w:r w:rsidRPr="00897AF9">
        <w:t xml:space="preserve">Nursing and Midwifery Council [NMC] (2018) </w:t>
      </w:r>
      <w:r w:rsidRPr="00897AF9">
        <w:rPr>
          <w:i/>
          <w:iCs/>
        </w:rPr>
        <w:t>The Code: Professional standards of practice and behaviour for nurses, midwives and nursing associates</w:t>
      </w:r>
      <w:r w:rsidRPr="00897AF9">
        <w:t xml:space="preserve">. London: NMC. Available at: </w:t>
      </w:r>
      <w:hyperlink r:id="rId20" w:history="1">
        <w:r w:rsidRPr="00897AF9">
          <w:rPr>
            <w:rStyle w:val="Hyperlink"/>
          </w:rPr>
          <w:t>https://www.nmc.org.uk/standards/code/</w:t>
        </w:r>
      </w:hyperlink>
      <w:r w:rsidRPr="00897AF9">
        <w:t xml:space="preserve"> (Accessed 27 November 2025).</w:t>
      </w:r>
    </w:p>
    <w:p w14:paraId="1FAFE33D" w14:textId="77777777" w:rsidR="00897AF9" w:rsidRPr="00897AF9" w:rsidRDefault="00897AF9" w:rsidP="00897AF9">
      <w:r w:rsidRPr="00897AF9">
        <w:t xml:space="preserve">Parker, M., Fang, X. and Bradlyn, A. (2020) ‘Costs and effectiveness of a culturally tailored communication training program to increase cultural competence among multi-disciplinary care management teams’, </w:t>
      </w:r>
      <w:r w:rsidRPr="00897AF9">
        <w:rPr>
          <w:i/>
          <w:iCs/>
        </w:rPr>
        <w:t>BMC Health Services Research</w:t>
      </w:r>
      <w:r w:rsidRPr="00897AF9">
        <w:t>, 20(1), p. 784.</w:t>
      </w:r>
    </w:p>
    <w:p w14:paraId="39AD669D" w14:textId="77777777" w:rsidR="00897AF9" w:rsidRPr="00897AF9" w:rsidRDefault="00897AF9" w:rsidP="00897AF9">
      <w:pPr>
        <w:rPr>
          <w:lang w:val="en-US"/>
        </w:rPr>
      </w:pPr>
      <w:r w:rsidRPr="00897AF9">
        <w:rPr>
          <w:lang w:val="en-US"/>
        </w:rPr>
        <w:t xml:space="preserve">Rosen, M. A., DiazGranados, D., Dietz, A. S., Benishek, L. E., Thompson, D., Pronovost, P. J., &amp; Weaver, S. J. (2018) ‘Teamwork in Healthcare: Key Discoveries Enabling Safer, High-Quality Care’, </w:t>
      </w:r>
      <w:r w:rsidRPr="00897AF9">
        <w:rPr>
          <w:i/>
          <w:iCs/>
          <w:lang w:val="en-US"/>
        </w:rPr>
        <w:t>The American Psychologist</w:t>
      </w:r>
      <w:r w:rsidRPr="00897AF9">
        <w:rPr>
          <w:lang w:val="en-US"/>
        </w:rPr>
        <w:t>, 73(4), p. 433.</w:t>
      </w:r>
    </w:p>
    <w:p w14:paraId="4C466B81" w14:textId="77777777" w:rsidR="00897AF9" w:rsidRPr="00897AF9" w:rsidRDefault="00897AF9" w:rsidP="00897AF9">
      <w:pPr>
        <w:rPr>
          <w:lang w:val="en-US"/>
        </w:rPr>
      </w:pPr>
      <w:r w:rsidRPr="00897AF9">
        <w:rPr>
          <w:lang w:val="en-US"/>
        </w:rPr>
        <w:t xml:space="preserve">Royal College of Nursing [RCN] (2023) </w:t>
      </w:r>
      <w:r w:rsidRPr="00897AF9">
        <w:rPr>
          <w:i/>
          <w:iCs/>
          <w:lang w:val="en-US"/>
        </w:rPr>
        <w:t>Record keeping: The facts</w:t>
      </w:r>
      <w:r w:rsidRPr="00897AF9">
        <w:rPr>
          <w:lang w:val="en-US"/>
        </w:rPr>
        <w:t xml:space="preserve">. Available at: </w:t>
      </w:r>
      <w:hyperlink r:id="rId21" w:history="1">
        <w:r w:rsidRPr="00897AF9">
          <w:rPr>
            <w:rStyle w:val="Hyperlink"/>
            <w:lang w:val="en-US"/>
          </w:rPr>
          <w:t>https://www.rcn.org.uk/Professional-Development/publications/rcn-record-keeping-uk-pub-011-016</w:t>
        </w:r>
      </w:hyperlink>
      <w:r w:rsidRPr="00897AF9">
        <w:rPr>
          <w:lang w:val="en-US"/>
        </w:rPr>
        <w:t xml:space="preserve"> (Accessed 23 November 2025).</w:t>
      </w:r>
    </w:p>
    <w:p w14:paraId="4496FEDE" w14:textId="77777777" w:rsidR="00897AF9" w:rsidRPr="00897AF9" w:rsidRDefault="00897AF9" w:rsidP="00897AF9">
      <w:r w:rsidRPr="00897AF9">
        <w:t>Shannon C. E., Weaver W. (1949). </w:t>
      </w:r>
      <w:r w:rsidRPr="00897AF9">
        <w:rPr>
          <w:i/>
          <w:iCs/>
        </w:rPr>
        <w:t>The mathematical theory of communication</w:t>
      </w:r>
      <w:r w:rsidRPr="00897AF9">
        <w:t>. University of Illinois Press.</w:t>
      </w:r>
    </w:p>
    <w:p w14:paraId="6FBC5DAB" w14:textId="77777777" w:rsidR="00897AF9" w:rsidRPr="00897AF9" w:rsidRDefault="00897AF9" w:rsidP="00897AF9">
      <w:proofErr w:type="spellStart"/>
      <w:r w:rsidRPr="00897AF9">
        <w:t>Sharkiya</w:t>
      </w:r>
      <w:proofErr w:type="spellEnd"/>
      <w:r w:rsidRPr="00897AF9">
        <w:t>, S.H. (2023) ‘Quality communication can improve patient-centred health outcomes among older patients: a rapid review’, </w:t>
      </w:r>
      <w:r w:rsidRPr="00897AF9">
        <w:rPr>
          <w:i/>
          <w:iCs/>
        </w:rPr>
        <w:t>BMC Health Service Research,</w:t>
      </w:r>
      <w:r w:rsidRPr="00897AF9">
        <w:t> 23(1), p. 886.</w:t>
      </w:r>
    </w:p>
    <w:p w14:paraId="28624CDA" w14:textId="77777777" w:rsidR="00897AF9" w:rsidRPr="00897AF9" w:rsidRDefault="00897AF9" w:rsidP="00897AF9">
      <w:pPr>
        <w:rPr>
          <w:lang w:val="en-US"/>
        </w:rPr>
      </w:pPr>
      <w:r w:rsidRPr="00897AF9">
        <w:rPr>
          <w:lang w:val="en-US"/>
        </w:rPr>
        <w:t>Vos, J. F., Boonstra, A., Kooistra, A. and Seelen, M. (</w:t>
      </w:r>
      <w:proofErr w:type="gramStart"/>
      <w:r w:rsidRPr="00897AF9">
        <w:rPr>
          <w:lang w:val="en-US"/>
        </w:rPr>
        <w:t>2020) ‘</w:t>
      </w:r>
      <w:proofErr w:type="gramEnd"/>
      <w:r w:rsidRPr="00897AF9">
        <w:rPr>
          <w:lang w:val="en-US"/>
        </w:rPr>
        <w:t xml:space="preserve">The influence of electronic health record use on collaboration among medical specialties’, </w:t>
      </w:r>
      <w:r w:rsidRPr="00897AF9">
        <w:rPr>
          <w:i/>
          <w:iCs/>
          <w:lang w:val="en-US"/>
        </w:rPr>
        <w:t>BMC Health Services Research</w:t>
      </w:r>
      <w:r w:rsidRPr="00897AF9">
        <w:rPr>
          <w:lang w:val="en-US"/>
        </w:rPr>
        <w:t>, 20(1), p. 676.</w:t>
      </w:r>
    </w:p>
    <w:p w14:paraId="5E2B180B" w14:textId="77777777" w:rsidR="00897AF9" w:rsidRPr="00897AF9" w:rsidRDefault="00897AF9" w:rsidP="00897AF9"/>
    <w:p w14:paraId="2DFAA7D6" w14:textId="77777777" w:rsidR="005D095C" w:rsidRDefault="005D095C"/>
    <w:sectPr w:rsidR="005D095C" w:rsidSect="007B5767">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AF9"/>
    <w:rsid w:val="000617D5"/>
    <w:rsid w:val="000D3961"/>
    <w:rsid w:val="001810C8"/>
    <w:rsid w:val="00185FD3"/>
    <w:rsid w:val="002743BF"/>
    <w:rsid w:val="002E6967"/>
    <w:rsid w:val="0032166F"/>
    <w:rsid w:val="003813BE"/>
    <w:rsid w:val="00434288"/>
    <w:rsid w:val="005B52CA"/>
    <w:rsid w:val="005D095C"/>
    <w:rsid w:val="0069340B"/>
    <w:rsid w:val="00720E8C"/>
    <w:rsid w:val="00777941"/>
    <w:rsid w:val="007B5767"/>
    <w:rsid w:val="007B6745"/>
    <w:rsid w:val="0083161E"/>
    <w:rsid w:val="00897AF9"/>
    <w:rsid w:val="008A5386"/>
    <w:rsid w:val="00985D68"/>
    <w:rsid w:val="00994161"/>
    <w:rsid w:val="00B83664"/>
    <w:rsid w:val="00CD4ED9"/>
    <w:rsid w:val="00D124FB"/>
    <w:rsid w:val="00D50EBD"/>
    <w:rsid w:val="00D96644"/>
    <w:rsid w:val="00F71ADC"/>
    <w:rsid w:val="00F9291F"/>
    <w:rsid w:val="00F93CA9"/>
    <w:rsid w:val="00FE3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2F43"/>
  <w15:chartTrackingRefBased/>
  <w15:docId w15:val="{72102934-5808-448E-AD6A-D901AA126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A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7A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7A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7A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A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A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A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A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A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A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7A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7A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7A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A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AF9"/>
    <w:rPr>
      <w:rFonts w:eastAsiaTheme="majorEastAsia" w:cstheme="majorBidi"/>
      <w:color w:val="272727" w:themeColor="text1" w:themeTint="D8"/>
    </w:rPr>
  </w:style>
  <w:style w:type="paragraph" w:styleId="Title">
    <w:name w:val="Title"/>
    <w:basedOn w:val="Normal"/>
    <w:next w:val="Normal"/>
    <w:link w:val="TitleChar"/>
    <w:uiPriority w:val="10"/>
    <w:qFormat/>
    <w:rsid w:val="00897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A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AF9"/>
    <w:pPr>
      <w:spacing w:before="160"/>
      <w:jc w:val="center"/>
    </w:pPr>
    <w:rPr>
      <w:i/>
      <w:iCs/>
      <w:color w:val="404040" w:themeColor="text1" w:themeTint="BF"/>
    </w:rPr>
  </w:style>
  <w:style w:type="character" w:customStyle="1" w:styleId="QuoteChar">
    <w:name w:val="Quote Char"/>
    <w:basedOn w:val="DefaultParagraphFont"/>
    <w:link w:val="Quote"/>
    <w:uiPriority w:val="29"/>
    <w:rsid w:val="00897AF9"/>
    <w:rPr>
      <w:i/>
      <w:iCs/>
      <w:color w:val="404040" w:themeColor="text1" w:themeTint="BF"/>
    </w:rPr>
  </w:style>
  <w:style w:type="paragraph" w:styleId="ListParagraph">
    <w:name w:val="List Paragraph"/>
    <w:basedOn w:val="Normal"/>
    <w:uiPriority w:val="34"/>
    <w:qFormat/>
    <w:rsid w:val="00897AF9"/>
    <w:pPr>
      <w:ind w:left="720"/>
      <w:contextualSpacing/>
    </w:pPr>
  </w:style>
  <w:style w:type="character" w:styleId="IntenseEmphasis">
    <w:name w:val="Intense Emphasis"/>
    <w:basedOn w:val="DefaultParagraphFont"/>
    <w:uiPriority w:val="21"/>
    <w:qFormat/>
    <w:rsid w:val="00897AF9"/>
    <w:rPr>
      <w:i/>
      <w:iCs/>
      <w:color w:val="0F4761" w:themeColor="accent1" w:themeShade="BF"/>
    </w:rPr>
  </w:style>
  <w:style w:type="paragraph" w:styleId="IntenseQuote">
    <w:name w:val="Intense Quote"/>
    <w:basedOn w:val="Normal"/>
    <w:next w:val="Normal"/>
    <w:link w:val="IntenseQuoteChar"/>
    <w:uiPriority w:val="30"/>
    <w:qFormat/>
    <w:rsid w:val="00897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AF9"/>
    <w:rPr>
      <w:i/>
      <w:iCs/>
      <w:color w:val="0F4761" w:themeColor="accent1" w:themeShade="BF"/>
    </w:rPr>
  </w:style>
  <w:style w:type="character" w:styleId="IntenseReference">
    <w:name w:val="Intense Reference"/>
    <w:basedOn w:val="DefaultParagraphFont"/>
    <w:uiPriority w:val="32"/>
    <w:qFormat/>
    <w:rsid w:val="00897AF9"/>
    <w:rPr>
      <w:b/>
      <w:bCs/>
      <w:smallCaps/>
      <w:color w:val="0F4761" w:themeColor="accent1" w:themeShade="BF"/>
      <w:spacing w:val="5"/>
    </w:rPr>
  </w:style>
  <w:style w:type="character" w:styleId="Hyperlink">
    <w:name w:val="Hyperlink"/>
    <w:basedOn w:val="DefaultParagraphFont"/>
    <w:uiPriority w:val="99"/>
    <w:unhideWhenUsed/>
    <w:rsid w:val="00897AF9"/>
    <w:rPr>
      <w:color w:val="467886" w:themeColor="hyperlink"/>
      <w:u w:val="single"/>
    </w:rPr>
  </w:style>
  <w:style w:type="character" w:styleId="UnresolvedMention">
    <w:name w:val="Unresolved Mention"/>
    <w:basedOn w:val="DefaultParagraphFont"/>
    <w:uiPriority w:val="99"/>
    <w:semiHidden/>
    <w:unhideWhenUsed/>
    <w:rsid w:val="00897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tudent\Downloads\FRANCIS%20-%20LCHS4003%20%5bEDITED%5d%20(5).docx" TargetMode="External"/><Relationship Id="rId13" Type="http://schemas.openxmlformats.org/officeDocument/2006/relationships/hyperlink" Target="file:///C:\Users\Student\Downloads\FRANCIS%20-%20LCHS4003%20%5bEDITED%5d%20(5).docx" TargetMode="External"/><Relationship Id="rId18" Type="http://schemas.openxmlformats.org/officeDocument/2006/relationships/hyperlink" Target="https://www.england.nhs.uk/wp-content/uploads/2019/06/designing-integrated-care-systems-in-england.pdf" TargetMode="External"/><Relationship Id="rId3" Type="http://schemas.openxmlformats.org/officeDocument/2006/relationships/webSettings" Target="webSettings.xml"/><Relationship Id="rId21" Type="http://schemas.openxmlformats.org/officeDocument/2006/relationships/hyperlink" Target="https://www.rcn.org.uk/Professional-Development/publications/rcn-record-keeping-uk-pub-011-016" TargetMode="External"/><Relationship Id="rId7" Type="http://schemas.openxmlformats.org/officeDocument/2006/relationships/hyperlink" Target="file:///C:\Users\Student\Downloads\FRANCIS%20-%20LCHS4003%20%5bEDITED%5d%20(5).docx" TargetMode="External"/><Relationship Id="rId12" Type="http://schemas.openxmlformats.org/officeDocument/2006/relationships/hyperlink" Target="file:///C:\Users\Student\Downloads\FRANCIS%20-%20LCHS4003%20%5bEDITED%5d%20(5).docx" TargetMode="External"/><Relationship Id="rId17" Type="http://schemas.openxmlformats.org/officeDocument/2006/relationships/hyperlink" Target="https://www.england.nhs.uk/wp-content/uploads/2018/09/guidance-for-commissioners-interpreting-and-translation-services-in-primary-care.pdf" TargetMode="External"/><Relationship Id="rId2" Type="http://schemas.openxmlformats.org/officeDocument/2006/relationships/settings" Target="settings.xml"/><Relationship Id="rId16" Type="http://schemas.openxmlformats.org/officeDocument/2006/relationships/hyperlink" Target="https://www.legislation.gov.uk/ukpga/2018/12" TargetMode="External"/><Relationship Id="rId20" Type="http://schemas.openxmlformats.org/officeDocument/2006/relationships/hyperlink" Target="https://www.nmc.org.uk/standards/code/" TargetMode="External"/><Relationship Id="rId1" Type="http://schemas.openxmlformats.org/officeDocument/2006/relationships/styles" Target="styles.xml"/><Relationship Id="rId6" Type="http://schemas.openxmlformats.org/officeDocument/2006/relationships/hyperlink" Target="file:///C:\Users\Student\Downloads\FRANCIS%20-%20LCHS4003%20%5bEDITED%5d%20(5).docx" TargetMode="External"/><Relationship Id="rId11" Type="http://schemas.openxmlformats.org/officeDocument/2006/relationships/hyperlink" Target="file:///C:\Users\Student\Downloads\FRANCIS%20-%20LCHS4003%20%5bEDITED%5d%20(5).docx" TargetMode="External"/><Relationship Id="rId5" Type="http://schemas.openxmlformats.org/officeDocument/2006/relationships/image" Target="cid:image001.png@01D0EA4A.2BD679A0" TargetMode="External"/><Relationship Id="rId15" Type="http://schemas.openxmlformats.org/officeDocument/2006/relationships/hyperlink" Target="https://assets.publishing.service.gov.uk/media/5a7c4716e5274a2041cf2ebb/9731-2901141-TSO-Caldicott-Government_Response_ACCESSIBLE.PDF" TargetMode="External"/><Relationship Id="rId23" Type="http://schemas.openxmlformats.org/officeDocument/2006/relationships/theme" Target="theme/theme1.xml"/><Relationship Id="rId10" Type="http://schemas.openxmlformats.org/officeDocument/2006/relationships/hyperlink" Target="file:///C:\Users\Student\Downloads\FRANCIS%20-%20LCHS4003%20%5bEDITED%5d%20(5).docx" TargetMode="External"/><Relationship Id="rId19" Type="http://schemas.openxmlformats.org/officeDocument/2006/relationships/hyperlink" Target="https://www.england.nhs.uk/long-read/high-quality-patient-records/" TargetMode="External"/><Relationship Id="rId4" Type="http://schemas.openxmlformats.org/officeDocument/2006/relationships/image" Target="media/image1.png"/><Relationship Id="rId9" Type="http://schemas.openxmlformats.org/officeDocument/2006/relationships/hyperlink" Target="file:///C:\Users\Student\Downloads\FRANCIS%20-%20LCHS4003%20%5bEDITED%5d%20(5).docx" TargetMode="External"/><Relationship Id="rId14" Type="http://schemas.openxmlformats.org/officeDocument/2006/relationships/hyperlink" Target="https://www.cqc.org.uk/guidance-regulation/providers/regulations-service-providers-and-managers/health-social-care-act/regulation-1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2169</Words>
  <Characters>13677</Characters>
  <Application>Microsoft Office Word</Application>
  <DocSecurity>0</DocSecurity>
  <Lines>223</Lines>
  <Paragraphs>55</Paragraphs>
  <ScaleCrop>false</ScaleCrop>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francisegbeonu@yahoo.com</dc:creator>
  <cp:keywords/>
  <dc:description/>
  <cp:lastModifiedBy>francisegbeonu@yahoo.com</cp:lastModifiedBy>
  <cp:revision>17</cp:revision>
  <dcterms:created xsi:type="dcterms:W3CDTF">2025-12-04T17:12:00Z</dcterms:created>
  <dcterms:modified xsi:type="dcterms:W3CDTF">2025-12-07T14:45:00Z</dcterms:modified>
</cp:coreProperties>
</file>