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4DDB2" w14:textId="0C4B99B7" w:rsidR="00A46A53" w:rsidRDefault="00A46A53"/>
    <w:p w14:paraId="633C8EC0" w14:textId="64130D00" w:rsidR="0062440A" w:rsidRDefault="0062440A"/>
    <w:p w14:paraId="49E69742" w14:textId="33D211EB" w:rsidR="0062440A" w:rsidRDefault="0062440A"/>
    <w:p w14:paraId="1D06257C" w14:textId="0FD8D9F8" w:rsidR="0062440A" w:rsidRDefault="0062440A"/>
    <w:p w14:paraId="0D2EC35B" w14:textId="56093FBE" w:rsidR="0062440A" w:rsidRDefault="0062440A"/>
    <w:p w14:paraId="3BDF3304" w14:textId="7CB4F5DE" w:rsidR="0062440A" w:rsidRDefault="0062440A"/>
    <w:p w14:paraId="4549488C" w14:textId="2771094A" w:rsidR="0062440A" w:rsidRDefault="0062440A"/>
    <w:p w14:paraId="367E1AF9" w14:textId="1EDD9A0D" w:rsidR="0062440A" w:rsidRDefault="0062440A"/>
    <w:p w14:paraId="36A2BE5B" w14:textId="1C6D7B1C" w:rsidR="00115320" w:rsidRDefault="00115320" w:rsidP="00115320">
      <w:pPr>
        <w:pStyle w:val="NormalWeb"/>
        <w:jc w:val="center"/>
        <w:rPr>
          <w:rFonts w:ascii="ArialMT" w:hAnsi="ArialMT"/>
          <w:sz w:val="22"/>
          <w:szCs w:val="22"/>
        </w:rPr>
      </w:pPr>
    </w:p>
    <w:tbl>
      <w:tblPr>
        <w:tblStyle w:val="Tabelgril"/>
        <w:tblW w:w="0" w:type="auto"/>
        <w:tblLook w:val="04A0" w:firstRow="1" w:lastRow="0" w:firstColumn="1" w:lastColumn="0" w:noHBand="0" w:noVBand="1"/>
      </w:tblPr>
      <w:tblGrid>
        <w:gridCol w:w="2946"/>
        <w:gridCol w:w="2946"/>
      </w:tblGrid>
      <w:tr w:rsidR="00115320" w14:paraId="12466A6B" w14:textId="77777777" w:rsidTr="00115320">
        <w:trPr>
          <w:trHeight w:val="1066"/>
        </w:trPr>
        <w:tc>
          <w:tcPr>
            <w:tcW w:w="2946" w:type="dxa"/>
          </w:tcPr>
          <w:p w14:paraId="2D9027C6" w14:textId="3D819254" w:rsidR="00115320" w:rsidRDefault="00C67CC8" w:rsidP="00115320">
            <w:pPr>
              <w:pStyle w:val="NormalWeb"/>
              <w:spacing w:line="360" w:lineRule="auto"/>
              <w:rPr>
                <w:rFonts w:ascii="ArialMT" w:hAnsi="ArialMT"/>
                <w:sz w:val="22"/>
                <w:szCs w:val="22"/>
              </w:rPr>
            </w:pPr>
            <w:r>
              <w:rPr>
                <w:rFonts w:ascii="ArialMT" w:hAnsi="ArialMT"/>
                <w:sz w:val="22"/>
                <w:szCs w:val="22"/>
              </w:rPr>
              <w:t>University</w:t>
            </w:r>
          </w:p>
        </w:tc>
        <w:tc>
          <w:tcPr>
            <w:tcW w:w="2946" w:type="dxa"/>
          </w:tcPr>
          <w:p w14:paraId="0E529C64" w14:textId="6F072DF5" w:rsidR="00115320" w:rsidRDefault="00C67CC8" w:rsidP="00115320">
            <w:pPr>
              <w:pStyle w:val="NormalWeb"/>
              <w:jc w:val="center"/>
              <w:rPr>
                <w:rFonts w:ascii="ArialMT" w:hAnsi="ArialMT"/>
                <w:sz w:val="22"/>
                <w:szCs w:val="22"/>
              </w:rPr>
            </w:pPr>
            <w:r>
              <w:rPr>
                <w:rFonts w:ascii="ArialMT" w:hAnsi="ArialMT"/>
                <w:sz w:val="22"/>
                <w:szCs w:val="22"/>
              </w:rPr>
              <w:t>UWTSD</w:t>
            </w:r>
          </w:p>
        </w:tc>
      </w:tr>
      <w:tr w:rsidR="00115320" w14:paraId="7F310E29" w14:textId="77777777" w:rsidTr="00115320">
        <w:trPr>
          <w:trHeight w:val="1066"/>
        </w:trPr>
        <w:tc>
          <w:tcPr>
            <w:tcW w:w="2946" w:type="dxa"/>
          </w:tcPr>
          <w:p w14:paraId="326D464A" w14:textId="2EB70DEB" w:rsidR="00115320" w:rsidRDefault="00115320" w:rsidP="00115320">
            <w:pPr>
              <w:pStyle w:val="NormalWeb"/>
              <w:spacing w:line="360" w:lineRule="auto"/>
              <w:rPr>
                <w:rFonts w:ascii="ArialMT" w:hAnsi="ArialMT"/>
                <w:sz w:val="22"/>
                <w:szCs w:val="22"/>
              </w:rPr>
            </w:pPr>
            <w:r w:rsidRPr="006A1C35">
              <w:rPr>
                <w:rFonts w:ascii="ArialMT" w:hAnsi="ArialMT"/>
                <w:sz w:val="22"/>
                <w:szCs w:val="22"/>
              </w:rPr>
              <w:t>Module name</w:t>
            </w:r>
          </w:p>
        </w:tc>
        <w:tc>
          <w:tcPr>
            <w:tcW w:w="2946" w:type="dxa"/>
          </w:tcPr>
          <w:p w14:paraId="252E604C" w14:textId="1AA03D21" w:rsidR="00115320" w:rsidRDefault="00217507" w:rsidP="00115320">
            <w:pPr>
              <w:pStyle w:val="NormalWeb"/>
              <w:jc w:val="center"/>
              <w:rPr>
                <w:rFonts w:ascii="ArialMT" w:hAnsi="ArialMT"/>
                <w:sz w:val="22"/>
                <w:szCs w:val="22"/>
              </w:rPr>
            </w:pPr>
            <w:r>
              <w:rPr>
                <w:rFonts w:ascii="ArialMT" w:hAnsi="ArialMT"/>
                <w:sz w:val="22"/>
                <w:szCs w:val="22"/>
              </w:rPr>
              <w:t>Managing People</w:t>
            </w:r>
          </w:p>
        </w:tc>
      </w:tr>
      <w:tr w:rsidR="00115320" w14:paraId="3A237D39" w14:textId="77777777" w:rsidTr="00115320">
        <w:trPr>
          <w:trHeight w:val="1066"/>
        </w:trPr>
        <w:tc>
          <w:tcPr>
            <w:tcW w:w="2946" w:type="dxa"/>
          </w:tcPr>
          <w:p w14:paraId="17F930D6" w14:textId="6552A5FF" w:rsidR="00115320" w:rsidRDefault="00115320" w:rsidP="00115320">
            <w:pPr>
              <w:pStyle w:val="NormalWeb"/>
              <w:spacing w:line="360" w:lineRule="auto"/>
              <w:rPr>
                <w:rFonts w:ascii="ArialMT" w:hAnsi="ArialMT"/>
                <w:sz w:val="22"/>
                <w:szCs w:val="22"/>
              </w:rPr>
            </w:pPr>
            <w:r w:rsidRPr="006A1C35">
              <w:rPr>
                <w:rFonts w:ascii="ArialMT" w:hAnsi="ArialMT"/>
                <w:sz w:val="22"/>
                <w:szCs w:val="22"/>
              </w:rPr>
              <w:t>Title of the assignment</w:t>
            </w:r>
          </w:p>
        </w:tc>
        <w:tc>
          <w:tcPr>
            <w:tcW w:w="2946" w:type="dxa"/>
          </w:tcPr>
          <w:p w14:paraId="4DD3319F" w14:textId="3AE70067" w:rsidR="00115320" w:rsidRDefault="00217507" w:rsidP="00115320">
            <w:pPr>
              <w:pStyle w:val="NormalWeb"/>
              <w:jc w:val="center"/>
              <w:rPr>
                <w:rFonts w:ascii="ArialMT" w:hAnsi="ArialMT"/>
                <w:sz w:val="22"/>
                <w:szCs w:val="22"/>
              </w:rPr>
            </w:pPr>
            <w:r>
              <w:rPr>
                <w:rFonts w:ascii="ArialMT" w:hAnsi="ArialMT"/>
                <w:sz w:val="22"/>
                <w:szCs w:val="22"/>
              </w:rPr>
              <w:t>Orbis</w:t>
            </w:r>
          </w:p>
        </w:tc>
      </w:tr>
      <w:tr w:rsidR="00115320" w14:paraId="6903E7B4" w14:textId="77777777" w:rsidTr="00115320">
        <w:trPr>
          <w:trHeight w:val="1066"/>
        </w:trPr>
        <w:tc>
          <w:tcPr>
            <w:tcW w:w="2946" w:type="dxa"/>
          </w:tcPr>
          <w:p w14:paraId="7E87D316" w14:textId="4CBCD4E9" w:rsidR="00115320" w:rsidRDefault="00115320" w:rsidP="00115320">
            <w:pPr>
              <w:pStyle w:val="NormalWeb"/>
              <w:spacing w:line="360" w:lineRule="auto"/>
              <w:rPr>
                <w:rFonts w:ascii="ArialMT" w:hAnsi="ArialMT"/>
                <w:sz w:val="22"/>
                <w:szCs w:val="22"/>
              </w:rPr>
            </w:pPr>
            <w:r>
              <w:rPr>
                <w:rFonts w:ascii="ArialMT" w:hAnsi="ArialMT"/>
                <w:sz w:val="22"/>
                <w:szCs w:val="22"/>
              </w:rPr>
              <w:t xml:space="preserve">Name </w:t>
            </w:r>
          </w:p>
        </w:tc>
        <w:tc>
          <w:tcPr>
            <w:tcW w:w="2946" w:type="dxa"/>
          </w:tcPr>
          <w:p w14:paraId="3BB9FBF6" w14:textId="29D3E2E5" w:rsidR="00115320" w:rsidRDefault="00217507" w:rsidP="00115320">
            <w:pPr>
              <w:pStyle w:val="NormalWeb"/>
              <w:jc w:val="center"/>
              <w:rPr>
                <w:rFonts w:ascii="ArialMT" w:hAnsi="ArialMT"/>
                <w:sz w:val="22"/>
                <w:szCs w:val="22"/>
              </w:rPr>
            </w:pPr>
            <w:r>
              <w:rPr>
                <w:rFonts w:ascii="ArialMT" w:hAnsi="ArialMT"/>
                <w:sz w:val="22"/>
                <w:szCs w:val="22"/>
              </w:rPr>
              <w:t>Sabina-Alexandra Sotir</w:t>
            </w:r>
          </w:p>
        </w:tc>
      </w:tr>
      <w:tr w:rsidR="00115320" w14:paraId="6ABF66B0" w14:textId="77777777" w:rsidTr="00115320">
        <w:trPr>
          <w:trHeight w:val="1066"/>
        </w:trPr>
        <w:tc>
          <w:tcPr>
            <w:tcW w:w="2946" w:type="dxa"/>
          </w:tcPr>
          <w:p w14:paraId="55DCCE57" w14:textId="6219B0A9" w:rsidR="00115320" w:rsidRDefault="00115320" w:rsidP="00115320">
            <w:pPr>
              <w:pStyle w:val="NormalWeb"/>
              <w:spacing w:line="360" w:lineRule="auto"/>
              <w:rPr>
                <w:rFonts w:ascii="ArialMT" w:hAnsi="ArialMT"/>
                <w:sz w:val="22"/>
                <w:szCs w:val="22"/>
              </w:rPr>
            </w:pPr>
            <w:r>
              <w:rPr>
                <w:rFonts w:ascii="ArialMT" w:hAnsi="ArialMT"/>
                <w:sz w:val="22"/>
                <w:szCs w:val="22"/>
              </w:rPr>
              <w:t xml:space="preserve">Student Number </w:t>
            </w:r>
          </w:p>
        </w:tc>
        <w:tc>
          <w:tcPr>
            <w:tcW w:w="2946" w:type="dxa"/>
          </w:tcPr>
          <w:p w14:paraId="12E4B34E" w14:textId="53F21883" w:rsidR="00115320" w:rsidRDefault="00217507" w:rsidP="00115320">
            <w:pPr>
              <w:pStyle w:val="NormalWeb"/>
              <w:jc w:val="center"/>
              <w:rPr>
                <w:rFonts w:ascii="ArialMT" w:hAnsi="ArialMT"/>
                <w:sz w:val="22"/>
                <w:szCs w:val="22"/>
              </w:rPr>
            </w:pPr>
            <w:r>
              <w:rPr>
                <w:rFonts w:ascii="ArialMT" w:hAnsi="ArialMT"/>
                <w:sz w:val="22"/>
                <w:szCs w:val="22"/>
              </w:rPr>
              <w:t>1915929</w:t>
            </w:r>
          </w:p>
        </w:tc>
      </w:tr>
      <w:tr w:rsidR="00115320" w14:paraId="0B679684" w14:textId="77777777" w:rsidTr="00115320">
        <w:trPr>
          <w:trHeight w:val="1023"/>
        </w:trPr>
        <w:tc>
          <w:tcPr>
            <w:tcW w:w="2946" w:type="dxa"/>
          </w:tcPr>
          <w:p w14:paraId="4BD36659" w14:textId="21443A8F" w:rsidR="00115320" w:rsidRDefault="00217507" w:rsidP="00115320">
            <w:pPr>
              <w:pStyle w:val="NormalWeb"/>
              <w:spacing w:line="360" w:lineRule="auto"/>
              <w:rPr>
                <w:rFonts w:ascii="ArialMT" w:hAnsi="ArialMT"/>
                <w:sz w:val="22"/>
                <w:szCs w:val="22"/>
              </w:rPr>
            </w:pPr>
            <w:r>
              <w:rPr>
                <w:rFonts w:ascii="ArialMT" w:hAnsi="ArialMT"/>
                <w:sz w:val="22"/>
                <w:szCs w:val="22"/>
              </w:rPr>
              <w:t xml:space="preserve">Teacher </w:t>
            </w:r>
          </w:p>
        </w:tc>
        <w:tc>
          <w:tcPr>
            <w:tcW w:w="2946" w:type="dxa"/>
          </w:tcPr>
          <w:p w14:paraId="080A3A34" w14:textId="47B0F402" w:rsidR="00115320" w:rsidRDefault="00217507" w:rsidP="00115320">
            <w:pPr>
              <w:pStyle w:val="NormalWeb"/>
              <w:jc w:val="center"/>
              <w:rPr>
                <w:rFonts w:ascii="ArialMT" w:hAnsi="ArialMT"/>
                <w:sz w:val="22"/>
                <w:szCs w:val="22"/>
              </w:rPr>
            </w:pPr>
            <w:r>
              <w:rPr>
                <w:rFonts w:ascii="ArialMT" w:hAnsi="ArialMT"/>
                <w:sz w:val="22"/>
                <w:szCs w:val="22"/>
              </w:rPr>
              <w:t>Olusoyi</w:t>
            </w:r>
            <w:r w:rsidR="00C67CC8">
              <w:rPr>
                <w:rFonts w:ascii="ArialMT" w:hAnsi="ArialMT"/>
                <w:sz w:val="22"/>
                <w:szCs w:val="22"/>
              </w:rPr>
              <w:t xml:space="preserve"> Ashaye</w:t>
            </w:r>
          </w:p>
        </w:tc>
      </w:tr>
    </w:tbl>
    <w:p w14:paraId="2F1890AE" w14:textId="77777777" w:rsidR="00115320" w:rsidRDefault="00115320" w:rsidP="00115320">
      <w:pPr>
        <w:pStyle w:val="NormalWeb"/>
        <w:jc w:val="center"/>
        <w:rPr>
          <w:rFonts w:ascii="ArialMT" w:hAnsi="ArialMT"/>
          <w:sz w:val="22"/>
          <w:szCs w:val="22"/>
        </w:rPr>
      </w:pPr>
    </w:p>
    <w:p w14:paraId="366BA529" w14:textId="0D4A4500" w:rsidR="0062440A" w:rsidRDefault="0062440A">
      <w:r>
        <w:t xml:space="preserve">                                      </w:t>
      </w:r>
    </w:p>
    <w:p w14:paraId="124F4301" w14:textId="05CA3FAE" w:rsidR="0062440A" w:rsidRDefault="0062440A"/>
    <w:p w14:paraId="3AF9A02C" w14:textId="15828709" w:rsidR="0062440A" w:rsidRDefault="0062440A"/>
    <w:p w14:paraId="4B832FF2" w14:textId="02D3424A" w:rsidR="0062440A" w:rsidRDefault="0062440A"/>
    <w:p w14:paraId="7DA2CF85" w14:textId="6A001BD3" w:rsidR="0062440A" w:rsidRDefault="0062440A"/>
    <w:p w14:paraId="21385DD2" w14:textId="0A7417E9" w:rsidR="0062440A" w:rsidRDefault="0062440A"/>
    <w:p w14:paraId="22C5F839" w14:textId="1FD06D7D" w:rsidR="0062440A" w:rsidRDefault="0062440A"/>
    <w:p w14:paraId="0C7F2206" w14:textId="044901D2" w:rsidR="0062440A" w:rsidRDefault="0062440A"/>
    <w:p w14:paraId="7FD78D42" w14:textId="0B53111E" w:rsidR="0062440A" w:rsidRDefault="0062440A"/>
    <w:p w14:paraId="604C9E55" w14:textId="766317EA" w:rsidR="0033723D" w:rsidRPr="006A1C35" w:rsidRDefault="0033723D" w:rsidP="006A1C35">
      <w:pPr>
        <w:spacing w:line="360" w:lineRule="auto"/>
        <w:rPr>
          <w:rFonts w:ascii="Arial" w:hAnsi="Arial" w:cs="Arial"/>
          <w:b/>
          <w:bCs/>
        </w:rPr>
      </w:pPr>
    </w:p>
    <w:p w14:paraId="52996192" w14:textId="6140F7BA" w:rsidR="0033723D" w:rsidRPr="006A1C35" w:rsidRDefault="0033723D" w:rsidP="006A1C35">
      <w:pPr>
        <w:spacing w:line="360" w:lineRule="auto"/>
        <w:rPr>
          <w:rFonts w:ascii="Arial" w:hAnsi="Arial" w:cs="Arial"/>
          <w:b/>
          <w:bCs/>
        </w:rPr>
      </w:pPr>
    </w:p>
    <w:sdt>
      <w:sdtPr>
        <w:rPr>
          <w:rFonts w:ascii="Arial" w:eastAsiaTheme="minorHAnsi" w:hAnsi="Arial" w:cs="Arial"/>
          <w:b w:val="0"/>
          <w:bCs w:val="0"/>
          <w:i/>
          <w:iCs/>
          <w:color w:val="auto"/>
          <w:sz w:val="32"/>
          <w:szCs w:val="32"/>
          <w:lang w:val="en-GB"/>
        </w:rPr>
        <w:id w:val="194967919"/>
        <w:docPartObj>
          <w:docPartGallery w:val="Table of Contents"/>
          <w:docPartUnique/>
        </w:docPartObj>
      </w:sdtPr>
      <w:sdtEndPr>
        <w:rPr>
          <w:i w:val="0"/>
          <w:iCs w:val="0"/>
          <w:noProof/>
          <w:sz w:val="24"/>
          <w:szCs w:val="24"/>
        </w:rPr>
      </w:sdtEndPr>
      <w:sdtContent>
        <w:p w14:paraId="24AA1C48" w14:textId="57AF6DF9" w:rsidR="0033723D" w:rsidRDefault="0033723D" w:rsidP="006A1C35">
          <w:pPr>
            <w:pStyle w:val="Titlucuprins"/>
            <w:spacing w:line="360" w:lineRule="auto"/>
            <w:jc w:val="center"/>
            <w:rPr>
              <w:rFonts w:ascii="Arial" w:hAnsi="Arial" w:cs="Arial"/>
              <w:i/>
              <w:iCs/>
              <w:color w:val="000000" w:themeColor="text1"/>
              <w:sz w:val="32"/>
              <w:szCs w:val="32"/>
            </w:rPr>
          </w:pPr>
          <w:r w:rsidRPr="006A1C35">
            <w:rPr>
              <w:rFonts w:ascii="Arial" w:hAnsi="Arial" w:cs="Arial"/>
              <w:i/>
              <w:iCs/>
              <w:color w:val="000000" w:themeColor="text1"/>
              <w:sz w:val="32"/>
              <w:szCs w:val="32"/>
            </w:rPr>
            <w:t>Table of Contents</w:t>
          </w:r>
        </w:p>
        <w:p w14:paraId="001AC34D" w14:textId="6CD60199" w:rsidR="006A1C35" w:rsidRDefault="006A1C35" w:rsidP="006A1C35">
          <w:pPr>
            <w:rPr>
              <w:lang w:val="en-US"/>
            </w:rPr>
          </w:pPr>
        </w:p>
        <w:p w14:paraId="69082D7C" w14:textId="4DE37D45" w:rsidR="006A1C35" w:rsidRPr="006A1C35" w:rsidRDefault="00115320" w:rsidP="006A1C35">
          <w:pPr>
            <w:rPr>
              <w:b/>
              <w:bCs/>
              <w:lang w:val="en-US"/>
            </w:rPr>
          </w:pPr>
          <w:r>
            <w:rPr>
              <w:b/>
              <w:bCs/>
              <w:lang w:val="en-US"/>
            </w:rPr>
            <w:t xml:space="preserve">      </w:t>
          </w:r>
          <w:r w:rsidR="006A1C35" w:rsidRPr="006A1C35">
            <w:rPr>
              <w:b/>
              <w:bCs/>
              <w:lang w:val="en-US"/>
            </w:rPr>
            <w:t xml:space="preserve">Table of Figures </w:t>
          </w:r>
        </w:p>
        <w:p w14:paraId="2C2D0A43" w14:textId="56EF7073" w:rsidR="006A1C35" w:rsidRPr="006A1C35" w:rsidRDefault="006A1C35" w:rsidP="006A1C35">
          <w:pPr>
            <w:rPr>
              <w:rFonts w:ascii="Arial" w:hAnsi="Arial" w:cs="Arial"/>
              <w:b/>
              <w:bCs/>
              <w:lang w:val="en-US"/>
            </w:rPr>
          </w:pPr>
        </w:p>
        <w:p w14:paraId="65D443A4" w14:textId="531CB7AB" w:rsidR="006A1C35" w:rsidRPr="006A1C35" w:rsidRDefault="006A1C35">
          <w:pPr>
            <w:pStyle w:val="Tabeldefiguri"/>
            <w:tabs>
              <w:tab w:val="right" w:leader="dot" w:pos="8262"/>
            </w:tabs>
            <w:rPr>
              <w:rFonts w:ascii="Arial" w:hAnsi="Arial" w:cs="Arial"/>
              <w:b/>
              <w:bCs/>
              <w:noProof/>
            </w:rPr>
          </w:pPr>
          <w:r w:rsidRPr="006A1C35">
            <w:rPr>
              <w:rFonts w:ascii="Arial" w:hAnsi="Arial" w:cs="Arial"/>
              <w:b/>
              <w:bCs/>
              <w:lang w:val="en-US"/>
            </w:rPr>
            <w:fldChar w:fldCharType="begin"/>
          </w:r>
          <w:r w:rsidRPr="006A1C35">
            <w:rPr>
              <w:rFonts w:ascii="Arial" w:hAnsi="Arial" w:cs="Arial"/>
              <w:b/>
              <w:bCs/>
              <w:lang w:val="en-US"/>
            </w:rPr>
            <w:instrText xml:space="preserve"> TOC \h \z \c "Figure" </w:instrText>
          </w:r>
          <w:r w:rsidRPr="006A1C35">
            <w:rPr>
              <w:rFonts w:ascii="Arial" w:hAnsi="Arial" w:cs="Arial"/>
              <w:b/>
              <w:bCs/>
              <w:lang w:val="en-US"/>
            </w:rPr>
            <w:fldChar w:fldCharType="separate"/>
          </w:r>
          <w:hyperlink w:anchor="_Toc92206153" w:history="1">
            <w:r w:rsidRPr="006A1C35">
              <w:rPr>
                <w:rStyle w:val="Hyperlink"/>
                <w:rFonts w:ascii="Arial" w:hAnsi="Arial" w:cs="Arial"/>
                <w:b/>
                <w:bCs/>
                <w:noProof/>
              </w:rPr>
              <w:t>Figure 1. Employee Value Proposition. Source: Slide Uplift (2021)</w:t>
            </w:r>
            <w:r w:rsidRPr="006A1C35">
              <w:rPr>
                <w:rFonts w:ascii="Arial" w:hAnsi="Arial" w:cs="Arial"/>
                <w:b/>
                <w:bCs/>
                <w:noProof/>
                <w:webHidden/>
              </w:rPr>
              <w:tab/>
            </w:r>
            <w:r w:rsidRPr="006A1C35">
              <w:rPr>
                <w:rFonts w:ascii="Arial" w:hAnsi="Arial" w:cs="Arial"/>
                <w:b/>
                <w:bCs/>
                <w:noProof/>
                <w:webHidden/>
              </w:rPr>
              <w:fldChar w:fldCharType="begin"/>
            </w:r>
            <w:r w:rsidRPr="006A1C35">
              <w:rPr>
                <w:rFonts w:ascii="Arial" w:hAnsi="Arial" w:cs="Arial"/>
                <w:b/>
                <w:bCs/>
                <w:noProof/>
                <w:webHidden/>
              </w:rPr>
              <w:instrText xml:space="preserve"> PAGEREF _Toc92206153 \h </w:instrText>
            </w:r>
            <w:r w:rsidRPr="006A1C35">
              <w:rPr>
                <w:rFonts w:ascii="Arial" w:hAnsi="Arial" w:cs="Arial"/>
                <w:b/>
                <w:bCs/>
                <w:noProof/>
                <w:webHidden/>
              </w:rPr>
            </w:r>
            <w:r w:rsidRPr="006A1C35">
              <w:rPr>
                <w:rFonts w:ascii="Arial" w:hAnsi="Arial" w:cs="Arial"/>
                <w:b/>
                <w:bCs/>
                <w:noProof/>
                <w:webHidden/>
              </w:rPr>
              <w:fldChar w:fldCharType="separate"/>
            </w:r>
            <w:r w:rsidRPr="006A1C35">
              <w:rPr>
                <w:rFonts w:ascii="Arial" w:hAnsi="Arial" w:cs="Arial"/>
                <w:b/>
                <w:bCs/>
                <w:noProof/>
                <w:webHidden/>
              </w:rPr>
              <w:t>10</w:t>
            </w:r>
            <w:r w:rsidRPr="006A1C35">
              <w:rPr>
                <w:rFonts w:ascii="Arial" w:hAnsi="Arial" w:cs="Arial"/>
                <w:b/>
                <w:bCs/>
                <w:noProof/>
                <w:webHidden/>
              </w:rPr>
              <w:fldChar w:fldCharType="end"/>
            </w:r>
          </w:hyperlink>
        </w:p>
        <w:p w14:paraId="3AB9C9E3" w14:textId="1B33C82B" w:rsidR="006A1C35" w:rsidRPr="006A1C35" w:rsidRDefault="006A1C35" w:rsidP="006A1C35">
          <w:pPr>
            <w:rPr>
              <w:rFonts w:ascii="Arial" w:hAnsi="Arial" w:cs="Arial"/>
              <w:b/>
              <w:bCs/>
              <w:lang w:val="en-US"/>
            </w:rPr>
          </w:pPr>
          <w:r w:rsidRPr="006A1C35">
            <w:rPr>
              <w:rFonts w:ascii="Arial" w:hAnsi="Arial" w:cs="Arial"/>
              <w:b/>
              <w:bCs/>
              <w:lang w:val="en-US"/>
            </w:rPr>
            <w:fldChar w:fldCharType="end"/>
          </w:r>
        </w:p>
        <w:p w14:paraId="58745E43" w14:textId="23B28EF2" w:rsidR="006A1C35" w:rsidRPr="006A1C35" w:rsidRDefault="0033723D" w:rsidP="006A1C35">
          <w:pPr>
            <w:pStyle w:val="Cuprins1"/>
            <w:tabs>
              <w:tab w:val="right" w:leader="dot" w:pos="9010"/>
            </w:tabs>
            <w:spacing w:line="360" w:lineRule="auto"/>
            <w:rPr>
              <w:rFonts w:ascii="Arial" w:eastAsiaTheme="minorEastAsia" w:hAnsi="Arial" w:cs="Arial"/>
              <w:i w:val="0"/>
              <w:iCs w:val="0"/>
              <w:noProof/>
              <w:lang w:eastAsia="en-GB"/>
            </w:rPr>
          </w:pPr>
          <w:r w:rsidRPr="006A1C35">
            <w:rPr>
              <w:rFonts w:ascii="Arial" w:hAnsi="Arial" w:cs="Arial"/>
              <w:i w:val="0"/>
              <w:iCs w:val="0"/>
            </w:rPr>
            <w:fldChar w:fldCharType="begin"/>
          </w:r>
          <w:r w:rsidRPr="006A1C35">
            <w:rPr>
              <w:rFonts w:ascii="Arial" w:hAnsi="Arial" w:cs="Arial"/>
              <w:i w:val="0"/>
              <w:iCs w:val="0"/>
            </w:rPr>
            <w:instrText xml:space="preserve"> TOC \o "1-3" \h \z \u </w:instrText>
          </w:r>
          <w:r w:rsidRPr="006A1C35">
            <w:rPr>
              <w:rFonts w:ascii="Arial" w:hAnsi="Arial" w:cs="Arial"/>
              <w:i w:val="0"/>
              <w:iCs w:val="0"/>
            </w:rPr>
            <w:fldChar w:fldCharType="separate"/>
          </w:r>
          <w:hyperlink w:anchor="_Toc92204795" w:history="1">
            <w:r w:rsidR="006A1C35" w:rsidRPr="006A1C35">
              <w:rPr>
                <w:rStyle w:val="Hyperlink"/>
                <w:rFonts w:ascii="Arial" w:hAnsi="Arial" w:cs="Arial"/>
                <w:i w:val="0"/>
                <w:iCs w:val="0"/>
                <w:noProof/>
              </w:rPr>
              <w:t>Introduction</w:t>
            </w:r>
            <w:r w:rsidR="006A1C35" w:rsidRPr="006A1C35">
              <w:rPr>
                <w:rFonts w:ascii="Arial" w:hAnsi="Arial" w:cs="Arial"/>
                <w:i w:val="0"/>
                <w:iCs w:val="0"/>
                <w:noProof/>
                <w:webHidden/>
              </w:rPr>
              <w:tab/>
            </w:r>
            <w:r w:rsidR="006A1C35" w:rsidRPr="006A1C35">
              <w:rPr>
                <w:rFonts w:ascii="Arial" w:hAnsi="Arial" w:cs="Arial"/>
                <w:i w:val="0"/>
                <w:iCs w:val="0"/>
                <w:noProof/>
                <w:webHidden/>
              </w:rPr>
              <w:fldChar w:fldCharType="begin"/>
            </w:r>
            <w:r w:rsidR="006A1C35" w:rsidRPr="006A1C35">
              <w:rPr>
                <w:rFonts w:ascii="Arial" w:hAnsi="Arial" w:cs="Arial"/>
                <w:i w:val="0"/>
                <w:iCs w:val="0"/>
                <w:noProof/>
                <w:webHidden/>
              </w:rPr>
              <w:instrText xml:space="preserve"> PAGEREF _Toc92204795 \h </w:instrText>
            </w:r>
            <w:r w:rsidR="006A1C35" w:rsidRPr="006A1C35">
              <w:rPr>
                <w:rFonts w:ascii="Arial" w:hAnsi="Arial" w:cs="Arial"/>
                <w:i w:val="0"/>
                <w:iCs w:val="0"/>
                <w:noProof/>
                <w:webHidden/>
              </w:rPr>
            </w:r>
            <w:r w:rsidR="006A1C35" w:rsidRPr="006A1C35">
              <w:rPr>
                <w:rFonts w:ascii="Arial" w:hAnsi="Arial" w:cs="Arial"/>
                <w:i w:val="0"/>
                <w:iCs w:val="0"/>
                <w:noProof/>
                <w:webHidden/>
              </w:rPr>
              <w:fldChar w:fldCharType="separate"/>
            </w:r>
            <w:r w:rsidR="006A1C35" w:rsidRPr="006A1C35">
              <w:rPr>
                <w:rFonts w:ascii="Arial" w:hAnsi="Arial" w:cs="Arial"/>
                <w:i w:val="0"/>
                <w:iCs w:val="0"/>
                <w:noProof/>
                <w:webHidden/>
              </w:rPr>
              <w:t>3</w:t>
            </w:r>
            <w:r w:rsidR="006A1C35" w:rsidRPr="006A1C35">
              <w:rPr>
                <w:rFonts w:ascii="Arial" w:hAnsi="Arial" w:cs="Arial"/>
                <w:i w:val="0"/>
                <w:iCs w:val="0"/>
                <w:noProof/>
                <w:webHidden/>
              </w:rPr>
              <w:fldChar w:fldCharType="end"/>
            </w:r>
          </w:hyperlink>
        </w:p>
        <w:p w14:paraId="03511D11" w14:textId="5E46C5F9" w:rsidR="006A1C35" w:rsidRPr="006A1C35" w:rsidRDefault="004E002A" w:rsidP="006A1C35">
          <w:pPr>
            <w:pStyle w:val="Cuprins1"/>
            <w:tabs>
              <w:tab w:val="right" w:leader="dot" w:pos="9010"/>
            </w:tabs>
            <w:spacing w:line="360" w:lineRule="auto"/>
            <w:rPr>
              <w:rFonts w:ascii="Arial" w:eastAsiaTheme="minorEastAsia" w:hAnsi="Arial" w:cs="Arial"/>
              <w:i w:val="0"/>
              <w:iCs w:val="0"/>
              <w:noProof/>
              <w:lang w:eastAsia="en-GB"/>
            </w:rPr>
          </w:pPr>
          <w:hyperlink w:anchor="_Toc92204796" w:history="1">
            <w:r w:rsidR="006A1C35" w:rsidRPr="006A1C35">
              <w:rPr>
                <w:rStyle w:val="Hyperlink"/>
                <w:rFonts w:ascii="Arial" w:hAnsi="Arial" w:cs="Arial"/>
                <w:i w:val="0"/>
                <w:iCs w:val="0"/>
                <w:noProof/>
              </w:rPr>
              <w:t>Employee engagement</w:t>
            </w:r>
            <w:r w:rsidR="006A1C35" w:rsidRPr="006A1C35">
              <w:rPr>
                <w:rFonts w:ascii="Arial" w:hAnsi="Arial" w:cs="Arial"/>
                <w:i w:val="0"/>
                <w:iCs w:val="0"/>
                <w:noProof/>
                <w:webHidden/>
              </w:rPr>
              <w:tab/>
            </w:r>
            <w:r w:rsidR="006A1C35" w:rsidRPr="006A1C35">
              <w:rPr>
                <w:rFonts w:ascii="Arial" w:hAnsi="Arial" w:cs="Arial"/>
                <w:i w:val="0"/>
                <w:iCs w:val="0"/>
                <w:noProof/>
                <w:webHidden/>
              </w:rPr>
              <w:fldChar w:fldCharType="begin"/>
            </w:r>
            <w:r w:rsidR="006A1C35" w:rsidRPr="006A1C35">
              <w:rPr>
                <w:rFonts w:ascii="Arial" w:hAnsi="Arial" w:cs="Arial"/>
                <w:i w:val="0"/>
                <w:iCs w:val="0"/>
                <w:noProof/>
                <w:webHidden/>
              </w:rPr>
              <w:instrText xml:space="preserve"> PAGEREF _Toc92204796 \h </w:instrText>
            </w:r>
            <w:r w:rsidR="006A1C35" w:rsidRPr="006A1C35">
              <w:rPr>
                <w:rFonts w:ascii="Arial" w:hAnsi="Arial" w:cs="Arial"/>
                <w:i w:val="0"/>
                <w:iCs w:val="0"/>
                <w:noProof/>
                <w:webHidden/>
              </w:rPr>
            </w:r>
            <w:r w:rsidR="006A1C35" w:rsidRPr="006A1C35">
              <w:rPr>
                <w:rFonts w:ascii="Arial" w:hAnsi="Arial" w:cs="Arial"/>
                <w:i w:val="0"/>
                <w:iCs w:val="0"/>
                <w:noProof/>
                <w:webHidden/>
              </w:rPr>
              <w:fldChar w:fldCharType="separate"/>
            </w:r>
            <w:r w:rsidR="006A1C35" w:rsidRPr="006A1C35">
              <w:rPr>
                <w:rFonts w:ascii="Arial" w:hAnsi="Arial" w:cs="Arial"/>
                <w:i w:val="0"/>
                <w:iCs w:val="0"/>
                <w:noProof/>
                <w:webHidden/>
              </w:rPr>
              <w:t>4</w:t>
            </w:r>
            <w:r w:rsidR="006A1C35" w:rsidRPr="006A1C35">
              <w:rPr>
                <w:rFonts w:ascii="Arial" w:hAnsi="Arial" w:cs="Arial"/>
                <w:i w:val="0"/>
                <w:iCs w:val="0"/>
                <w:noProof/>
                <w:webHidden/>
              </w:rPr>
              <w:fldChar w:fldCharType="end"/>
            </w:r>
          </w:hyperlink>
        </w:p>
        <w:p w14:paraId="59D4B7CB" w14:textId="287DABD5" w:rsidR="006A1C35" w:rsidRPr="006A1C35" w:rsidRDefault="004E002A" w:rsidP="006A1C35">
          <w:pPr>
            <w:pStyle w:val="Cuprins2"/>
            <w:tabs>
              <w:tab w:val="right" w:leader="dot" w:pos="9010"/>
            </w:tabs>
            <w:spacing w:line="360" w:lineRule="auto"/>
            <w:rPr>
              <w:rFonts w:ascii="Arial" w:eastAsiaTheme="minorEastAsia" w:hAnsi="Arial" w:cs="Arial"/>
              <w:noProof/>
              <w:sz w:val="24"/>
              <w:szCs w:val="24"/>
              <w:lang w:eastAsia="en-GB"/>
            </w:rPr>
          </w:pPr>
          <w:hyperlink w:anchor="_Toc92204797" w:history="1">
            <w:r w:rsidR="006A1C35" w:rsidRPr="006A1C35">
              <w:rPr>
                <w:rStyle w:val="Hyperlink"/>
                <w:rFonts w:ascii="Arial" w:hAnsi="Arial" w:cs="Arial"/>
                <w:noProof/>
              </w:rPr>
              <w:t>The concept</w:t>
            </w:r>
            <w:r w:rsidR="006A1C35" w:rsidRPr="006A1C35">
              <w:rPr>
                <w:rFonts w:ascii="Arial" w:hAnsi="Arial" w:cs="Arial"/>
                <w:noProof/>
                <w:webHidden/>
              </w:rPr>
              <w:tab/>
            </w:r>
            <w:r w:rsidR="006A1C35" w:rsidRPr="006A1C35">
              <w:rPr>
                <w:rFonts w:ascii="Arial" w:hAnsi="Arial" w:cs="Arial"/>
                <w:noProof/>
                <w:webHidden/>
              </w:rPr>
              <w:fldChar w:fldCharType="begin"/>
            </w:r>
            <w:r w:rsidR="006A1C35" w:rsidRPr="006A1C35">
              <w:rPr>
                <w:rFonts w:ascii="Arial" w:hAnsi="Arial" w:cs="Arial"/>
                <w:noProof/>
                <w:webHidden/>
              </w:rPr>
              <w:instrText xml:space="preserve"> PAGEREF _Toc92204797 \h </w:instrText>
            </w:r>
            <w:r w:rsidR="006A1C35" w:rsidRPr="006A1C35">
              <w:rPr>
                <w:rFonts w:ascii="Arial" w:hAnsi="Arial" w:cs="Arial"/>
                <w:noProof/>
                <w:webHidden/>
              </w:rPr>
            </w:r>
            <w:r w:rsidR="006A1C35" w:rsidRPr="006A1C35">
              <w:rPr>
                <w:rFonts w:ascii="Arial" w:hAnsi="Arial" w:cs="Arial"/>
                <w:noProof/>
                <w:webHidden/>
              </w:rPr>
              <w:fldChar w:fldCharType="separate"/>
            </w:r>
            <w:r w:rsidR="006A1C35" w:rsidRPr="006A1C35">
              <w:rPr>
                <w:rFonts w:ascii="Arial" w:hAnsi="Arial" w:cs="Arial"/>
                <w:noProof/>
                <w:webHidden/>
              </w:rPr>
              <w:t>4</w:t>
            </w:r>
            <w:r w:rsidR="006A1C35" w:rsidRPr="006A1C35">
              <w:rPr>
                <w:rFonts w:ascii="Arial" w:hAnsi="Arial" w:cs="Arial"/>
                <w:noProof/>
                <w:webHidden/>
              </w:rPr>
              <w:fldChar w:fldCharType="end"/>
            </w:r>
          </w:hyperlink>
        </w:p>
        <w:p w14:paraId="509BBD71" w14:textId="44097F72" w:rsidR="006A1C35" w:rsidRPr="006A1C35" w:rsidRDefault="004E002A" w:rsidP="006A1C35">
          <w:pPr>
            <w:pStyle w:val="Cuprins2"/>
            <w:tabs>
              <w:tab w:val="right" w:leader="dot" w:pos="9010"/>
            </w:tabs>
            <w:spacing w:line="360" w:lineRule="auto"/>
            <w:rPr>
              <w:rFonts w:ascii="Arial" w:eastAsiaTheme="minorEastAsia" w:hAnsi="Arial" w:cs="Arial"/>
              <w:noProof/>
              <w:sz w:val="24"/>
              <w:szCs w:val="24"/>
              <w:lang w:eastAsia="en-GB"/>
            </w:rPr>
          </w:pPr>
          <w:hyperlink w:anchor="_Toc92204798" w:history="1">
            <w:r w:rsidR="006A1C35" w:rsidRPr="006A1C35">
              <w:rPr>
                <w:rStyle w:val="Hyperlink"/>
                <w:rFonts w:ascii="Arial" w:hAnsi="Arial" w:cs="Arial"/>
                <w:noProof/>
              </w:rPr>
              <w:t>The employee engagement drivers</w:t>
            </w:r>
            <w:r w:rsidR="006A1C35" w:rsidRPr="006A1C35">
              <w:rPr>
                <w:rFonts w:ascii="Arial" w:hAnsi="Arial" w:cs="Arial"/>
                <w:noProof/>
                <w:webHidden/>
              </w:rPr>
              <w:tab/>
            </w:r>
            <w:r w:rsidR="006A1C35" w:rsidRPr="006A1C35">
              <w:rPr>
                <w:rFonts w:ascii="Arial" w:hAnsi="Arial" w:cs="Arial"/>
                <w:noProof/>
                <w:webHidden/>
              </w:rPr>
              <w:fldChar w:fldCharType="begin"/>
            </w:r>
            <w:r w:rsidR="006A1C35" w:rsidRPr="006A1C35">
              <w:rPr>
                <w:rFonts w:ascii="Arial" w:hAnsi="Arial" w:cs="Arial"/>
                <w:noProof/>
                <w:webHidden/>
              </w:rPr>
              <w:instrText xml:space="preserve"> PAGEREF _Toc92204798 \h </w:instrText>
            </w:r>
            <w:r w:rsidR="006A1C35" w:rsidRPr="006A1C35">
              <w:rPr>
                <w:rFonts w:ascii="Arial" w:hAnsi="Arial" w:cs="Arial"/>
                <w:noProof/>
                <w:webHidden/>
              </w:rPr>
            </w:r>
            <w:r w:rsidR="006A1C35" w:rsidRPr="006A1C35">
              <w:rPr>
                <w:rFonts w:ascii="Arial" w:hAnsi="Arial" w:cs="Arial"/>
                <w:noProof/>
                <w:webHidden/>
              </w:rPr>
              <w:fldChar w:fldCharType="separate"/>
            </w:r>
            <w:r w:rsidR="006A1C35" w:rsidRPr="006A1C35">
              <w:rPr>
                <w:rFonts w:ascii="Arial" w:hAnsi="Arial" w:cs="Arial"/>
                <w:noProof/>
                <w:webHidden/>
              </w:rPr>
              <w:t>4</w:t>
            </w:r>
            <w:r w:rsidR="006A1C35" w:rsidRPr="006A1C35">
              <w:rPr>
                <w:rFonts w:ascii="Arial" w:hAnsi="Arial" w:cs="Arial"/>
                <w:noProof/>
                <w:webHidden/>
              </w:rPr>
              <w:fldChar w:fldCharType="end"/>
            </w:r>
          </w:hyperlink>
        </w:p>
        <w:p w14:paraId="01BF689A" w14:textId="74B0514A" w:rsidR="006A1C35" w:rsidRPr="006A1C35" w:rsidRDefault="004E002A" w:rsidP="006A1C35">
          <w:pPr>
            <w:pStyle w:val="Cuprins1"/>
            <w:tabs>
              <w:tab w:val="right" w:leader="dot" w:pos="9010"/>
            </w:tabs>
            <w:spacing w:line="360" w:lineRule="auto"/>
            <w:rPr>
              <w:rFonts w:ascii="Arial" w:eastAsiaTheme="minorEastAsia" w:hAnsi="Arial" w:cs="Arial"/>
              <w:i w:val="0"/>
              <w:iCs w:val="0"/>
              <w:noProof/>
              <w:lang w:eastAsia="en-GB"/>
            </w:rPr>
          </w:pPr>
          <w:hyperlink w:anchor="_Toc92204799" w:history="1">
            <w:r w:rsidR="006A1C35" w:rsidRPr="006A1C35">
              <w:rPr>
                <w:rStyle w:val="Hyperlink"/>
                <w:rFonts w:ascii="Arial" w:hAnsi="Arial" w:cs="Arial"/>
                <w:i w:val="0"/>
                <w:iCs w:val="0"/>
                <w:noProof/>
              </w:rPr>
              <w:t>Measuring employee engagement and performance</w:t>
            </w:r>
            <w:r w:rsidR="006A1C35" w:rsidRPr="006A1C35">
              <w:rPr>
                <w:rFonts w:ascii="Arial" w:hAnsi="Arial" w:cs="Arial"/>
                <w:i w:val="0"/>
                <w:iCs w:val="0"/>
                <w:noProof/>
                <w:webHidden/>
              </w:rPr>
              <w:tab/>
            </w:r>
            <w:r w:rsidR="006A1C35" w:rsidRPr="006A1C35">
              <w:rPr>
                <w:rFonts w:ascii="Arial" w:hAnsi="Arial" w:cs="Arial"/>
                <w:i w:val="0"/>
                <w:iCs w:val="0"/>
                <w:noProof/>
                <w:webHidden/>
              </w:rPr>
              <w:fldChar w:fldCharType="begin"/>
            </w:r>
            <w:r w:rsidR="006A1C35" w:rsidRPr="006A1C35">
              <w:rPr>
                <w:rFonts w:ascii="Arial" w:hAnsi="Arial" w:cs="Arial"/>
                <w:i w:val="0"/>
                <w:iCs w:val="0"/>
                <w:noProof/>
                <w:webHidden/>
              </w:rPr>
              <w:instrText xml:space="preserve"> PAGEREF _Toc92204799 \h </w:instrText>
            </w:r>
            <w:r w:rsidR="006A1C35" w:rsidRPr="006A1C35">
              <w:rPr>
                <w:rFonts w:ascii="Arial" w:hAnsi="Arial" w:cs="Arial"/>
                <w:i w:val="0"/>
                <w:iCs w:val="0"/>
                <w:noProof/>
                <w:webHidden/>
              </w:rPr>
            </w:r>
            <w:r w:rsidR="006A1C35" w:rsidRPr="006A1C35">
              <w:rPr>
                <w:rFonts w:ascii="Arial" w:hAnsi="Arial" w:cs="Arial"/>
                <w:i w:val="0"/>
                <w:iCs w:val="0"/>
                <w:noProof/>
                <w:webHidden/>
              </w:rPr>
              <w:fldChar w:fldCharType="separate"/>
            </w:r>
            <w:r w:rsidR="006A1C35" w:rsidRPr="006A1C35">
              <w:rPr>
                <w:rFonts w:ascii="Arial" w:hAnsi="Arial" w:cs="Arial"/>
                <w:i w:val="0"/>
                <w:iCs w:val="0"/>
                <w:noProof/>
                <w:webHidden/>
              </w:rPr>
              <w:t>6</w:t>
            </w:r>
            <w:r w:rsidR="006A1C35" w:rsidRPr="006A1C35">
              <w:rPr>
                <w:rFonts w:ascii="Arial" w:hAnsi="Arial" w:cs="Arial"/>
                <w:i w:val="0"/>
                <w:iCs w:val="0"/>
                <w:noProof/>
                <w:webHidden/>
              </w:rPr>
              <w:fldChar w:fldCharType="end"/>
            </w:r>
          </w:hyperlink>
        </w:p>
        <w:p w14:paraId="271C998A" w14:textId="5C3351B1" w:rsidR="006A1C35" w:rsidRPr="006A1C35" w:rsidRDefault="004E002A" w:rsidP="006A1C35">
          <w:pPr>
            <w:pStyle w:val="Cuprins2"/>
            <w:tabs>
              <w:tab w:val="right" w:leader="dot" w:pos="9010"/>
            </w:tabs>
            <w:spacing w:line="360" w:lineRule="auto"/>
            <w:rPr>
              <w:rFonts w:ascii="Arial" w:eastAsiaTheme="minorEastAsia" w:hAnsi="Arial" w:cs="Arial"/>
              <w:noProof/>
              <w:sz w:val="24"/>
              <w:szCs w:val="24"/>
              <w:lang w:eastAsia="en-GB"/>
            </w:rPr>
          </w:pPr>
          <w:hyperlink w:anchor="_Toc92204800" w:history="1">
            <w:r w:rsidR="006A1C35" w:rsidRPr="006A1C35">
              <w:rPr>
                <w:rStyle w:val="Hyperlink"/>
                <w:rFonts w:ascii="Arial" w:hAnsi="Arial" w:cs="Arial"/>
                <w:noProof/>
              </w:rPr>
              <w:t>Measures applied at Orbis</w:t>
            </w:r>
            <w:r w:rsidR="006A1C35" w:rsidRPr="006A1C35">
              <w:rPr>
                <w:rFonts w:ascii="Arial" w:hAnsi="Arial" w:cs="Arial"/>
                <w:noProof/>
                <w:webHidden/>
              </w:rPr>
              <w:tab/>
            </w:r>
            <w:r w:rsidR="006A1C35" w:rsidRPr="006A1C35">
              <w:rPr>
                <w:rFonts w:ascii="Arial" w:hAnsi="Arial" w:cs="Arial"/>
                <w:noProof/>
                <w:webHidden/>
              </w:rPr>
              <w:fldChar w:fldCharType="begin"/>
            </w:r>
            <w:r w:rsidR="006A1C35" w:rsidRPr="006A1C35">
              <w:rPr>
                <w:rFonts w:ascii="Arial" w:hAnsi="Arial" w:cs="Arial"/>
                <w:noProof/>
                <w:webHidden/>
              </w:rPr>
              <w:instrText xml:space="preserve"> PAGEREF _Toc92204800 \h </w:instrText>
            </w:r>
            <w:r w:rsidR="006A1C35" w:rsidRPr="006A1C35">
              <w:rPr>
                <w:rFonts w:ascii="Arial" w:hAnsi="Arial" w:cs="Arial"/>
                <w:noProof/>
                <w:webHidden/>
              </w:rPr>
            </w:r>
            <w:r w:rsidR="006A1C35" w:rsidRPr="006A1C35">
              <w:rPr>
                <w:rFonts w:ascii="Arial" w:hAnsi="Arial" w:cs="Arial"/>
                <w:noProof/>
                <w:webHidden/>
              </w:rPr>
              <w:fldChar w:fldCharType="separate"/>
            </w:r>
            <w:r w:rsidR="006A1C35" w:rsidRPr="006A1C35">
              <w:rPr>
                <w:rFonts w:ascii="Arial" w:hAnsi="Arial" w:cs="Arial"/>
                <w:noProof/>
                <w:webHidden/>
              </w:rPr>
              <w:t>6</w:t>
            </w:r>
            <w:r w:rsidR="006A1C35" w:rsidRPr="006A1C35">
              <w:rPr>
                <w:rFonts w:ascii="Arial" w:hAnsi="Arial" w:cs="Arial"/>
                <w:noProof/>
                <w:webHidden/>
              </w:rPr>
              <w:fldChar w:fldCharType="end"/>
            </w:r>
          </w:hyperlink>
        </w:p>
        <w:p w14:paraId="0F3B0274" w14:textId="543B4569" w:rsidR="006A1C35" w:rsidRPr="006A1C35" w:rsidRDefault="004E002A" w:rsidP="006A1C35">
          <w:pPr>
            <w:pStyle w:val="Cuprins2"/>
            <w:tabs>
              <w:tab w:val="right" w:leader="dot" w:pos="9010"/>
            </w:tabs>
            <w:spacing w:line="360" w:lineRule="auto"/>
            <w:rPr>
              <w:rFonts w:ascii="Arial" w:eastAsiaTheme="minorEastAsia" w:hAnsi="Arial" w:cs="Arial"/>
              <w:noProof/>
              <w:sz w:val="24"/>
              <w:szCs w:val="24"/>
              <w:lang w:eastAsia="en-GB"/>
            </w:rPr>
          </w:pPr>
          <w:hyperlink w:anchor="_Toc92204801" w:history="1">
            <w:r w:rsidR="006A1C35" w:rsidRPr="006A1C35">
              <w:rPr>
                <w:rStyle w:val="Hyperlink"/>
                <w:rFonts w:ascii="Arial" w:hAnsi="Arial" w:cs="Arial"/>
                <w:noProof/>
              </w:rPr>
              <w:t>Tools to measure performance</w:t>
            </w:r>
            <w:r w:rsidR="006A1C35" w:rsidRPr="006A1C35">
              <w:rPr>
                <w:rFonts w:ascii="Arial" w:hAnsi="Arial" w:cs="Arial"/>
                <w:noProof/>
                <w:webHidden/>
              </w:rPr>
              <w:tab/>
            </w:r>
            <w:r w:rsidR="006A1C35" w:rsidRPr="006A1C35">
              <w:rPr>
                <w:rFonts w:ascii="Arial" w:hAnsi="Arial" w:cs="Arial"/>
                <w:noProof/>
                <w:webHidden/>
              </w:rPr>
              <w:fldChar w:fldCharType="begin"/>
            </w:r>
            <w:r w:rsidR="006A1C35" w:rsidRPr="006A1C35">
              <w:rPr>
                <w:rFonts w:ascii="Arial" w:hAnsi="Arial" w:cs="Arial"/>
                <w:noProof/>
                <w:webHidden/>
              </w:rPr>
              <w:instrText xml:space="preserve"> PAGEREF _Toc92204801 \h </w:instrText>
            </w:r>
            <w:r w:rsidR="006A1C35" w:rsidRPr="006A1C35">
              <w:rPr>
                <w:rFonts w:ascii="Arial" w:hAnsi="Arial" w:cs="Arial"/>
                <w:noProof/>
                <w:webHidden/>
              </w:rPr>
            </w:r>
            <w:r w:rsidR="006A1C35" w:rsidRPr="006A1C35">
              <w:rPr>
                <w:rFonts w:ascii="Arial" w:hAnsi="Arial" w:cs="Arial"/>
                <w:noProof/>
                <w:webHidden/>
              </w:rPr>
              <w:fldChar w:fldCharType="separate"/>
            </w:r>
            <w:r w:rsidR="006A1C35" w:rsidRPr="006A1C35">
              <w:rPr>
                <w:rFonts w:ascii="Arial" w:hAnsi="Arial" w:cs="Arial"/>
                <w:noProof/>
                <w:webHidden/>
              </w:rPr>
              <w:t>6</w:t>
            </w:r>
            <w:r w:rsidR="006A1C35" w:rsidRPr="006A1C35">
              <w:rPr>
                <w:rFonts w:ascii="Arial" w:hAnsi="Arial" w:cs="Arial"/>
                <w:noProof/>
                <w:webHidden/>
              </w:rPr>
              <w:fldChar w:fldCharType="end"/>
            </w:r>
          </w:hyperlink>
        </w:p>
        <w:p w14:paraId="65D9D2E9" w14:textId="4E1FB05F" w:rsidR="006A1C35" w:rsidRPr="006A1C35" w:rsidRDefault="004E002A" w:rsidP="006A1C35">
          <w:pPr>
            <w:pStyle w:val="Cuprins2"/>
            <w:tabs>
              <w:tab w:val="right" w:leader="dot" w:pos="9010"/>
            </w:tabs>
            <w:spacing w:line="360" w:lineRule="auto"/>
            <w:rPr>
              <w:rFonts w:ascii="Arial" w:eastAsiaTheme="minorEastAsia" w:hAnsi="Arial" w:cs="Arial"/>
              <w:noProof/>
              <w:sz w:val="24"/>
              <w:szCs w:val="24"/>
              <w:lang w:eastAsia="en-GB"/>
            </w:rPr>
          </w:pPr>
          <w:hyperlink w:anchor="_Toc92204802" w:history="1">
            <w:r w:rsidR="006A1C35" w:rsidRPr="006A1C35">
              <w:rPr>
                <w:rStyle w:val="Hyperlink"/>
                <w:rFonts w:ascii="Arial" w:hAnsi="Arial" w:cs="Arial"/>
                <w:noProof/>
              </w:rPr>
              <w:t>Measuring engagement</w:t>
            </w:r>
            <w:r w:rsidR="006A1C35" w:rsidRPr="006A1C35">
              <w:rPr>
                <w:rFonts w:ascii="Arial" w:hAnsi="Arial" w:cs="Arial"/>
                <w:noProof/>
                <w:webHidden/>
              </w:rPr>
              <w:tab/>
            </w:r>
            <w:r w:rsidR="006A1C35" w:rsidRPr="006A1C35">
              <w:rPr>
                <w:rFonts w:ascii="Arial" w:hAnsi="Arial" w:cs="Arial"/>
                <w:noProof/>
                <w:webHidden/>
              </w:rPr>
              <w:fldChar w:fldCharType="begin"/>
            </w:r>
            <w:r w:rsidR="006A1C35" w:rsidRPr="006A1C35">
              <w:rPr>
                <w:rFonts w:ascii="Arial" w:hAnsi="Arial" w:cs="Arial"/>
                <w:noProof/>
                <w:webHidden/>
              </w:rPr>
              <w:instrText xml:space="preserve"> PAGEREF _Toc92204802 \h </w:instrText>
            </w:r>
            <w:r w:rsidR="006A1C35" w:rsidRPr="006A1C35">
              <w:rPr>
                <w:rFonts w:ascii="Arial" w:hAnsi="Arial" w:cs="Arial"/>
                <w:noProof/>
                <w:webHidden/>
              </w:rPr>
            </w:r>
            <w:r w:rsidR="006A1C35" w:rsidRPr="006A1C35">
              <w:rPr>
                <w:rFonts w:ascii="Arial" w:hAnsi="Arial" w:cs="Arial"/>
                <w:noProof/>
                <w:webHidden/>
              </w:rPr>
              <w:fldChar w:fldCharType="separate"/>
            </w:r>
            <w:r w:rsidR="006A1C35" w:rsidRPr="006A1C35">
              <w:rPr>
                <w:rFonts w:ascii="Arial" w:hAnsi="Arial" w:cs="Arial"/>
                <w:noProof/>
                <w:webHidden/>
              </w:rPr>
              <w:t>7</w:t>
            </w:r>
            <w:r w:rsidR="006A1C35" w:rsidRPr="006A1C35">
              <w:rPr>
                <w:rFonts w:ascii="Arial" w:hAnsi="Arial" w:cs="Arial"/>
                <w:noProof/>
                <w:webHidden/>
              </w:rPr>
              <w:fldChar w:fldCharType="end"/>
            </w:r>
          </w:hyperlink>
        </w:p>
        <w:p w14:paraId="707D2C61" w14:textId="2C93E984" w:rsidR="006A1C35" w:rsidRPr="006A1C35" w:rsidRDefault="004E002A" w:rsidP="006A1C35">
          <w:pPr>
            <w:pStyle w:val="Cuprins1"/>
            <w:tabs>
              <w:tab w:val="right" w:leader="dot" w:pos="9010"/>
            </w:tabs>
            <w:spacing w:line="360" w:lineRule="auto"/>
            <w:rPr>
              <w:rFonts w:ascii="Arial" w:eastAsiaTheme="minorEastAsia" w:hAnsi="Arial" w:cs="Arial"/>
              <w:i w:val="0"/>
              <w:iCs w:val="0"/>
              <w:noProof/>
              <w:lang w:eastAsia="en-GB"/>
            </w:rPr>
          </w:pPr>
          <w:hyperlink w:anchor="_Toc92204803" w:history="1">
            <w:r w:rsidR="006A1C35" w:rsidRPr="006A1C35">
              <w:rPr>
                <w:rStyle w:val="Hyperlink"/>
                <w:rFonts w:ascii="Arial" w:eastAsia="Times New Roman" w:hAnsi="Arial" w:cs="Arial"/>
                <w:i w:val="0"/>
                <w:iCs w:val="0"/>
                <w:noProof/>
                <w:lang w:eastAsia="en-GB"/>
              </w:rPr>
              <w:t>Methods to raise levels of employee engagement within Orbis protect</w:t>
            </w:r>
            <w:r w:rsidR="006A1C35" w:rsidRPr="006A1C35">
              <w:rPr>
                <w:rFonts w:ascii="Arial" w:hAnsi="Arial" w:cs="Arial"/>
                <w:i w:val="0"/>
                <w:iCs w:val="0"/>
                <w:noProof/>
                <w:webHidden/>
              </w:rPr>
              <w:tab/>
            </w:r>
            <w:r w:rsidR="006A1C35" w:rsidRPr="006A1C35">
              <w:rPr>
                <w:rFonts w:ascii="Arial" w:hAnsi="Arial" w:cs="Arial"/>
                <w:i w:val="0"/>
                <w:iCs w:val="0"/>
                <w:noProof/>
                <w:webHidden/>
              </w:rPr>
              <w:fldChar w:fldCharType="begin"/>
            </w:r>
            <w:r w:rsidR="006A1C35" w:rsidRPr="006A1C35">
              <w:rPr>
                <w:rFonts w:ascii="Arial" w:hAnsi="Arial" w:cs="Arial"/>
                <w:i w:val="0"/>
                <w:iCs w:val="0"/>
                <w:noProof/>
                <w:webHidden/>
              </w:rPr>
              <w:instrText xml:space="preserve"> PAGEREF _Toc92204803 \h </w:instrText>
            </w:r>
            <w:r w:rsidR="006A1C35" w:rsidRPr="006A1C35">
              <w:rPr>
                <w:rFonts w:ascii="Arial" w:hAnsi="Arial" w:cs="Arial"/>
                <w:i w:val="0"/>
                <w:iCs w:val="0"/>
                <w:noProof/>
                <w:webHidden/>
              </w:rPr>
            </w:r>
            <w:r w:rsidR="006A1C35" w:rsidRPr="006A1C35">
              <w:rPr>
                <w:rFonts w:ascii="Arial" w:hAnsi="Arial" w:cs="Arial"/>
                <w:i w:val="0"/>
                <w:iCs w:val="0"/>
                <w:noProof/>
                <w:webHidden/>
              </w:rPr>
              <w:fldChar w:fldCharType="separate"/>
            </w:r>
            <w:r w:rsidR="006A1C35" w:rsidRPr="006A1C35">
              <w:rPr>
                <w:rFonts w:ascii="Arial" w:hAnsi="Arial" w:cs="Arial"/>
                <w:i w:val="0"/>
                <w:iCs w:val="0"/>
                <w:noProof/>
                <w:webHidden/>
              </w:rPr>
              <w:t>8</w:t>
            </w:r>
            <w:r w:rsidR="006A1C35" w:rsidRPr="006A1C35">
              <w:rPr>
                <w:rFonts w:ascii="Arial" w:hAnsi="Arial" w:cs="Arial"/>
                <w:i w:val="0"/>
                <w:iCs w:val="0"/>
                <w:noProof/>
                <w:webHidden/>
              </w:rPr>
              <w:fldChar w:fldCharType="end"/>
            </w:r>
          </w:hyperlink>
        </w:p>
        <w:p w14:paraId="0D1C691F" w14:textId="3B84810D" w:rsidR="006A1C35" w:rsidRPr="006A1C35" w:rsidRDefault="004E002A" w:rsidP="006A1C35">
          <w:pPr>
            <w:pStyle w:val="Cuprins2"/>
            <w:tabs>
              <w:tab w:val="right" w:leader="dot" w:pos="9010"/>
            </w:tabs>
            <w:spacing w:line="360" w:lineRule="auto"/>
            <w:rPr>
              <w:rFonts w:ascii="Arial" w:eastAsiaTheme="minorEastAsia" w:hAnsi="Arial" w:cs="Arial"/>
              <w:noProof/>
              <w:sz w:val="24"/>
              <w:szCs w:val="24"/>
              <w:lang w:eastAsia="en-GB"/>
            </w:rPr>
          </w:pPr>
          <w:hyperlink w:anchor="_Toc92204804" w:history="1">
            <w:r w:rsidR="006A1C35" w:rsidRPr="006A1C35">
              <w:rPr>
                <w:rStyle w:val="Hyperlink"/>
                <w:rFonts w:ascii="Arial" w:hAnsi="Arial" w:cs="Arial"/>
                <w:noProof/>
                <w:lang w:eastAsia="en-GB"/>
              </w:rPr>
              <w:t>Tips to raise engagement</w:t>
            </w:r>
            <w:r w:rsidR="006A1C35" w:rsidRPr="006A1C35">
              <w:rPr>
                <w:rFonts w:ascii="Arial" w:hAnsi="Arial" w:cs="Arial"/>
                <w:noProof/>
                <w:webHidden/>
              </w:rPr>
              <w:tab/>
            </w:r>
            <w:r w:rsidR="006A1C35" w:rsidRPr="006A1C35">
              <w:rPr>
                <w:rFonts w:ascii="Arial" w:hAnsi="Arial" w:cs="Arial"/>
                <w:noProof/>
                <w:webHidden/>
              </w:rPr>
              <w:fldChar w:fldCharType="begin"/>
            </w:r>
            <w:r w:rsidR="006A1C35" w:rsidRPr="006A1C35">
              <w:rPr>
                <w:rFonts w:ascii="Arial" w:hAnsi="Arial" w:cs="Arial"/>
                <w:noProof/>
                <w:webHidden/>
              </w:rPr>
              <w:instrText xml:space="preserve"> PAGEREF _Toc92204804 \h </w:instrText>
            </w:r>
            <w:r w:rsidR="006A1C35" w:rsidRPr="006A1C35">
              <w:rPr>
                <w:rFonts w:ascii="Arial" w:hAnsi="Arial" w:cs="Arial"/>
                <w:noProof/>
                <w:webHidden/>
              </w:rPr>
            </w:r>
            <w:r w:rsidR="006A1C35" w:rsidRPr="006A1C35">
              <w:rPr>
                <w:rFonts w:ascii="Arial" w:hAnsi="Arial" w:cs="Arial"/>
                <w:noProof/>
                <w:webHidden/>
              </w:rPr>
              <w:fldChar w:fldCharType="separate"/>
            </w:r>
            <w:r w:rsidR="006A1C35" w:rsidRPr="006A1C35">
              <w:rPr>
                <w:rFonts w:ascii="Arial" w:hAnsi="Arial" w:cs="Arial"/>
                <w:noProof/>
                <w:webHidden/>
              </w:rPr>
              <w:t>8</w:t>
            </w:r>
            <w:r w:rsidR="006A1C35" w:rsidRPr="006A1C35">
              <w:rPr>
                <w:rFonts w:ascii="Arial" w:hAnsi="Arial" w:cs="Arial"/>
                <w:noProof/>
                <w:webHidden/>
              </w:rPr>
              <w:fldChar w:fldCharType="end"/>
            </w:r>
          </w:hyperlink>
        </w:p>
        <w:p w14:paraId="15F982B0" w14:textId="16AF22F3" w:rsidR="006A1C35" w:rsidRPr="006A1C35" w:rsidRDefault="004E002A" w:rsidP="006A1C35">
          <w:pPr>
            <w:pStyle w:val="Cuprins2"/>
            <w:tabs>
              <w:tab w:val="right" w:leader="dot" w:pos="9010"/>
            </w:tabs>
            <w:spacing w:line="360" w:lineRule="auto"/>
            <w:rPr>
              <w:rFonts w:ascii="Arial" w:eastAsiaTheme="minorEastAsia" w:hAnsi="Arial" w:cs="Arial"/>
              <w:noProof/>
              <w:sz w:val="24"/>
              <w:szCs w:val="24"/>
              <w:lang w:eastAsia="en-GB"/>
            </w:rPr>
          </w:pPr>
          <w:hyperlink w:anchor="_Toc92204805" w:history="1">
            <w:r w:rsidR="006A1C35" w:rsidRPr="006A1C35">
              <w:rPr>
                <w:rStyle w:val="Hyperlink"/>
                <w:rFonts w:ascii="Arial" w:hAnsi="Arial" w:cs="Arial"/>
                <w:noProof/>
              </w:rPr>
              <w:t>Employee value proposition</w:t>
            </w:r>
            <w:r w:rsidR="006A1C35" w:rsidRPr="006A1C35">
              <w:rPr>
                <w:rFonts w:ascii="Arial" w:hAnsi="Arial" w:cs="Arial"/>
                <w:noProof/>
                <w:webHidden/>
              </w:rPr>
              <w:tab/>
            </w:r>
            <w:r w:rsidR="006A1C35" w:rsidRPr="006A1C35">
              <w:rPr>
                <w:rFonts w:ascii="Arial" w:hAnsi="Arial" w:cs="Arial"/>
                <w:noProof/>
                <w:webHidden/>
              </w:rPr>
              <w:fldChar w:fldCharType="begin"/>
            </w:r>
            <w:r w:rsidR="006A1C35" w:rsidRPr="006A1C35">
              <w:rPr>
                <w:rFonts w:ascii="Arial" w:hAnsi="Arial" w:cs="Arial"/>
                <w:noProof/>
                <w:webHidden/>
              </w:rPr>
              <w:instrText xml:space="preserve"> PAGEREF _Toc92204805 \h </w:instrText>
            </w:r>
            <w:r w:rsidR="006A1C35" w:rsidRPr="006A1C35">
              <w:rPr>
                <w:rFonts w:ascii="Arial" w:hAnsi="Arial" w:cs="Arial"/>
                <w:noProof/>
                <w:webHidden/>
              </w:rPr>
            </w:r>
            <w:r w:rsidR="006A1C35" w:rsidRPr="006A1C35">
              <w:rPr>
                <w:rFonts w:ascii="Arial" w:hAnsi="Arial" w:cs="Arial"/>
                <w:noProof/>
                <w:webHidden/>
              </w:rPr>
              <w:fldChar w:fldCharType="separate"/>
            </w:r>
            <w:r w:rsidR="006A1C35" w:rsidRPr="006A1C35">
              <w:rPr>
                <w:rFonts w:ascii="Arial" w:hAnsi="Arial" w:cs="Arial"/>
                <w:noProof/>
                <w:webHidden/>
              </w:rPr>
              <w:t>8</w:t>
            </w:r>
            <w:r w:rsidR="006A1C35" w:rsidRPr="006A1C35">
              <w:rPr>
                <w:rFonts w:ascii="Arial" w:hAnsi="Arial" w:cs="Arial"/>
                <w:noProof/>
                <w:webHidden/>
              </w:rPr>
              <w:fldChar w:fldCharType="end"/>
            </w:r>
          </w:hyperlink>
        </w:p>
        <w:p w14:paraId="201744CC" w14:textId="2A19BF7D" w:rsidR="006A1C35" w:rsidRPr="006A1C35" w:rsidRDefault="004E002A" w:rsidP="006A1C35">
          <w:pPr>
            <w:pStyle w:val="Cuprins1"/>
            <w:tabs>
              <w:tab w:val="right" w:leader="dot" w:pos="9010"/>
            </w:tabs>
            <w:spacing w:line="360" w:lineRule="auto"/>
            <w:rPr>
              <w:rFonts w:ascii="Arial" w:eastAsiaTheme="minorEastAsia" w:hAnsi="Arial" w:cs="Arial"/>
              <w:i w:val="0"/>
              <w:iCs w:val="0"/>
              <w:noProof/>
              <w:lang w:eastAsia="en-GB"/>
            </w:rPr>
          </w:pPr>
          <w:hyperlink w:anchor="_Toc92204806" w:history="1">
            <w:r w:rsidR="006A1C35" w:rsidRPr="006A1C35">
              <w:rPr>
                <w:rStyle w:val="Hyperlink"/>
                <w:rFonts w:ascii="Arial" w:hAnsi="Arial" w:cs="Arial"/>
                <w:i w:val="0"/>
                <w:iCs w:val="0"/>
                <w:noProof/>
              </w:rPr>
              <w:t>Conclusion</w:t>
            </w:r>
            <w:r w:rsidR="006A1C35" w:rsidRPr="006A1C35">
              <w:rPr>
                <w:rFonts w:ascii="Arial" w:hAnsi="Arial" w:cs="Arial"/>
                <w:i w:val="0"/>
                <w:iCs w:val="0"/>
                <w:noProof/>
                <w:webHidden/>
              </w:rPr>
              <w:tab/>
            </w:r>
            <w:r w:rsidR="006A1C35" w:rsidRPr="006A1C35">
              <w:rPr>
                <w:rFonts w:ascii="Arial" w:hAnsi="Arial" w:cs="Arial"/>
                <w:i w:val="0"/>
                <w:iCs w:val="0"/>
                <w:noProof/>
                <w:webHidden/>
              </w:rPr>
              <w:fldChar w:fldCharType="begin"/>
            </w:r>
            <w:r w:rsidR="006A1C35" w:rsidRPr="006A1C35">
              <w:rPr>
                <w:rFonts w:ascii="Arial" w:hAnsi="Arial" w:cs="Arial"/>
                <w:i w:val="0"/>
                <w:iCs w:val="0"/>
                <w:noProof/>
                <w:webHidden/>
              </w:rPr>
              <w:instrText xml:space="preserve"> PAGEREF _Toc92204806 \h </w:instrText>
            </w:r>
            <w:r w:rsidR="006A1C35" w:rsidRPr="006A1C35">
              <w:rPr>
                <w:rFonts w:ascii="Arial" w:hAnsi="Arial" w:cs="Arial"/>
                <w:i w:val="0"/>
                <w:iCs w:val="0"/>
                <w:noProof/>
                <w:webHidden/>
              </w:rPr>
            </w:r>
            <w:r w:rsidR="006A1C35" w:rsidRPr="006A1C35">
              <w:rPr>
                <w:rFonts w:ascii="Arial" w:hAnsi="Arial" w:cs="Arial"/>
                <w:i w:val="0"/>
                <w:iCs w:val="0"/>
                <w:noProof/>
                <w:webHidden/>
              </w:rPr>
              <w:fldChar w:fldCharType="separate"/>
            </w:r>
            <w:r w:rsidR="006A1C35" w:rsidRPr="006A1C35">
              <w:rPr>
                <w:rFonts w:ascii="Arial" w:hAnsi="Arial" w:cs="Arial"/>
                <w:i w:val="0"/>
                <w:iCs w:val="0"/>
                <w:noProof/>
                <w:webHidden/>
              </w:rPr>
              <w:t>10</w:t>
            </w:r>
            <w:r w:rsidR="006A1C35" w:rsidRPr="006A1C35">
              <w:rPr>
                <w:rFonts w:ascii="Arial" w:hAnsi="Arial" w:cs="Arial"/>
                <w:i w:val="0"/>
                <w:iCs w:val="0"/>
                <w:noProof/>
                <w:webHidden/>
              </w:rPr>
              <w:fldChar w:fldCharType="end"/>
            </w:r>
          </w:hyperlink>
        </w:p>
        <w:p w14:paraId="37B71C0E" w14:textId="610ED2A2" w:rsidR="006A1C35" w:rsidRPr="006A1C35" w:rsidRDefault="004E002A" w:rsidP="006A1C35">
          <w:pPr>
            <w:pStyle w:val="Cuprins1"/>
            <w:tabs>
              <w:tab w:val="right" w:leader="dot" w:pos="9010"/>
            </w:tabs>
            <w:spacing w:line="360" w:lineRule="auto"/>
            <w:rPr>
              <w:rFonts w:ascii="Arial" w:eastAsiaTheme="minorEastAsia" w:hAnsi="Arial" w:cs="Arial"/>
              <w:i w:val="0"/>
              <w:iCs w:val="0"/>
              <w:noProof/>
              <w:lang w:eastAsia="en-GB"/>
            </w:rPr>
          </w:pPr>
          <w:hyperlink w:anchor="_Toc92204807" w:history="1">
            <w:r w:rsidR="006A1C35" w:rsidRPr="006A1C35">
              <w:rPr>
                <w:rStyle w:val="Hyperlink"/>
                <w:rFonts w:ascii="Arial" w:hAnsi="Arial" w:cs="Arial"/>
                <w:i w:val="0"/>
                <w:iCs w:val="0"/>
                <w:noProof/>
              </w:rPr>
              <w:t>References</w:t>
            </w:r>
            <w:r w:rsidR="006A1C35" w:rsidRPr="006A1C35">
              <w:rPr>
                <w:rFonts w:ascii="Arial" w:hAnsi="Arial" w:cs="Arial"/>
                <w:i w:val="0"/>
                <w:iCs w:val="0"/>
                <w:noProof/>
                <w:webHidden/>
              </w:rPr>
              <w:tab/>
            </w:r>
            <w:r w:rsidR="006A1C35" w:rsidRPr="006A1C35">
              <w:rPr>
                <w:rFonts w:ascii="Arial" w:hAnsi="Arial" w:cs="Arial"/>
                <w:i w:val="0"/>
                <w:iCs w:val="0"/>
                <w:noProof/>
                <w:webHidden/>
              </w:rPr>
              <w:fldChar w:fldCharType="begin"/>
            </w:r>
            <w:r w:rsidR="006A1C35" w:rsidRPr="006A1C35">
              <w:rPr>
                <w:rFonts w:ascii="Arial" w:hAnsi="Arial" w:cs="Arial"/>
                <w:i w:val="0"/>
                <w:iCs w:val="0"/>
                <w:noProof/>
                <w:webHidden/>
              </w:rPr>
              <w:instrText xml:space="preserve"> PAGEREF _Toc92204807 \h </w:instrText>
            </w:r>
            <w:r w:rsidR="006A1C35" w:rsidRPr="006A1C35">
              <w:rPr>
                <w:rFonts w:ascii="Arial" w:hAnsi="Arial" w:cs="Arial"/>
                <w:i w:val="0"/>
                <w:iCs w:val="0"/>
                <w:noProof/>
                <w:webHidden/>
              </w:rPr>
            </w:r>
            <w:r w:rsidR="006A1C35" w:rsidRPr="006A1C35">
              <w:rPr>
                <w:rFonts w:ascii="Arial" w:hAnsi="Arial" w:cs="Arial"/>
                <w:i w:val="0"/>
                <w:iCs w:val="0"/>
                <w:noProof/>
                <w:webHidden/>
              </w:rPr>
              <w:fldChar w:fldCharType="separate"/>
            </w:r>
            <w:r w:rsidR="006A1C35" w:rsidRPr="006A1C35">
              <w:rPr>
                <w:rFonts w:ascii="Arial" w:hAnsi="Arial" w:cs="Arial"/>
                <w:i w:val="0"/>
                <w:iCs w:val="0"/>
                <w:noProof/>
                <w:webHidden/>
              </w:rPr>
              <w:t>11</w:t>
            </w:r>
            <w:r w:rsidR="006A1C35" w:rsidRPr="006A1C35">
              <w:rPr>
                <w:rFonts w:ascii="Arial" w:hAnsi="Arial" w:cs="Arial"/>
                <w:i w:val="0"/>
                <w:iCs w:val="0"/>
                <w:noProof/>
                <w:webHidden/>
              </w:rPr>
              <w:fldChar w:fldCharType="end"/>
            </w:r>
          </w:hyperlink>
        </w:p>
        <w:p w14:paraId="2D0BCE46" w14:textId="06BC05AE" w:rsidR="0033723D" w:rsidRDefault="0033723D" w:rsidP="006A1C35">
          <w:pPr>
            <w:spacing w:line="360" w:lineRule="auto"/>
          </w:pPr>
          <w:r w:rsidRPr="006A1C35">
            <w:rPr>
              <w:rFonts w:ascii="Arial" w:hAnsi="Arial" w:cs="Arial"/>
              <w:b/>
              <w:bCs/>
              <w:noProof/>
            </w:rPr>
            <w:fldChar w:fldCharType="end"/>
          </w:r>
        </w:p>
      </w:sdtContent>
    </w:sdt>
    <w:p w14:paraId="146C84AC" w14:textId="77777777" w:rsidR="0033723D" w:rsidRDefault="0033723D" w:rsidP="0062440A"/>
    <w:p w14:paraId="62D12B43" w14:textId="0D758368" w:rsidR="0062440A" w:rsidRDefault="0062440A" w:rsidP="0062440A"/>
    <w:p w14:paraId="703EECFE" w14:textId="3916BFAA" w:rsidR="0062440A" w:rsidRDefault="0062440A" w:rsidP="0062440A"/>
    <w:p w14:paraId="38C3AC1C" w14:textId="45AE6F5C" w:rsidR="0062440A" w:rsidRDefault="0062440A" w:rsidP="0062440A"/>
    <w:p w14:paraId="4FF2F74F" w14:textId="37067834" w:rsidR="0062440A" w:rsidRDefault="0062440A" w:rsidP="0062440A"/>
    <w:p w14:paraId="0E3E28F4" w14:textId="01B5C5C0" w:rsidR="0062440A" w:rsidRDefault="0062440A" w:rsidP="0062440A"/>
    <w:p w14:paraId="35701790" w14:textId="2844CDBA" w:rsidR="0062440A" w:rsidRDefault="0062440A" w:rsidP="0062440A"/>
    <w:p w14:paraId="72951DF3" w14:textId="5DAAFB1F" w:rsidR="0062440A" w:rsidRDefault="0062440A" w:rsidP="0062440A"/>
    <w:p w14:paraId="0370BA3E" w14:textId="16A5982B" w:rsidR="0062440A" w:rsidRDefault="0062440A" w:rsidP="0062440A"/>
    <w:p w14:paraId="69CB7393" w14:textId="3D1DB2F5" w:rsidR="0062440A" w:rsidRDefault="0062440A" w:rsidP="0062440A"/>
    <w:p w14:paraId="376731B4" w14:textId="0CEA91EC" w:rsidR="0062440A" w:rsidRDefault="0062440A" w:rsidP="0062440A"/>
    <w:p w14:paraId="1DECC1CF" w14:textId="1ED3E915" w:rsidR="0062440A" w:rsidRDefault="0062440A" w:rsidP="0062440A"/>
    <w:p w14:paraId="42A19E06" w14:textId="4D382C63" w:rsidR="0062440A" w:rsidRDefault="0062440A" w:rsidP="0062440A"/>
    <w:p w14:paraId="7F0BB47E" w14:textId="7F184081" w:rsidR="0062440A" w:rsidRDefault="0062440A" w:rsidP="0062440A"/>
    <w:p w14:paraId="606F8315" w14:textId="31049DF6" w:rsidR="0062440A" w:rsidRDefault="0062440A" w:rsidP="0062440A"/>
    <w:p w14:paraId="61B6ECCF" w14:textId="41A7AED2" w:rsidR="0062440A" w:rsidRDefault="0062440A" w:rsidP="0062440A"/>
    <w:p w14:paraId="017BF541" w14:textId="0B7C705F" w:rsidR="0062440A" w:rsidRDefault="0062440A" w:rsidP="0062440A"/>
    <w:p w14:paraId="3FEF9101" w14:textId="08FFA511" w:rsidR="0062440A" w:rsidRPr="006A1C35" w:rsidRDefault="0062440A" w:rsidP="006A1C35">
      <w:pPr>
        <w:pStyle w:val="Titlu1"/>
        <w:spacing w:line="360" w:lineRule="auto"/>
        <w:jc w:val="center"/>
        <w:rPr>
          <w:rFonts w:ascii="Arial" w:hAnsi="Arial" w:cs="Arial"/>
          <w:b/>
          <w:bCs/>
          <w:i/>
          <w:iCs/>
          <w:color w:val="000000" w:themeColor="text1"/>
        </w:rPr>
      </w:pPr>
      <w:bookmarkStart w:id="0" w:name="_Toc92129429"/>
      <w:bookmarkStart w:id="1" w:name="_Toc92204795"/>
      <w:r w:rsidRPr="006A1C35">
        <w:rPr>
          <w:rFonts w:ascii="Arial" w:hAnsi="Arial" w:cs="Arial"/>
          <w:b/>
          <w:bCs/>
          <w:i/>
          <w:iCs/>
          <w:color w:val="000000" w:themeColor="text1"/>
        </w:rPr>
        <w:t>Introduction</w:t>
      </w:r>
      <w:bookmarkEnd w:id="0"/>
      <w:bookmarkEnd w:id="1"/>
    </w:p>
    <w:p w14:paraId="1B907580" w14:textId="0FF86946" w:rsidR="0062440A" w:rsidRPr="006A1C35" w:rsidRDefault="0062440A" w:rsidP="006A1C35">
      <w:pPr>
        <w:spacing w:line="360" w:lineRule="auto"/>
        <w:rPr>
          <w:rFonts w:ascii="Arial" w:hAnsi="Arial" w:cs="Arial"/>
        </w:rPr>
      </w:pPr>
    </w:p>
    <w:p w14:paraId="663303BE" w14:textId="32974FD1" w:rsidR="0062440A" w:rsidRPr="006A1C35" w:rsidRDefault="00275AFA" w:rsidP="006A1C35">
      <w:pPr>
        <w:spacing w:line="360" w:lineRule="auto"/>
        <w:jc w:val="both"/>
        <w:rPr>
          <w:rFonts w:ascii="Arial" w:hAnsi="Arial" w:cs="Arial"/>
          <w:sz w:val="22"/>
          <w:szCs w:val="22"/>
        </w:rPr>
      </w:pPr>
      <w:r w:rsidRPr="006A1C35">
        <w:rPr>
          <w:rFonts w:ascii="Arial" w:hAnsi="Arial" w:cs="Arial"/>
          <w:sz w:val="22"/>
          <w:szCs w:val="22"/>
        </w:rPr>
        <w:t xml:space="preserve">       </w:t>
      </w:r>
      <w:r w:rsidR="00917BB0" w:rsidRPr="006A1C35">
        <w:rPr>
          <w:rFonts w:ascii="Arial" w:hAnsi="Arial" w:cs="Arial"/>
          <w:sz w:val="22"/>
          <w:szCs w:val="22"/>
        </w:rPr>
        <w:t xml:space="preserve">Employee engagement is an important factor in determining the business direction. Orbis Protect as many other businesses are under a lot of pressure because of Covid-19.  As various measures have been introduced to adapt to changes imposed to protect people, the employee engagement is lower. </w:t>
      </w:r>
    </w:p>
    <w:p w14:paraId="098C02BA" w14:textId="6B76B6A7" w:rsidR="0062440A" w:rsidRPr="006A1C35" w:rsidRDefault="00275AFA" w:rsidP="006A1C35">
      <w:pPr>
        <w:spacing w:line="360" w:lineRule="auto"/>
        <w:jc w:val="both"/>
        <w:rPr>
          <w:rFonts w:ascii="Arial" w:hAnsi="Arial" w:cs="Arial"/>
          <w:sz w:val="22"/>
          <w:szCs w:val="22"/>
        </w:rPr>
      </w:pPr>
      <w:r w:rsidRPr="006A1C35">
        <w:rPr>
          <w:rFonts w:ascii="Arial" w:hAnsi="Arial" w:cs="Arial"/>
          <w:sz w:val="22"/>
          <w:szCs w:val="22"/>
        </w:rPr>
        <w:t xml:space="preserve">        </w:t>
      </w:r>
      <w:r w:rsidR="00917BB0" w:rsidRPr="006A1C35">
        <w:rPr>
          <w:rFonts w:ascii="Arial" w:hAnsi="Arial" w:cs="Arial"/>
          <w:sz w:val="22"/>
          <w:szCs w:val="22"/>
        </w:rPr>
        <w:t xml:space="preserve">Understanding the level of engagement within Orbis Protect it is important because it gives </w:t>
      </w:r>
      <w:r w:rsidR="00BF4BEE" w:rsidRPr="006A1C35">
        <w:rPr>
          <w:rFonts w:ascii="Arial" w:hAnsi="Arial" w:cs="Arial"/>
          <w:sz w:val="22"/>
          <w:szCs w:val="22"/>
        </w:rPr>
        <w:t>a</w:t>
      </w:r>
      <w:r w:rsidR="00917BB0" w:rsidRPr="006A1C35">
        <w:rPr>
          <w:rFonts w:ascii="Arial" w:hAnsi="Arial" w:cs="Arial"/>
          <w:sz w:val="22"/>
          <w:szCs w:val="22"/>
        </w:rPr>
        <w:t xml:space="preserve"> </w:t>
      </w:r>
      <w:r w:rsidR="00BF4BEE" w:rsidRPr="006A1C35">
        <w:rPr>
          <w:rFonts w:ascii="Arial" w:hAnsi="Arial" w:cs="Arial"/>
          <w:sz w:val="22"/>
          <w:szCs w:val="22"/>
        </w:rPr>
        <w:t>clear image of whether</w:t>
      </w:r>
      <w:r w:rsidR="00917BB0" w:rsidRPr="006A1C35">
        <w:rPr>
          <w:rFonts w:ascii="Arial" w:hAnsi="Arial" w:cs="Arial"/>
          <w:sz w:val="22"/>
          <w:szCs w:val="22"/>
        </w:rPr>
        <w:t xml:space="preserve"> the employees are committed to their work and show high performance or not.  Also, it provides</w:t>
      </w:r>
      <w:r w:rsidR="00BF4BEE" w:rsidRPr="006A1C35">
        <w:rPr>
          <w:rFonts w:ascii="Arial" w:hAnsi="Arial" w:cs="Arial"/>
          <w:sz w:val="22"/>
          <w:szCs w:val="22"/>
        </w:rPr>
        <w:t xml:space="preserve"> information to what extend </w:t>
      </w:r>
      <w:r w:rsidR="00917BB0" w:rsidRPr="006A1C35">
        <w:rPr>
          <w:rFonts w:ascii="Arial" w:hAnsi="Arial" w:cs="Arial"/>
          <w:sz w:val="22"/>
          <w:szCs w:val="22"/>
        </w:rPr>
        <w:t xml:space="preserve">employee engagement influence upon the company success. </w:t>
      </w:r>
    </w:p>
    <w:p w14:paraId="4615C797" w14:textId="6A8C7B4E" w:rsidR="0062440A" w:rsidRPr="006A1C35" w:rsidRDefault="00275AFA" w:rsidP="006A1C35">
      <w:pPr>
        <w:spacing w:line="360" w:lineRule="auto"/>
        <w:jc w:val="both"/>
        <w:rPr>
          <w:rFonts w:ascii="Arial" w:hAnsi="Arial" w:cs="Arial"/>
          <w:sz w:val="22"/>
          <w:szCs w:val="22"/>
        </w:rPr>
      </w:pPr>
      <w:r w:rsidRPr="006A1C35">
        <w:rPr>
          <w:rFonts w:ascii="Arial" w:hAnsi="Arial" w:cs="Arial"/>
          <w:sz w:val="22"/>
          <w:szCs w:val="22"/>
        </w:rPr>
        <w:t xml:space="preserve">         </w:t>
      </w:r>
      <w:r w:rsidR="00917BB0" w:rsidRPr="006A1C35">
        <w:rPr>
          <w:rFonts w:ascii="Arial" w:hAnsi="Arial" w:cs="Arial"/>
          <w:sz w:val="22"/>
          <w:szCs w:val="22"/>
        </w:rPr>
        <w:t>The e</w:t>
      </w:r>
      <w:r w:rsidR="0062440A" w:rsidRPr="006A1C35">
        <w:rPr>
          <w:rFonts w:ascii="Arial" w:hAnsi="Arial" w:cs="Arial"/>
          <w:sz w:val="22"/>
          <w:szCs w:val="22"/>
        </w:rPr>
        <w:t xml:space="preserve">vidence </w:t>
      </w:r>
      <w:r w:rsidR="002D41B4" w:rsidRPr="006A1C35">
        <w:rPr>
          <w:rFonts w:ascii="Arial" w:hAnsi="Arial" w:cs="Arial"/>
          <w:sz w:val="22"/>
          <w:szCs w:val="22"/>
        </w:rPr>
        <w:t>shows</w:t>
      </w:r>
      <w:r w:rsidR="00917BB0" w:rsidRPr="006A1C35">
        <w:rPr>
          <w:rFonts w:ascii="Arial" w:hAnsi="Arial" w:cs="Arial"/>
          <w:sz w:val="22"/>
          <w:szCs w:val="22"/>
        </w:rPr>
        <w:t xml:space="preserve"> </w:t>
      </w:r>
      <w:r w:rsidR="002D41B4" w:rsidRPr="006A1C35">
        <w:rPr>
          <w:rFonts w:ascii="Arial" w:hAnsi="Arial" w:cs="Arial"/>
          <w:sz w:val="22"/>
          <w:szCs w:val="22"/>
        </w:rPr>
        <w:t xml:space="preserve">that </w:t>
      </w:r>
      <w:r w:rsidR="00BF4BEE" w:rsidRPr="006A1C35">
        <w:rPr>
          <w:rFonts w:ascii="Arial" w:hAnsi="Arial" w:cs="Arial"/>
          <w:sz w:val="22"/>
          <w:szCs w:val="22"/>
        </w:rPr>
        <w:t>employee’s</w:t>
      </w:r>
      <w:r w:rsidR="002D41B4" w:rsidRPr="006A1C35">
        <w:rPr>
          <w:rFonts w:ascii="Arial" w:hAnsi="Arial" w:cs="Arial"/>
          <w:sz w:val="22"/>
          <w:szCs w:val="22"/>
        </w:rPr>
        <w:t xml:space="preserve"> engagement is a crucial element in maintaining high performance. Gifford &amp;Young (2021) suggested that employee engagement is an indicator of organisational health and use it to inform decisions. Engaged employees have a higher rate to remain in the organisation compared to disengaged</w:t>
      </w:r>
      <w:r w:rsidR="00BF4BEE" w:rsidRPr="006A1C35">
        <w:rPr>
          <w:rFonts w:ascii="Arial" w:hAnsi="Arial" w:cs="Arial"/>
          <w:sz w:val="22"/>
          <w:szCs w:val="22"/>
        </w:rPr>
        <w:t xml:space="preserve"> employees. </w:t>
      </w:r>
      <w:r w:rsidR="0062440A" w:rsidRPr="006A1C35">
        <w:rPr>
          <w:rFonts w:ascii="Arial" w:hAnsi="Arial" w:cs="Arial"/>
          <w:sz w:val="22"/>
          <w:szCs w:val="22"/>
        </w:rPr>
        <w:t xml:space="preserve">The report determines </w:t>
      </w:r>
      <w:r w:rsidR="00BF4BEE" w:rsidRPr="006A1C35">
        <w:rPr>
          <w:rFonts w:ascii="Arial" w:hAnsi="Arial" w:cs="Arial"/>
          <w:sz w:val="22"/>
          <w:szCs w:val="22"/>
        </w:rPr>
        <w:t xml:space="preserve">to what extend </w:t>
      </w:r>
      <w:r w:rsidR="0062440A" w:rsidRPr="006A1C35">
        <w:rPr>
          <w:rFonts w:ascii="Arial" w:hAnsi="Arial" w:cs="Arial"/>
          <w:sz w:val="22"/>
          <w:szCs w:val="22"/>
        </w:rPr>
        <w:t xml:space="preserve">employee </w:t>
      </w:r>
      <w:r w:rsidR="00BF4BEE" w:rsidRPr="006A1C35">
        <w:rPr>
          <w:rFonts w:ascii="Arial" w:hAnsi="Arial" w:cs="Arial"/>
          <w:sz w:val="22"/>
          <w:szCs w:val="22"/>
        </w:rPr>
        <w:t>engagement impact</w:t>
      </w:r>
      <w:r w:rsidR="0062440A" w:rsidRPr="006A1C35">
        <w:rPr>
          <w:rFonts w:ascii="Arial" w:hAnsi="Arial" w:cs="Arial"/>
          <w:sz w:val="22"/>
          <w:szCs w:val="22"/>
        </w:rPr>
        <w:t xml:space="preserve"> upon company viability</w:t>
      </w:r>
      <w:r w:rsidR="0005146E" w:rsidRPr="006A1C35">
        <w:rPr>
          <w:rFonts w:ascii="Arial" w:hAnsi="Arial" w:cs="Arial"/>
          <w:sz w:val="22"/>
          <w:szCs w:val="22"/>
        </w:rPr>
        <w:t xml:space="preserve"> and what can be done to increase it </w:t>
      </w:r>
    </w:p>
    <w:p w14:paraId="45AF32F6" w14:textId="536B9324" w:rsidR="00AD6C14" w:rsidRPr="006A1C35" w:rsidRDefault="00275AFA" w:rsidP="006A1C35">
      <w:pPr>
        <w:spacing w:line="360" w:lineRule="auto"/>
        <w:jc w:val="both"/>
        <w:rPr>
          <w:rFonts w:ascii="Arial" w:hAnsi="Arial" w:cs="Arial"/>
          <w:sz w:val="22"/>
          <w:szCs w:val="22"/>
        </w:rPr>
      </w:pPr>
      <w:r w:rsidRPr="006A1C35">
        <w:rPr>
          <w:rFonts w:ascii="Arial" w:hAnsi="Arial" w:cs="Arial"/>
          <w:sz w:val="22"/>
          <w:szCs w:val="22"/>
        </w:rPr>
        <w:t xml:space="preserve">         </w:t>
      </w:r>
      <w:r w:rsidR="00BF4BEE" w:rsidRPr="006A1C35">
        <w:rPr>
          <w:rFonts w:ascii="Arial" w:hAnsi="Arial" w:cs="Arial"/>
          <w:sz w:val="22"/>
          <w:szCs w:val="22"/>
        </w:rPr>
        <w:t xml:space="preserve">The first </w:t>
      </w:r>
      <w:r w:rsidRPr="006A1C35">
        <w:rPr>
          <w:rFonts w:ascii="Arial" w:hAnsi="Arial" w:cs="Arial"/>
          <w:sz w:val="22"/>
          <w:szCs w:val="22"/>
        </w:rPr>
        <w:t>chapter of</w:t>
      </w:r>
      <w:r w:rsidR="00BF4BEE" w:rsidRPr="006A1C35">
        <w:rPr>
          <w:rFonts w:ascii="Arial" w:hAnsi="Arial" w:cs="Arial"/>
          <w:sz w:val="22"/>
          <w:szCs w:val="22"/>
        </w:rPr>
        <w:t xml:space="preserve"> the report projects the concept and drivers of employee’s engagement. Thompson (2021) suggested 6 employee engagement drivers in 2021</w:t>
      </w:r>
      <w:r w:rsidR="00384ABB" w:rsidRPr="006A1C35">
        <w:rPr>
          <w:rFonts w:ascii="Arial" w:hAnsi="Arial" w:cs="Arial"/>
          <w:sz w:val="22"/>
          <w:szCs w:val="22"/>
        </w:rPr>
        <w:t xml:space="preserve"> which are </w:t>
      </w:r>
      <w:r w:rsidR="00BF4BEE" w:rsidRPr="006A1C35">
        <w:rPr>
          <w:rFonts w:ascii="Arial" w:hAnsi="Arial" w:cs="Arial"/>
          <w:sz w:val="22"/>
          <w:szCs w:val="22"/>
        </w:rPr>
        <w:t xml:space="preserve">belonging, pride to work for the company, wellbeing, autonomy, recognition, and clarity. </w:t>
      </w:r>
    </w:p>
    <w:p w14:paraId="6769B42D" w14:textId="7BBE2E6E" w:rsidR="00384ABB" w:rsidRPr="006A1C35" w:rsidRDefault="00384ABB" w:rsidP="006A1C35">
      <w:pPr>
        <w:spacing w:line="360" w:lineRule="auto"/>
        <w:jc w:val="both"/>
        <w:rPr>
          <w:rFonts w:ascii="Arial" w:hAnsi="Arial" w:cs="Arial"/>
          <w:sz w:val="22"/>
          <w:szCs w:val="22"/>
        </w:rPr>
      </w:pPr>
      <w:r w:rsidRPr="006A1C35">
        <w:rPr>
          <w:rFonts w:ascii="Arial" w:hAnsi="Arial" w:cs="Arial"/>
          <w:sz w:val="22"/>
          <w:szCs w:val="22"/>
        </w:rPr>
        <w:t xml:space="preserve">The second </w:t>
      </w:r>
      <w:r w:rsidR="00275AFA" w:rsidRPr="006A1C35">
        <w:rPr>
          <w:rFonts w:ascii="Arial" w:hAnsi="Arial" w:cs="Arial"/>
          <w:sz w:val="22"/>
          <w:szCs w:val="22"/>
        </w:rPr>
        <w:t>chapter discusses</w:t>
      </w:r>
      <w:r w:rsidRPr="006A1C35">
        <w:rPr>
          <w:rFonts w:ascii="Arial" w:hAnsi="Arial" w:cs="Arial"/>
          <w:sz w:val="22"/>
          <w:szCs w:val="22"/>
        </w:rPr>
        <w:t xml:space="preserve"> </w:t>
      </w:r>
      <w:r w:rsidR="006A1C35" w:rsidRPr="006A1C35">
        <w:rPr>
          <w:rFonts w:ascii="Arial" w:hAnsi="Arial" w:cs="Arial"/>
          <w:sz w:val="22"/>
          <w:szCs w:val="22"/>
        </w:rPr>
        <w:t xml:space="preserve">measures already applied at Orbis protect during pandemic. Next it evaluates </w:t>
      </w:r>
      <w:r w:rsidRPr="006A1C35">
        <w:rPr>
          <w:rFonts w:ascii="Arial" w:hAnsi="Arial" w:cs="Arial"/>
          <w:sz w:val="22"/>
          <w:szCs w:val="22"/>
        </w:rPr>
        <w:t>potential tools to measure</w:t>
      </w:r>
      <w:r w:rsidR="00AD6C14" w:rsidRPr="006A1C35">
        <w:rPr>
          <w:rFonts w:ascii="Arial" w:hAnsi="Arial" w:cs="Arial"/>
          <w:sz w:val="22"/>
          <w:szCs w:val="22"/>
        </w:rPr>
        <w:t xml:space="preserve"> performance and employee engagement such as effective balanced score card, effectively communicating the results to employees, measuring individual performance, using surveys to measure engagement, assessing team’s engagement level.  </w:t>
      </w:r>
      <w:sdt>
        <w:sdtPr>
          <w:rPr>
            <w:rFonts w:ascii="Arial" w:hAnsi="Arial" w:cs="Arial"/>
            <w:sz w:val="22"/>
            <w:szCs w:val="22"/>
          </w:rPr>
          <w:id w:val="-1669476249"/>
          <w:citation/>
        </w:sdtPr>
        <w:sdtEndPr/>
        <w:sdtContent>
          <w:r w:rsidR="00AD6C14" w:rsidRPr="006A1C35">
            <w:rPr>
              <w:rFonts w:ascii="Arial" w:hAnsi="Arial" w:cs="Arial"/>
              <w:sz w:val="22"/>
              <w:szCs w:val="22"/>
            </w:rPr>
            <w:fldChar w:fldCharType="begin"/>
          </w:r>
          <w:r w:rsidR="00AD6C14" w:rsidRPr="006A1C35">
            <w:rPr>
              <w:rFonts w:ascii="Arial" w:hAnsi="Arial" w:cs="Arial"/>
              <w:sz w:val="22"/>
              <w:szCs w:val="22"/>
            </w:rPr>
            <w:instrText xml:space="preserve"> CITATION Kel13 \l 2057 </w:instrText>
          </w:r>
          <w:r w:rsidR="00AD6C14" w:rsidRPr="006A1C35">
            <w:rPr>
              <w:rFonts w:ascii="Arial" w:hAnsi="Arial" w:cs="Arial"/>
              <w:sz w:val="22"/>
              <w:szCs w:val="22"/>
            </w:rPr>
            <w:fldChar w:fldCharType="separate"/>
          </w:r>
          <w:r w:rsidR="00AD6C14" w:rsidRPr="006A1C35">
            <w:rPr>
              <w:rFonts w:ascii="Arial" w:hAnsi="Arial" w:cs="Arial"/>
              <w:noProof/>
              <w:sz w:val="22"/>
              <w:szCs w:val="22"/>
            </w:rPr>
            <w:t>(Kelleher, 2013)</w:t>
          </w:r>
          <w:r w:rsidR="00AD6C14" w:rsidRPr="006A1C35">
            <w:rPr>
              <w:rFonts w:ascii="Arial" w:hAnsi="Arial" w:cs="Arial"/>
              <w:sz w:val="22"/>
              <w:szCs w:val="22"/>
            </w:rPr>
            <w:fldChar w:fldCharType="end"/>
          </w:r>
        </w:sdtContent>
      </w:sdt>
      <w:r w:rsidR="006A1C35" w:rsidRPr="006A1C35">
        <w:rPr>
          <w:rFonts w:ascii="Arial" w:hAnsi="Arial" w:cs="Arial"/>
          <w:sz w:val="22"/>
          <w:szCs w:val="22"/>
        </w:rPr>
        <w:t xml:space="preserve"> The third chapter discusses methods to increase workforce engagement including the concept of employee value propositions that has a determining role which must not be ignored. </w:t>
      </w:r>
    </w:p>
    <w:p w14:paraId="665EB8A9" w14:textId="77777777" w:rsidR="00384ABB" w:rsidRPr="006A1C35" w:rsidRDefault="00384ABB" w:rsidP="006A1C35">
      <w:pPr>
        <w:spacing w:line="360" w:lineRule="auto"/>
        <w:rPr>
          <w:rFonts w:ascii="Arial" w:hAnsi="Arial" w:cs="Arial"/>
          <w:sz w:val="22"/>
          <w:szCs w:val="22"/>
        </w:rPr>
      </w:pPr>
    </w:p>
    <w:p w14:paraId="3D3C8DE7" w14:textId="77777777" w:rsidR="00384ABB" w:rsidRPr="006A1C35" w:rsidRDefault="00384ABB" w:rsidP="006A1C35">
      <w:pPr>
        <w:spacing w:line="360" w:lineRule="auto"/>
        <w:rPr>
          <w:rFonts w:ascii="Arial" w:hAnsi="Arial" w:cs="Arial"/>
          <w:sz w:val="22"/>
          <w:szCs w:val="22"/>
        </w:rPr>
      </w:pPr>
    </w:p>
    <w:p w14:paraId="3AA43542" w14:textId="489BFA18" w:rsidR="0062440A" w:rsidRPr="006A1C35" w:rsidRDefault="0062440A" w:rsidP="006A1C35">
      <w:pPr>
        <w:spacing w:line="360" w:lineRule="auto"/>
        <w:rPr>
          <w:rFonts w:ascii="Arial" w:hAnsi="Arial" w:cs="Arial"/>
          <w:sz w:val="22"/>
          <w:szCs w:val="22"/>
        </w:rPr>
      </w:pPr>
    </w:p>
    <w:p w14:paraId="57E96590" w14:textId="5F7E9175" w:rsidR="00BF4BEE" w:rsidRPr="006A1C35" w:rsidRDefault="00BF4BEE" w:rsidP="006A1C35">
      <w:pPr>
        <w:spacing w:line="360" w:lineRule="auto"/>
        <w:rPr>
          <w:rFonts w:ascii="Arial" w:hAnsi="Arial" w:cs="Arial"/>
          <w:sz w:val="22"/>
          <w:szCs w:val="22"/>
        </w:rPr>
      </w:pPr>
    </w:p>
    <w:p w14:paraId="1C9C8598" w14:textId="526C31D9" w:rsidR="00BF4BEE" w:rsidRDefault="00BF4BEE" w:rsidP="006A1C35">
      <w:pPr>
        <w:spacing w:line="360" w:lineRule="auto"/>
        <w:rPr>
          <w:rFonts w:ascii="Arial" w:hAnsi="Arial" w:cs="Arial"/>
          <w:sz w:val="22"/>
          <w:szCs w:val="22"/>
        </w:rPr>
      </w:pPr>
    </w:p>
    <w:p w14:paraId="1BC14646" w14:textId="60B1A93E" w:rsidR="006A1C35" w:rsidRDefault="006A1C35" w:rsidP="006A1C35">
      <w:pPr>
        <w:spacing w:line="360" w:lineRule="auto"/>
        <w:rPr>
          <w:rFonts w:ascii="Arial" w:hAnsi="Arial" w:cs="Arial"/>
          <w:sz w:val="22"/>
          <w:szCs w:val="22"/>
        </w:rPr>
      </w:pPr>
    </w:p>
    <w:p w14:paraId="1AB6AA1C" w14:textId="2BFA7B2D" w:rsidR="006A1C35" w:rsidRDefault="006A1C35" w:rsidP="006A1C35">
      <w:pPr>
        <w:spacing w:line="360" w:lineRule="auto"/>
        <w:rPr>
          <w:rFonts w:ascii="Arial" w:hAnsi="Arial" w:cs="Arial"/>
          <w:sz w:val="22"/>
          <w:szCs w:val="22"/>
        </w:rPr>
      </w:pPr>
    </w:p>
    <w:p w14:paraId="4354429E" w14:textId="77777777" w:rsidR="006A1C35" w:rsidRPr="006A1C35" w:rsidRDefault="006A1C35" w:rsidP="006A1C35">
      <w:pPr>
        <w:spacing w:line="360" w:lineRule="auto"/>
        <w:rPr>
          <w:rFonts w:ascii="Arial" w:hAnsi="Arial" w:cs="Arial"/>
          <w:sz w:val="22"/>
          <w:szCs w:val="22"/>
        </w:rPr>
      </w:pPr>
    </w:p>
    <w:p w14:paraId="6D13CFA6" w14:textId="5451E928" w:rsidR="00917BB0" w:rsidRDefault="0062440A" w:rsidP="006A1C35">
      <w:pPr>
        <w:pStyle w:val="Titlu1"/>
        <w:spacing w:line="360" w:lineRule="auto"/>
        <w:jc w:val="center"/>
        <w:rPr>
          <w:rFonts w:ascii="Arial" w:hAnsi="Arial" w:cs="Arial"/>
          <w:b/>
          <w:bCs/>
          <w:i/>
          <w:iCs/>
          <w:color w:val="000000" w:themeColor="text1"/>
          <w:sz w:val="28"/>
          <w:szCs w:val="28"/>
        </w:rPr>
      </w:pPr>
      <w:bookmarkStart w:id="2" w:name="_Toc92129430"/>
      <w:bookmarkStart w:id="3" w:name="_Toc92204796"/>
      <w:r w:rsidRPr="006A1C35">
        <w:rPr>
          <w:rFonts w:ascii="Arial" w:hAnsi="Arial" w:cs="Arial"/>
          <w:b/>
          <w:bCs/>
          <w:i/>
          <w:iCs/>
          <w:color w:val="000000" w:themeColor="text1"/>
          <w:sz w:val="28"/>
          <w:szCs w:val="28"/>
        </w:rPr>
        <w:lastRenderedPageBreak/>
        <w:t>Employee engagement</w:t>
      </w:r>
      <w:bookmarkEnd w:id="2"/>
      <w:bookmarkEnd w:id="3"/>
    </w:p>
    <w:p w14:paraId="656A8682" w14:textId="77777777" w:rsidR="006A1C35" w:rsidRPr="006A1C35" w:rsidRDefault="006A1C35" w:rsidP="006A1C35"/>
    <w:p w14:paraId="224C83C7" w14:textId="34552FD2" w:rsidR="00917BB0" w:rsidRDefault="006A1C35" w:rsidP="006A1C35">
      <w:pPr>
        <w:spacing w:line="360" w:lineRule="auto"/>
        <w:jc w:val="both"/>
        <w:rPr>
          <w:rFonts w:ascii="Arial" w:hAnsi="Arial" w:cs="Arial"/>
          <w:sz w:val="22"/>
          <w:szCs w:val="22"/>
        </w:rPr>
      </w:pPr>
      <w:r w:rsidRPr="006A1C35">
        <w:rPr>
          <w:rFonts w:ascii="Arial" w:hAnsi="Arial" w:cs="Arial"/>
          <w:sz w:val="22"/>
          <w:szCs w:val="22"/>
        </w:rPr>
        <w:t xml:space="preserve">Engagement within working environment can be defined as the level of commitment and involvement workers has towards organisation. It is a broad connection employees have with the company that that lead to willingness to go beyond what’s required for company success. </w:t>
      </w:r>
    </w:p>
    <w:p w14:paraId="43184881" w14:textId="77777777" w:rsidR="006A1C35" w:rsidRPr="006A1C35" w:rsidRDefault="006A1C35" w:rsidP="006A1C35">
      <w:pPr>
        <w:spacing w:line="360" w:lineRule="auto"/>
        <w:jc w:val="both"/>
        <w:rPr>
          <w:rFonts w:ascii="Arial" w:hAnsi="Arial" w:cs="Arial"/>
          <w:sz w:val="22"/>
          <w:szCs w:val="22"/>
        </w:rPr>
      </w:pPr>
    </w:p>
    <w:p w14:paraId="57C64040" w14:textId="42B72768" w:rsidR="0062440A" w:rsidRPr="006A1C35" w:rsidRDefault="00917BB0" w:rsidP="006A1C35">
      <w:pPr>
        <w:pStyle w:val="Titlu2"/>
        <w:spacing w:line="360" w:lineRule="auto"/>
        <w:rPr>
          <w:rFonts w:ascii="Arial" w:hAnsi="Arial" w:cs="Arial"/>
          <w:color w:val="000000" w:themeColor="text1"/>
          <w:sz w:val="28"/>
          <w:szCs w:val="28"/>
        </w:rPr>
      </w:pPr>
      <w:bookmarkStart w:id="4" w:name="_Toc92129431"/>
      <w:bookmarkStart w:id="5" w:name="_Toc92204797"/>
      <w:r w:rsidRPr="006A1C35">
        <w:rPr>
          <w:rFonts w:ascii="Arial" w:hAnsi="Arial" w:cs="Arial"/>
          <w:color w:val="000000" w:themeColor="text1"/>
          <w:sz w:val="28"/>
          <w:szCs w:val="28"/>
        </w:rPr>
        <w:t>The concept</w:t>
      </w:r>
      <w:bookmarkEnd w:id="4"/>
      <w:bookmarkEnd w:id="5"/>
      <w:r w:rsidRPr="006A1C35">
        <w:rPr>
          <w:rFonts w:ascii="Arial" w:hAnsi="Arial" w:cs="Arial"/>
          <w:color w:val="000000" w:themeColor="text1"/>
          <w:sz w:val="28"/>
          <w:szCs w:val="28"/>
        </w:rPr>
        <w:t xml:space="preserve"> </w:t>
      </w:r>
      <w:r w:rsidR="0062440A" w:rsidRPr="006A1C35">
        <w:rPr>
          <w:rFonts w:ascii="Arial" w:hAnsi="Arial" w:cs="Arial"/>
          <w:color w:val="000000" w:themeColor="text1"/>
          <w:sz w:val="28"/>
          <w:szCs w:val="28"/>
        </w:rPr>
        <w:t xml:space="preserve">  </w:t>
      </w:r>
    </w:p>
    <w:p w14:paraId="270CBDDE" w14:textId="208DC6AF" w:rsidR="00917BB0" w:rsidRPr="006A1C35" w:rsidRDefault="0062440A" w:rsidP="006A1C35">
      <w:pPr>
        <w:spacing w:line="360" w:lineRule="auto"/>
        <w:jc w:val="both"/>
        <w:rPr>
          <w:rFonts w:ascii="Arial" w:hAnsi="Arial" w:cs="Arial"/>
          <w:sz w:val="22"/>
          <w:szCs w:val="22"/>
        </w:rPr>
      </w:pPr>
      <w:r w:rsidRPr="006A1C35">
        <w:rPr>
          <w:rFonts w:ascii="Arial" w:hAnsi="Arial" w:cs="Arial"/>
          <w:sz w:val="22"/>
          <w:szCs w:val="22"/>
        </w:rPr>
        <w:t xml:space="preserve">Gifford &amp;Young (2021) suggested that employee engagement has become a focal point for executives’ teams, boards and investors who often recognise its significance as an indicator of organisational health and use it to inform decisions including executive pay. MacLeod &amp; Clarke (2011) came across multiple definitions of employee engagement.  They believe that it is useful to perceive employee engagement as an approach to trigger commitment to the organisation goals and values. Engaged employees have a higher rate to remain in the organisation compared to disengaged. Kruse (2012) argued that employee engagement does not mean employee happiness. He suggested that employees may feel </w:t>
      </w:r>
      <w:r w:rsidR="00917BB0" w:rsidRPr="006A1C35">
        <w:rPr>
          <w:rFonts w:ascii="Arial" w:hAnsi="Arial" w:cs="Arial"/>
          <w:sz w:val="22"/>
          <w:szCs w:val="22"/>
        </w:rPr>
        <w:t>happy,</w:t>
      </w:r>
      <w:r w:rsidRPr="006A1C35">
        <w:rPr>
          <w:rFonts w:ascii="Arial" w:hAnsi="Arial" w:cs="Arial"/>
          <w:sz w:val="22"/>
          <w:szCs w:val="22"/>
        </w:rPr>
        <w:t xml:space="preserve"> but this does not mean they are productive </w:t>
      </w:r>
      <w:r w:rsidR="00917BB0" w:rsidRPr="006A1C35">
        <w:rPr>
          <w:rFonts w:ascii="Arial" w:hAnsi="Arial" w:cs="Arial"/>
          <w:sz w:val="22"/>
          <w:szCs w:val="22"/>
        </w:rPr>
        <w:t xml:space="preserve">at work. Besides that, employee engagement is about emotional commitment the workers have towards the company. Effective leaders should build trust, develop teamwork, identify the engagement drivers, and effectively measure the engagement </w:t>
      </w:r>
      <w:r w:rsidR="006A1C35" w:rsidRPr="006A1C35">
        <w:rPr>
          <w:rFonts w:ascii="Arial" w:hAnsi="Arial" w:cs="Arial"/>
          <w:sz w:val="22"/>
          <w:szCs w:val="22"/>
        </w:rPr>
        <w:t>to</w:t>
      </w:r>
      <w:r w:rsidR="00917BB0" w:rsidRPr="006A1C35">
        <w:rPr>
          <w:rFonts w:ascii="Arial" w:hAnsi="Arial" w:cs="Arial"/>
          <w:sz w:val="22"/>
          <w:szCs w:val="22"/>
        </w:rPr>
        <w:t xml:space="preserve"> take effective decisions to achieve the company objectives. </w:t>
      </w:r>
    </w:p>
    <w:p w14:paraId="76CA316F" w14:textId="77777777" w:rsidR="00917BB0" w:rsidRPr="006A1C35" w:rsidRDefault="00917BB0" w:rsidP="006A1C35">
      <w:pPr>
        <w:spacing w:line="360" w:lineRule="auto"/>
        <w:jc w:val="both"/>
        <w:rPr>
          <w:rFonts w:ascii="Arial" w:hAnsi="Arial" w:cs="Arial"/>
          <w:sz w:val="22"/>
          <w:szCs w:val="22"/>
        </w:rPr>
      </w:pPr>
    </w:p>
    <w:p w14:paraId="617A1628" w14:textId="174938A9" w:rsidR="00917BB0" w:rsidRPr="006A1C35" w:rsidRDefault="00917BB0" w:rsidP="006A1C35">
      <w:pPr>
        <w:pStyle w:val="Titlu2"/>
        <w:spacing w:line="360" w:lineRule="auto"/>
        <w:rPr>
          <w:rFonts w:ascii="Arial" w:hAnsi="Arial" w:cs="Arial"/>
          <w:color w:val="000000" w:themeColor="text1"/>
          <w:sz w:val="28"/>
          <w:szCs w:val="28"/>
        </w:rPr>
      </w:pPr>
      <w:bookmarkStart w:id="6" w:name="_Toc92129432"/>
      <w:bookmarkStart w:id="7" w:name="_Toc92204798"/>
      <w:r w:rsidRPr="006A1C35">
        <w:rPr>
          <w:rFonts w:ascii="Arial" w:hAnsi="Arial" w:cs="Arial"/>
          <w:color w:val="000000" w:themeColor="text1"/>
          <w:sz w:val="28"/>
          <w:szCs w:val="28"/>
        </w:rPr>
        <w:t>The employee engagement drivers</w:t>
      </w:r>
      <w:bookmarkEnd w:id="6"/>
      <w:bookmarkEnd w:id="7"/>
      <w:r w:rsidRPr="006A1C35">
        <w:rPr>
          <w:rFonts w:ascii="Arial" w:hAnsi="Arial" w:cs="Arial"/>
          <w:color w:val="000000" w:themeColor="text1"/>
          <w:sz w:val="28"/>
          <w:szCs w:val="28"/>
        </w:rPr>
        <w:t xml:space="preserve"> </w:t>
      </w:r>
    </w:p>
    <w:p w14:paraId="6F0F6097" w14:textId="77777777" w:rsidR="00917BB0" w:rsidRPr="006A1C35" w:rsidRDefault="00917BB0" w:rsidP="006A1C35">
      <w:pPr>
        <w:spacing w:line="360" w:lineRule="auto"/>
        <w:rPr>
          <w:rFonts w:ascii="Arial" w:hAnsi="Arial" w:cs="Arial"/>
          <w:sz w:val="22"/>
          <w:szCs w:val="22"/>
        </w:rPr>
      </w:pPr>
    </w:p>
    <w:p w14:paraId="6CCE7C69" w14:textId="6D08A1CF" w:rsidR="002D41B4" w:rsidRDefault="00917BB0" w:rsidP="006A1C35">
      <w:pPr>
        <w:spacing w:line="360" w:lineRule="auto"/>
        <w:jc w:val="both"/>
        <w:rPr>
          <w:rFonts w:ascii="Arial" w:hAnsi="Arial" w:cs="Arial"/>
          <w:sz w:val="22"/>
          <w:szCs w:val="22"/>
        </w:rPr>
      </w:pPr>
      <w:r w:rsidRPr="006A1C35">
        <w:rPr>
          <w:rFonts w:ascii="Arial" w:hAnsi="Arial" w:cs="Arial"/>
          <w:sz w:val="22"/>
          <w:szCs w:val="22"/>
        </w:rPr>
        <w:t xml:space="preserve">Thompson (2021) suggested 6 employee engagement drivers in 2021. These include belonging, </w:t>
      </w:r>
      <w:r w:rsidR="002D41B4" w:rsidRPr="006A1C35">
        <w:rPr>
          <w:rFonts w:ascii="Arial" w:hAnsi="Arial" w:cs="Arial"/>
          <w:sz w:val="22"/>
          <w:szCs w:val="22"/>
        </w:rPr>
        <w:t>pride to work for the company</w:t>
      </w:r>
      <w:r w:rsidRPr="006A1C35">
        <w:rPr>
          <w:rFonts w:ascii="Arial" w:hAnsi="Arial" w:cs="Arial"/>
          <w:sz w:val="22"/>
          <w:szCs w:val="22"/>
        </w:rPr>
        <w:t xml:space="preserve">, </w:t>
      </w:r>
      <w:r w:rsidR="002D41B4" w:rsidRPr="006A1C35">
        <w:rPr>
          <w:rFonts w:ascii="Arial" w:hAnsi="Arial" w:cs="Arial"/>
          <w:sz w:val="22"/>
          <w:szCs w:val="22"/>
        </w:rPr>
        <w:t>wellbeing</w:t>
      </w:r>
      <w:r w:rsidRPr="006A1C35">
        <w:rPr>
          <w:rFonts w:ascii="Arial" w:hAnsi="Arial" w:cs="Arial"/>
          <w:sz w:val="22"/>
          <w:szCs w:val="22"/>
        </w:rPr>
        <w:t xml:space="preserve">, </w:t>
      </w:r>
      <w:r w:rsidR="00BF4BEE" w:rsidRPr="006A1C35">
        <w:rPr>
          <w:rFonts w:ascii="Arial" w:hAnsi="Arial" w:cs="Arial"/>
          <w:sz w:val="22"/>
          <w:szCs w:val="22"/>
        </w:rPr>
        <w:t xml:space="preserve">autonomy, recognition, and clarity. </w:t>
      </w:r>
    </w:p>
    <w:p w14:paraId="7F346148" w14:textId="77777777" w:rsidR="006A1C35" w:rsidRPr="006A1C35" w:rsidRDefault="006A1C35" w:rsidP="006A1C35">
      <w:pPr>
        <w:spacing w:line="360" w:lineRule="auto"/>
        <w:jc w:val="both"/>
        <w:rPr>
          <w:rFonts w:ascii="Arial" w:hAnsi="Arial" w:cs="Arial"/>
          <w:sz w:val="22"/>
          <w:szCs w:val="22"/>
        </w:rPr>
      </w:pPr>
    </w:p>
    <w:p w14:paraId="10E2EF72" w14:textId="3B1E8E13" w:rsidR="006A1C35" w:rsidRDefault="00BF4BEE" w:rsidP="006A1C35">
      <w:pPr>
        <w:spacing w:line="360" w:lineRule="auto"/>
        <w:jc w:val="both"/>
        <w:rPr>
          <w:rFonts w:ascii="Arial" w:hAnsi="Arial" w:cs="Arial"/>
          <w:b/>
          <w:bCs/>
          <w:sz w:val="22"/>
          <w:szCs w:val="22"/>
        </w:rPr>
      </w:pPr>
      <w:r w:rsidRPr="006A1C35">
        <w:rPr>
          <w:rFonts w:ascii="Arial" w:hAnsi="Arial" w:cs="Arial"/>
          <w:b/>
          <w:bCs/>
          <w:sz w:val="22"/>
          <w:szCs w:val="22"/>
        </w:rPr>
        <w:t xml:space="preserve">The sense of </w:t>
      </w:r>
      <w:r w:rsidR="002D41B4" w:rsidRPr="006A1C35">
        <w:rPr>
          <w:rFonts w:ascii="Arial" w:hAnsi="Arial" w:cs="Arial"/>
          <w:b/>
          <w:bCs/>
          <w:sz w:val="22"/>
          <w:szCs w:val="22"/>
        </w:rPr>
        <w:t xml:space="preserve">Belonging </w:t>
      </w:r>
    </w:p>
    <w:p w14:paraId="1E3D4EBD" w14:textId="77777777" w:rsidR="006A1C35" w:rsidRPr="006A1C35" w:rsidRDefault="006A1C35" w:rsidP="006A1C35">
      <w:pPr>
        <w:spacing w:line="360" w:lineRule="auto"/>
        <w:jc w:val="both"/>
        <w:rPr>
          <w:rFonts w:ascii="Arial" w:hAnsi="Arial" w:cs="Arial"/>
          <w:b/>
          <w:bCs/>
          <w:sz w:val="22"/>
          <w:szCs w:val="22"/>
        </w:rPr>
      </w:pPr>
    </w:p>
    <w:p w14:paraId="14DA0816" w14:textId="629E0704" w:rsidR="00BF4BEE" w:rsidRDefault="00917BB0" w:rsidP="006A1C35">
      <w:pPr>
        <w:spacing w:line="360" w:lineRule="auto"/>
        <w:jc w:val="both"/>
        <w:rPr>
          <w:rFonts w:ascii="Arial" w:hAnsi="Arial" w:cs="Arial"/>
          <w:sz w:val="22"/>
          <w:szCs w:val="22"/>
        </w:rPr>
      </w:pPr>
      <w:r w:rsidRPr="006A1C35">
        <w:rPr>
          <w:rFonts w:ascii="Arial" w:hAnsi="Arial" w:cs="Arial"/>
          <w:sz w:val="22"/>
          <w:szCs w:val="22"/>
        </w:rPr>
        <w:t>Belonging driver refers to the feeling of being a part of organisation. Human being</w:t>
      </w:r>
      <w:r w:rsidR="00065B1D" w:rsidRPr="006A1C35">
        <w:rPr>
          <w:rFonts w:ascii="Arial" w:hAnsi="Arial" w:cs="Arial"/>
          <w:sz w:val="22"/>
          <w:szCs w:val="22"/>
        </w:rPr>
        <w:t>s</w:t>
      </w:r>
      <w:r w:rsidRPr="006A1C35">
        <w:rPr>
          <w:rFonts w:ascii="Arial" w:hAnsi="Arial" w:cs="Arial"/>
          <w:sz w:val="22"/>
          <w:szCs w:val="22"/>
        </w:rPr>
        <w:t xml:space="preserve"> need to socialise and with time working remotely employee may not feel connected as before the pandemic. </w:t>
      </w:r>
      <w:r w:rsidR="002D41B4" w:rsidRPr="006A1C35">
        <w:rPr>
          <w:rFonts w:ascii="Arial" w:hAnsi="Arial" w:cs="Arial"/>
          <w:sz w:val="22"/>
          <w:szCs w:val="22"/>
        </w:rPr>
        <w:t>Despite, using tools such as Skype, Google meetings, Zoom and other ways to communicate in-person meetings are still needed to build strong emotional connection.</w:t>
      </w:r>
    </w:p>
    <w:p w14:paraId="031BF54A" w14:textId="77777777" w:rsidR="006A1C35" w:rsidRPr="006A1C35" w:rsidRDefault="006A1C35" w:rsidP="006A1C35">
      <w:pPr>
        <w:spacing w:line="360" w:lineRule="auto"/>
        <w:jc w:val="both"/>
        <w:rPr>
          <w:rFonts w:ascii="Arial" w:hAnsi="Arial" w:cs="Arial"/>
          <w:sz w:val="22"/>
          <w:szCs w:val="22"/>
        </w:rPr>
      </w:pPr>
    </w:p>
    <w:p w14:paraId="1CF725CE" w14:textId="629DCA4F" w:rsidR="002D41B4" w:rsidRDefault="002D41B4" w:rsidP="006A1C35">
      <w:pPr>
        <w:spacing w:line="360" w:lineRule="auto"/>
        <w:jc w:val="both"/>
        <w:rPr>
          <w:rFonts w:ascii="Arial" w:hAnsi="Arial" w:cs="Arial"/>
          <w:b/>
          <w:bCs/>
          <w:sz w:val="22"/>
          <w:szCs w:val="22"/>
        </w:rPr>
      </w:pPr>
      <w:r w:rsidRPr="006A1C35">
        <w:rPr>
          <w:rFonts w:ascii="Arial" w:hAnsi="Arial" w:cs="Arial"/>
          <w:b/>
          <w:bCs/>
          <w:sz w:val="22"/>
          <w:szCs w:val="22"/>
        </w:rPr>
        <w:lastRenderedPageBreak/>
        <w:t xml:space="preserve">Pride </w:t>
      </w:r>
      <w:r w:rsidR="00BF4BEE" w:rsidRPr="006A1C35">
        <w:rPr>
          <w:rFonts w:ascii="Arial" w:hAnsi="Arial" w:cs="Arial"/>
          <w:b/>
          <w:bCs/>
          <w:sz w:val="22"/>
          <w:szCs w:val="22"/>
        </w:rPr>
        <w:t xml:space="preserve">for organisation </w:t>
      </w:r>
    </w:p>
    <w:p w14:paraId="5A671BE8" w14:textId="77777777" w:rsidR="006A1C35" w:rsidRPr="006A1C35" w:rsidRDefault="006A1C35" w:rsidP="006A1C35">
      <w:pPr>
        <w:spacing w:line="360" w:lineRule="auto"/>
        <w:jc w:val="both"/>
        <w:rPr>
          <w:rFonts w:ascii="Arial" w:hAnsi="Arial" w:cs="Arial"/>
          <w:b/>
          <w:bCs/>
          <w:sz w:val="22"/>
          <w:szCs w:val="22"/>
        </w:rPr>
      </w:pPr>
    </w:p>
    <w:p w14:paraId="22D48ABF" w14:textId="40CB96C6" w:rsidR="00BF4BEE" w:rsidRPr="006A1C35" w:rsidRDefault="002D41B4" w:rsidP="006A1C35">
      <w:pPr>
        <w:spacing w:line="360" w:lineRule="auto"/>
        <w:jc w:val="both"/>
        <w:rPr>
          <w:rFonts w:ascii="Arial" w:hAnsi="Arial" w:cs="Arial"/>
          <w:sz w:val="22"/>
          <w:szCs w:val="22"/>
        </w:rPr>
      </w:pPr>
      <w:r w:rsidRPr="006A1C35">
        <w:rPr>
          <w:rFonts w:ascii="Arial" w:hAnsi="Arial" w:cs="Arial"/>
          <w:sz w:val="22"/>
          <w:szCs w:val="22"/>
        </w:rPr>
        <w:t xml:space="preserve">Employees are driven by the need to align their values with organisational values. If they are proud of organisation, their interest and dedication towards their job is increasing which may show an increased performance. Also, if organisation acknowledges and supports social movements to combat discrimination or racism it can boost their pride in their organisation and the level of engagement can rise as well. </w:t>
      </w:r>
    </w:p>
    <w:p w14:paraId="5D640D6F" w14:textId="77777777" w:rsidR="00BF4BEE" w:rsidRPr="006A1C35" w:rsidRDefault="00BF4BEE" w:rsidP="006A1C35">
      <w:pPr>
        <w:spacing w:line="360" w:lineRule="auto"/>
        <w:jc w:val="both"/>
        <w:rPr>
          <w:rFonts w:ascii="Arial" w:hAnsi="Arial" w:cs="Arial"/>
          <w:sz w:val="22"/>
          <w:szCs w:val="22"/>
        </w:rPr>
      </w:pPr>
    </w:p>
    <w:p w14:paraId="0C9E69D2" w14:textId="40A670A4" w:rsidR="0062440A" w:rsidRDefault="002D41B4" w:rsidP="006A1C35">
      <w:pPr>
        <w:spacing w:line="360" w:lineRule="auto"/>
        <w:jc w:val="both"/>
        <w:rPr>
          <w:rFonts w:ascii="Arial" w:hAnsi="Arial" w:cs="Arial"/>
          <w:b/>
          <w:bCs/>
          <w:sz w:val="22"/>
          <w:szCs w:val="22"/>
        </w:rPr>
      </w:pPr>
      <w:r w:rsidRPr="006A1C35">
        <w:rPr>
          <w:rFonts w:ascii="Arial" w:hAnsi="Arial" w:cs="Arial"/>
          <w:b/>
          <w:bCs/>
          <w:sz w:val="22"/>
          <w:szCs w:val="22"/>
        </w:rPr>
        <w:t xml:space="preserve">Employee wellbeing </w:t>
      </w:r>
    </w:p>
    <w:p w14:paraId="4C3C29DB" w14:textId="77777777" w:rsidR="006A1C35" w:rsidRPr="006A1C35" w:rsidRDefault="006A1C35" w:rsidP="006A1C35">
      <w:pPr>
        <w:spacing w:line="360" w:lineRule="auto"/>
        <w:jc w:val="both"/>
        <w:rPr>
          <w:rFonts w:ascii="Arial" w:hAnsi="Arial" w:cs="Arial"/>
          <w:b/>
          <w:bCs/>
          <w:sz w:val="22"/>
          <w:szCs w:val="22"/>
        </w:rPr>
      </w:pPr>
    </w:p>
    <w:p w14:paraId="3A9A4F72" w14:textId="3102685A" w:rsidR="00BF4BEE" w:rsidRDefault="002D41B4" w:rsidP="006A1C35">
      <w:pPr>
        <w:spacing w:line="360" w:lineRule="auto"/>
        <w:jc w:val="both"/>
        <w:rPr>
          <w:rFonts w:ascii="Arial" w:hAnsi="Arial" w:cs="Arial"/>
          <w:sz w:val="22"/>
          <w:szCs w:val="22"/>
        </w:rPr>
      </w:pPr>
      <w:r w:rsidRPr="006A1C35">
        <w:rPr>
          <w:rFonts w:ascii="Arial" w:hAnsi="Arial" w:cs="Arial"/>
          <w:sz w:val="22"/>
          <w:szCs w:val="22"/>
        </w:rPr>
        <w:t xml:space="preserve">Employee wellbeing is another important driver. Considering that Covid-19 impacted upon every aspect of our lives, mental health became an issue. Employees were under a lot of pressure to manage changes at work and home. Employers, therefore, must take responsibility for employee wellbeing by adapting measures to help them in work-life balance. </w:t>
      </w:r>
    </w:p>
    <w:p w14:paraId="446A074E" w14:textId="77777777" w:rsidR="006A1C35" w:rsidRPr="006A1C35" w:rsidRDefault="006A1C35" w:rsidP="006A1C35">
      <w:pPr>
        <w:spacing w:line="360" w:lineRule="auto"/>
        <w:jc w:val="both"/>
        <w:rPr>
          <w:rFonts w:ascii="Arial" w:hAnsi="Arial" w:cs="Arial"/>
          <w:sz w:val="22"/>
          <w:szCs w:val="22"/>
        </w:rPr>
      </w:pPr>
    </w:p>
    <w:p w14:paraId="3DADC7A8" w14:textId="32A72789" w:rsidR="0062440A" w:rsidRDefault="00F42F19" w:rsidP="006A1C35">
      <w:pPr>
        <w:spacing w:line="360" w:lineRule="auto"/>
        <w:jc w:val="both"/>
        <w:rPr>
          <w:rFonts w:ascii="Arial" w:hAnsi="Arial" w:cs="Arial"/>
          <w:b/>
          <w:bCs/>
          <w:sz w:val="22"/>
          <w:szCs w:val="22"/>
        </w:rPr>
      </w:pPr>
      <w:r w:rsidRPr="006A1C35">
        <w:rPr>
          <w:rFonts w:ascii="Arial" w:hAnsi="Arial" w:cs="Arial"/>
          <w:b/>
          <w:bCs/>
          <w:sz w:val="22"/>
          <w:szCs w:val="22"/>
        </w:rPr>
        <w:t xml:space="preserve">Autonomy </w:t>
      </w:r>
    </w:p>
    <w:p w14:paraId="51A47155" w14:textId="77777777" w:rsidR="006A1C35" w:rsidRPr="006A1C35" w:rsidRDefault="006A1C35" w:rsidP="006A1C35">
      <w:pPr>
        <w:spacing w:line="360" w:lineRule="auto"/>
        <w:jc w:val="both"/>
        <w:rPr>
          <w:rFonts w:ascii="Arial" w:hAnsi="Arial" w:cs="Arial"/>
          <w:b/>
          <w:bCs/>
          <w:sz w:val="22"/>
          <w:szCs w:val="22"/>
        </w:rPr>
      </w:pPr>
    </w:p>
    <w:p w14:paraId="7E0A441E" w14:textId="2C9CBD6B" w:rsidR="00BF4BEE" w:rsidRDefault="00F42F19" w:rsidP="006A1C35">
      <w:pPr>
        <w:spacing w:line="360" w:lineRule="auto"/>
        <w:jc w:val="both"/>
        <w:rPr>
          <w:rFonts w:ascii="Arial" w:hAnsi="Arial" w:cs="Arial"/>
          <w:sz w:val="22"/>
          <w:szCs w:val="22"/>
        </w:rPr>
      </w:pPr>
      <w:r w:rsidRPr="006A1C35">
        <w:rPr>
          <w:rFonts w:ascii="Arial" w:hAnsi="Arial" w:cs="Arial"/>
          <w:sz w:val="22"/>
          <w:szCs w:val="22"/>
        </w:rPr>
        <w:t xml:space="preserve">Autonomy is another key driver in employee engagement. Digital working gave employees autonomy, as they are not supervised as they used to while working from offices. Thompson (2021) stated that “Employees spent 12% less time in meetings and 9% more time on crucial work; with a marked impact on the satisfaction brought about by these tasks. “Therefore, they have gained the power to take decisions in term of their schedule and workloads. </w:t>
      </w:r>
    </w:p>
    <w:p w14:paraId="141B8F29" w14:textId="77777777" w:rsidR="006A1C35" w:rsidRPr="006A1C35" w:rsidRDefault="006A1C35" w:rsidP="006A1C35">
      <w:pPr>
        <w:spacing w:line="360" w:lineRule="auto"/>
        <w:jc w:val="both"/>
        <w:rPr>
          <w:rFonts w:ascii="Arial" w:hAnsi="Arial" w:cs="Arial"/>
          <w:sz w:val="22"/>
          <w:szCs w:val="22"/>
        </w:rPr>
      </w:pPr>
    </w:p>
    <w:p w14:paraId="4B4309CE" w14:textId="004FD0D8" w:rsidR="00F42F19" w:rsidRDefault="00F42F19" w:rsidP="006A1C35">
      <w:pPr>
        <w:spacing w:line="360" w:lineRule="auto"/>
        <w:jc w:val="both"/>
        <w:rPr>
          <w:rFonts w:ascii="Arial" w:hAnsi="Arial" w:cs="Arial"/>
          <w:b/>
          <w:bCs/>
          <w:sz w:val="22"/>
          <w:szCs w:val="22"/>
        </w:rPr>
      </w:pPr>
      <w:r w:rsidRPr="006A1C35">
        <w:rPr>
          <w:rFonts w:ascii="Arial" w:hAnsi="Arial" w:cs="Arial"/>
          <w:b/>
          <w:bCs/>
          <w:sz w:val="22"/>
          <w:szCs w:val="22"/>
        </w:rPr>
        <w:t xml:space="preserve">Recognition and rewards </w:t>
      </w:r>
    </w:p>
    <w:p w14:paraId="110BA3BF" w14:textId="77777777" w:rsidR="006A1C35" w:rsidRPr="006A1C35" w:rsidRDefault="006A1C35" w:rsidP="006A1C35">
      <w:pPr>
        <w:spacing w:line="360" w:lineRule="auto"/>
        <w:jc w:val="both"/>
        <w:rPr>
          <w:rFonts w:ascii="Arial" w:hAnsi="Arial" w:cs="Arial"/>
          <w:b/>
          <w:bCs/>
          <w:sz w:val="22"/>
          <w:szCs w:val="22"/>
        </w:rPr>
      </w:pPr>
    </w:p>
    <w:p w14:paraId="301D1EB8" w14:textId="65B12965" w:rsidR="00BF4BEE" w:rsidRDefault="00F42F19" w:rsidP="006A1C35">
      <w:pPr>
        <w:spacing w:line="360" w:lineRule="auto"/>
        <w:jc w:val="both"/>
        <w:rPr>
          <w:rFonts w:ascii="Arial" w:hAnsi="Arial" w:cs="Arial"/>
          <w:sz w:val="22"/>
          <w:szCs w:val="22"/>
        </w:rPr>
      </w:pPr>
      <w:r w:rsidRPr="006A1C35">
        <w:rPr>
          <w:rFonts w:ascii="Arial" w:hAnsi="Arial" w:cs="Arial"/>
          <w:sz w:val="22"/>
          <w:szCs w:val="22"/>
        </w:rPr>
        <w:t>Recognition and rewards are an important employee engagement driver. If leaders show appreciation to employees, they feel valued and their effort to improve their work increases. Celebrating success is a good step to bring employee</w:t>
      </w:r>
      <w:r w:rsidR="00BF4BEE" w:rsidRPr="006A1C35">
        <w:rPr>
          <w:rFonts w:ascii="Arial" w:hAnsi="Arial" w:cs="Arial"/>
          <w:sz w:val="22"/>
          <w:szCs w:val="22"/>
        </w:rPr>
        <w:t>s</w:t>
      </w:r>
      <w:r w:rsidRPr="006A1C35">
        <w:rPr>
          <w:rFonts w:ascii="Arial" w:hAnsi="Arial" w:cs="Arial"/>
          <w:sz w:val="22"/>
          <w:szCs w:val="22"/>
        </w:rPr>
        <w:t xml:space="preserve"> together and boost their motivation</w:t>
      </w:r>
      <w:r w:rsidR="00BF4BEE" w:rsidRPr="006A1C35">
        <w:rPr>
          <w:rFonts w:ascii="Arial" w:hAnsi="Arial" w:cs="Arial"/>
          <w:sz w:val="22"/>
          <w:szCs w:val="22"/>
        </w:rPr>
        <w:t xml:space="preserve"> which is much required in period of pandemic. </w:t>
      </w:r>
    </w:p>
    <w:p w14:paraId="588DE4AD" w14:textId="77777777" w:rsidR="006A1C35" w:rsidRPr="006A1C35" w:rsidRDefault="006A1C35" w:rsidP="006A1C35">
      <w:pPr>
        <w:spacing w:line="360" w:lineRule="auto"/>
        <w:jc w:val="both"/>
        <w:rPr>
          <w:rFonts w:ascii="Arial" w:hAnsi="Arial" w:cs="Arial"/>
          <w:sz w:val="22"/>
          <w:szCs w:val="22"/>
        </w:rPr>
      </w:pPr>
    </w:p>
    <w:p w14:paraId="3828E516" w14:textId="06958F7D" w:rsidR="0062440A" w:rsidRDefault="00BF4BEE" w:rsidP="006A1C35">
      <w:pPr>
        <w:spacing w:line="360" w:lineRule="auto"/>
        <w:jc w:val="both"/>
        <w:rPr>
          <w:rFonts w:ascii="Arial" w:hAnsi="Arial" w:cs="Arial"/>
          <w:b/>
          <w:bCs/>
          <w:sz w:val="22"/>
          <w:szCs w:val="22"/>
        </w:rPr>
      </w:pPr>
      <w:r w:rsidRPr="006A1C35">
        <w:rPr>
          <w:rFonts w:ascii="Arial" w:hAnsi="Arial" w:cs="Arial"/>
          <w:b/>
          <w:bCs/>
          <w:sz w:val="22"/>
          <w:szCs w:val="22"/>
        </w:rPr>
        <w:t xml:space="preserve">Clarity </w:t>
      </w:r>
    </w:p>
    <w:p w14:paraId="32AE59A0" w14:textId="77777777" w:rsidR="006A1C35" w:rsidRPr="006A1C35" w:rsidRDefault="006A1C35" w:rsidP="006A1C35">
      <w:pPr>
        <w:spacing w:line="360" w:lineRule="auto"/>
        <w:jc w:val="both"/>
        <w:rPr>
          <w:rFonts w:ascii="Arial" w:hAnsi="Arial" w:cs="Arial"/>
          <w:b/>
          <w:bCs/>
          <w:sz w:val="22"/>
          <w:szCs w:val="22"/>
        </w:rPr>
      </w:pPr>
    </w:p>
    <w:p w14:paraId="29EB412A" w14:textId="20C16811" w:rsidR="006A1C35" w:rsidRPr="006A1C35" w:rsidRDefault="00BF4BEE" w:rsidP="006A1C35">
      <w:pPr>
        <w:spacing w:line="360" w:lineRule="auto"/>
        <w:jc w:val="both"/>
        <w:rPr>
          <w:rFonts w:ascii="Arial" w:hAnsi="Arial" w:cs="Arial"/>
          <w:sz w:val="22"/>
          <w:szCs w:val="22"/>
        </w:rPr>
      </w:pPr>
      <w:r w:rsidRPr="006A1C35">
        <w:rPr>
          <w:rFonts w:ascii="Arial" w:hAnsi="Arial" w:cs="Arial"/>
          <w:sz w:val="22"/>
          <w:szCs w:val="22"/>
        </w:rPr>
        <w:t xml:space="preserve">Workers have a better experience if they have clarity on company values, direction and on their own role towards achieving it. Lack of clarity can confuse and disengage them. Promoting transparency is a good way to provide clarity for employees. </w:t>
      </w:r>
    </w:p>
    <w:p w14:paraId="09E78725" w14:textId="575A8B0F" w:rsidR="0062440A" w:rsidRPr="006A1C35" w:rsidRDefault="00BF5DED" w:rsidP="006A1C35">
      <w:pPr>
        <w:pStyle w:val="Titlu1"/>
        <w:spacing w:line="360" w:lineRule="auto"/>
        <w:rPr>
          <w:rFonts w:ascii="Arial" w:hAnsi="Arial" w:cs="Arial"/>
          <w:b/>
          <w:bCs/>
          <w:i/>
          <w:iCs/>
          <w:color w:val="000000" w:themeColor="text1"/>
        </w:rPr>
      </w:pPr>
      <w:bookmarkStart w:id="8" w:name="_Toc92204799"/>
      <w:r w:rsidRPr="006A1C35">
        <w:rPr>
          <w:rFonts w:ascii="Arial" w:hAnsi="Arial" w:cs="Arial"/>
          <w:b/>
          <w:bCs/>
          <w:i/>
          <w:iCs/>
          <w:color w:val="000000" w:themeColor="text1"/>
        </w:rPr>
        <w:lastRenderedPageBreak/>
        <w:t>Measuring employee engagement and performance</w:t>
      </w:r>
      <w:bookmarkEnd w:id="8"/>
      <w:r w:rsidRPr="006A1C35">
        <w:rPr>
          <w:rFonts w:ascii="Arial" w:hAnsi="Arial" w:cs="Arial"/>
          <w:b/>
          <w:bCs/>
          <w:i/>
          <w:iCs/>
          <w:color w:val="000000" w:themeColor="text1"/>
        </w:rPr>
        <w:t xml:space="preserve"> </w:t>
      </w:r>
    </w:p>
    <w:p w14:paraId="19AD2157" w14:textId="21E4C180" w:rsidR="0005146E" w:rsidRPr="006A1C35" w:rsidRDefault="0005146E" w:rsidP="006A1C35">
      <w:pPr>
        <w:spacing w:line="360" w:lineRule="auto"/>
        <w:rPr>
          <w:rFonts w:ascii="Arial" w:hAnsi="Arial" w:cs="Arial"/>
          <w:sz w:val="22"/>
          <w:szCs w:val="22"/>
        </w:rPr>
      </w:pPr>
    </w:p>
    <w:p w14:paraId="4C0791F7" w14:textId="39CE7873" w:rsidR="0033723D" w:rsidRDefault="00F47E4A" w:rsidP="006A1C35">
      <w:pPr>
        <w:spacing w:line="360" w:lineRule="auto"/>
        <w:jc w:val="both"/>
        <w:rPr>
          <w:rFonts w:ascii="Arial" w:hAnsi="Arial" w:cs="Arial"/>
          <w:sz w:val="22"/>
          <w:szCs w:val="22"/>
        </w:rPr>
      </w:pPr>
      <w:r w:rsidRPr="006A1C35">
        <w:rPr>
          <w:rFonts w:ascii="Arial" w:hAnsi="Arial" w:cs="Arial"/>
          <w:sz w:val="22"/>
          <w:szCs w:val="22"/>
        </w:rPr>
        <w:t xml:space="preserve">Employee engagement and performance go hand in hand. These two elements should be considered together because they depend on each other. </w:t>
      </w:r>
      <w:r w:rsidR="0005146E" w:rsidRPr="006A1C35">
        <w:rPr>
          <w:rFonts w:ascii="Arial" w:hAnsi="Arial" w:cs="Arial"/>
          <w:sz w:val="22"/>
          <w:szCs w:val="22"/>
        </w:rPr>
        <w:t>There are various tools that can be used to understand weather the performance is improved by engagement</w:t>
      </w:r>
      <w:r w:rsidRPr="006A1C35">
        <w:rPr>
          <w:rFonts w:ascii="Arial" w:hAnsi="Arial" w:cs="Arial"/>
          <w:sz w:val="22"/>
          <w:szCs w:val="22"/>
        </w:rPr>
        <w:t xml:space="preserve"> and vice versa. </w:t>
      </w:r>
      <w:r w:rsidR="0005146E" w:rsidRPr="006A1C35">
        <w:rPr>
          <w:rFonts w:ascii="Arial" w:hAnsi="Arial" w:cs="Arial"/>
          <w:sz w:val="22"/>
          <w:szCs w:val="22"/>
        </w:rPr>
        <w:t xml:space="preserve">  </w:t>
      </w:r>
    </w:p>
    <w:p w14:paraId="40EFB0B0" w14:textId="77777777" w:rsidR="006A1C35" w:rsidRPr="006A1C35" w:rsidRDefault="006A1C35" w:rsidP="006A1C35">
      <w:pPr>
        <w:spacing w:line="360" w:lineRule="auto"/>
        <w:jc w:val="both"/>
        <w:rPr>
          <w:rFonts w:ascii="Arial" w:hAnsi="Arial" w:cs="Arial"/>
          <w:sz w:val="22"/>
          <w:szCs w:val="22"/>
        </w:rPr>
      </w:pPr>
    </w:p>
    <w:p w14:paraId="70BA93D7" w14:textId="77777777" w:rsidR="0033723D" w:rsidRPr="006A1C35" w:rsidRDefault="0033723D" w:rsidP="006A1C35">
      <w:pPr>
        <w:pStyle w:val="Titlu2"/>
        <w:spacing w:line="360" w:lineRule="auto"/>
        <w:rPr>
          <w:rFonts w:ascii="Arial" w:hAnsi="Arial" w:cs="Arial"/>
          <w:color w:val="000000" w:themeColor="text1"/>
          <w:sz w:val="28"/>
          <w:szCs w:val="28"/>
        </w:rPr>
      </w:pPr>
      <w:bookmarkStart w:id="9" w:name="_Toc92129433"/>
      <w:bookmarkStart w:id="10" w:name="_Toc92204800"/>
      <w:r w:rsidRPr="006A1C35">
        <w:rPr>
          <w:rFonts w:ascii="Arial" w:hAnsi="Arial" w:cs="Arial"/>
          <w:color w:val="000000" w:themeColor="text1"/>
          <w:sz w:val="28"/>
          <w:szCs w:val="28"/>
        </w:rPr>
        <w:t>Measures applied</w:t>
      </w:r>
      <w:bookmarkEnd w:id="9"/>
      <w:r w:rsidRPr="006A1C35">
        <w:rPr>
          <w:rFonts w:ascii="Arial" w:hAnsi="Arial" w:cs="Arial"/>
          <w:color w:val="000000" w:themeColor="text1"/>
          <w:sz w:val="28"/>
          <w:szCs w:val="28"/>
        </w:rPr>
        <w:t xml:space="preserve"> at Orbis</w:t>
      </w:r>
      <w:bookmarkEnd w:id="10"/>
      <w:r w:rsidRPr="006A1C35">
        <w:rPr>
          <w:rFonts w:ascii="Arial" w:hAnsi="Arial" w:cs="Arial"/>
          <w:color w:val="000000" w:themeColor="text1"/>
          <w:sz w:val="28"/>
          <w:szCs w:val="28"/>
        </w:rPr>
        <w:t xml:space="preserve"> </w:t>
      </w:r>
    </w:p>
    <w:p w14:paraId="40C68190" w14:textId="77777777" w:rsidR="0033723D" w:rsidRPr="006A1C35" w:rsidRDefault="0033723D" w:rsidP="006A1C35">
      <w:pPr>
        <w:spacing w:line="360" w:lineRule="auto"/>
        <w:rPr>
          <w:rFonts w:ascii="Arial" w:hAnsi="Arial" w:cs="Arial"/>
          <w:sz w:val="22"/>
          <w:szCs w:val="22"/>
        </w:rPr>
      </w:pPr>
    </w:p>
    <w:p w14:paraId="1A653EDE" w14:textId="77777777" w:rsidR="0033723D" w:rsidRPr="006A1C35" w:rsidRDefault="0033723D" w:rsidP="006A1C35">
      <w:pPr>
        <w:spacing w:line="360" w:lineRule="auto"/>
        <w:jc w:val="both"/>
        <w:rPr>
          <w:rFonts w:ascii="Arial" w:hAnsi="Arial" w:cs="Arial"/>
          <w:sz w:val="22"/>
          <w:szCs w:val="22"/>
        </w:rPr>
      </w:pPr>
      <w:r w:rsidRPr="006A1C35">
        <w:rPr>
          <w:rFonts w:ascii="Arial" w:hAnsi="Arial" w:cs="Arial"/>
          <w:sz w:val="22"/>
          <w:szCs w:val="22"/>
        </w:rPr>
        <w:t xml:space="preserve">Orbis Protect provides vacant property, management service and it has multiple offices across the UK. During pandemic, measures were applied to continue operations. Some of the measures used were working from home including flexible working hours, restructuring role, and making the workplace safe. Engaging employees remotely may be challenging on the other hand, is a must in order to keep them interested and do not leave the job. Based on Ahmed (2019) stated that “Orbis Protect provides devices for more than 30,000 lone-workers every day, using sophisticated technology backed up by a responsive, knowledgeable support team. Its clients include Ocado, the NHS, Transport for London”. Flexible working hours is another measure that has been applied. It has been done to improve the wellbeing of employees, to help them to manage change. </w:t>
      </w:r>
    </w:p>
    <w:p w14:paraId="5B1448D0" w14:textId="77777777" w:rsidR="0033723D" w:rsidRPr="006A1C35" w:rsidRDefault="0033723D" w:rsidP="006A1C35">
      <w:pPr>
        <w:spacing w:line="360" w:lineRule="auto"/>
        <w:jc w:val="both"/>
        <w:rPr>
          <w:rFonts w:ascii="Arial" w:hAnsi="Arial" w:cs="Arial"/>
          <w:sz w:val="22"/>
          <w:szCs w:val="22"/>
        </w:rPr>
      </w:pPr>
    </w:p>
    <w:p w14:paraId="3787D31B" w14:textId="5551BC7D" w:rsidR="0033723D" w:rsidRPr="006A1C35" w:rsidRDefault="0033723D" w:rsidP="006A1C35">
      <w:pPr>
        <w:pStyle w:val="Titlu2"/>
        <w:spacing w:line="360" w:lineRule="auto"/>
        <w:rPr>
          <w:rFonts w:ascii="Arial" w:hAnsi="Arial" w:cs="Arial"/>
          <w:color w:val="000000" w:themeColor="text1"/>
          <w:sz w:val="28"/>
          <w:szCs w:val="28"/>
        </w:rPr>
      </w:pPr>
      <w:bookmarkStart w:id="11" w:name="_Toc92204801"/>
      <w:r w:rsidRPr="006A1C35">
        <w:rPr>
          <w:rFonts w:ascii="Arial" w:hAnsi="Arial" w:cs="Arial"/>
          <w:color w:val="000000" w:themeColor="text1"/>
          <w:sz w:val="28"/>
          <w:szCs w:val="28"/>
        </w:rPr>
        <w:t>Tools to measure performance</w:t>
      </w:r>
      <w:bookmarkEnd w:id="11"/>
      <w:r w:rsidRPr="006A1C35">
        <w:rPr>
          <w:rFonts w:ascii="Arial" w:hAnsi="Arial" w:cs="Arial"/>
          <w:color w:val="000000" w:themeColor="text1"/>
          <w:sz w:val="28"/>
          <w:szCs w:val="28"/>
        </w:rPr>
        <w:t xml:space="preserve"> </w:t>
      </w:r>
    </w:p>
    <w:p w14:paraId="3BB8EA3E" w14:textId="77777777" w:rsidR="0033723D" w:rsidRPr="006A1C35" w:rsidRDefault="0033723D" w:rsidP="006A1C35">
      <w:pPr>
        <w:spacing w:line="360" w:lineRule="auto"/>
        <w:rPr>
          <w:rFonts w:ascii="Arial" w:hAnsi="Arial" w:cs="Arial"/>
          <w:sz w:val="22"/>
          <w:szCs w:val="22"/>
        </w:rPr>
      </w:pPr>
    </w:p>
    <w:p w14:paraId="63F5707E" w14:textId="343A3173" w:rsidR="00BF5DED" w:rsidRPr="006A1C35" w:rsidRDefault="00BF5DED" w:rsidP="006A1C35">
      <w:pPr>
        <w:spacing w:line="360" w:lineRule="auto"/>
        <w:jc w:val="both"/>
        <w:rPr>
          <w:rFonts w:ascii="Arial" w:hAnsi="Arial" w:cs="Arial"/>
          <w:sz w:val="22"/>
          <w:szCs w:val="22"/>
        </w:rPr>
      </w:pPr>
      <w:r w:rsidRPr="006A1C35">
        <w:rPr>
          <w:rFonts w:ascii="Arial" w:hAnsi="Arial" w:cs="Arial"/>
          <w:sz w:val="22"/>
          <w:szCs w:val="22"/>
        </w:rPr>
        <w:t xml:space="preserve">According to Kelleher (2013) some of the methods to measure engagement and performance include effective balanced score card, effectively communicating the results to employees, measuring individual performance, using surveys to measure engagement, assessing team’s engagement level.  </w:t>
      </w:r>
    </w:p>
    <w:p w14:paraId="005E5980" w14:textId="00D9D32B" w:rsidR="0062440A" w:rsidRPr="006A1C35" w:rsidRDefault="00BF5DED" w:rsidP="006A1C35">
      <w:pPr>
        <w:spacing w:before="100" w:beforeAutospacing="1" w:after="100" w:afterAutospacing="1" w:line="360" w:lineRule="auto"/>
        <w:rPr>
          <w:rFonts w:ascii="Arial" w:hAnsi="Arial" w:cs="Arial"/>
          <w:b/>
          <w:bCs/>
          <w:sz w:val="22"/>
          <w:szCs w:val="22"/>
        </w:rPr>
      </w:pPr>
      <w:r w:rsidRPr="006A1C35">
        <w:rPr>
          <w:rFonts w:ascii="Arial" w:hAnsi="Arial" w:cs="Arial"/>
          <w:b/>
          <w:bCs/>
          <w:sz w:val="22"/>
          <w:szCs w:val="22"/>
        </w:rPr>
        <w:t xml:space="preserve">Balanced scorecard </w:t>
      </w:r>
    </w:p>
    <w:p w14:paraId="4FDB16CF" w14:textId="0BAB2C66" w:rsidR="00BF5DED" w:rsidRPr="006A1C35" w:rsidRDefault="00275AFA" w:rsidP="006A1C35">
      <w:pPr>
        <w:spacing w:before="100" w:beforeAutospacing="1" w:after="100" w:afterAutospacing="1" w:line="360" w:lineRule="auto"/>
        <w:jc w:val="both"/>
        <w:rPr>
          <w:rFonts w:ascii="Arial" w:hAnsi="Arial" w:cs="Arial"/>
          <w:sz w:val="22"/>
          <w:szCs w:val="22"/>
        </w:rPr>
      </w:pPr>
      <w:r w:rsidRPr="006A1C35">
        <w:rPr>
          <w:rFonts w:ascii="Arial" w:hAnsi="Arial" w:cs="Arial"/>
          <w:sz w:val="22"/>
          <w:szCs w:val="22"/>
        </w:rPr>
        <w:t xml:space="preserve">Balanced scorecard metric can be used to monitor performance where four elements are used for evaluation. These are customer satisfaction, departmental progress, training and learning requirements and financial analysis. </w:t>
      </w:r>
      <w:r w:rsidR="00F47E4A" w:rsidRPr="006A1C35">
        <w:rPr>
          <w:rFonts w:ascii="Arial" w:hAnsi="Arial" w:cs="Arial"/>
          <w:sz w:val="22"/>
          <w:szCs w:val="22"/>
        </w:rPr>
        <w:t xml:space="preserve">The financial perspective measures key indicators of organisational financial status. Customer satisfaction measures success factors within relationship with consumers. Next element departmental progress refers to measuring the performance within internal operations. </w:t>
      </w:r>
      <w:r w:rsidR="00F47E4A" w:rsidRPr="006A1C35">
        <w:rPr>
          <w:rFonts w:ascii="Arial" w:hAnsi="Arial" w:cs="Arial"/>
          <w:sz w:val="22"/>
          <w:szCs w:val="22"/>
        </w:rPr>
        <w:lastRenderedPageBreak/>
        <w:t xml:space="preserve">Learning and training or HR measures corporate environment along with its culture. </w:t>
      </w:r>
      <w:sdt>
        <w:sdtPr>
          <w:rPr>
            <w:rFonts w:ascii="Arial" w:hAnsi="Arial" w:cs="Arial"/>
            <w:sz w:val="22"/>
            <w:szCs w:val="22"/>
          </w:rPr>
          <w:id w:val="-581294209"/>
          <w:citation/>
        </w:sdtPr>
        <w:sdtEndPr/>
        <w:sdtContent>
          <w:r w:rsidR="00F47E4A" w:rsidRPr="006A1C35">
            <w:rPr>
              <w:rFonts w:ascii="Arial" w:hAnsi="Arial" w:cs="Arial"/>
              <w:sz w:val="22"/>
              <w:szCs w:val="22"/>
            </w:rPr>
            <w:fldChar w:fldCharType="begin"/>
          </w:r>
          <w:r w:rsidR="00F47E4A" w:rsidRPr="006A1C35">
            <w:rPr>
              <w:rFonts w:ascii="Arial" w:hAnsi="Arial" w:cs="Arial"/>
              <w:sz w:val="22"/>
              <w:szCs w:val="22"/>
            </w:rPr>
            <w:instrText xml:space="preserve"> CITATION Gar12 \l 2057 </w:instrText>
          </w:r>
          <w:r w:rsidR="00F47E4A" w:rsidRPr="006A1C35">
            <w:rPr>
              <w:rFonts w:ascii="Arial" w:hAnsi="Arial" w:cs="Arial"/>
              <w:sz w:val="22"/>
              <w:szCs w:val="22"/>
            </w:rPr>
            <w:fldChar w:fldCharType="separate"/>
          </w:r>
          <w:r w:rsidR="00F47E4A" w:rsidRPr="006A1C35">
            <w:rPr>
              <w:rFonts w:ascii="Arial" w:hAnsi="Arial" w:cs="Arial"/>
              <w:noProof/>
              <w:sz w:val="22"/>
              <w:szCs w:val="22"/>
            </w:rPr>
            <w:t>(Garengo, 2012)</w:t>
          </w:r>
          <w:r w:rsidR="00F47E4A" w:rsidRPr="006A1C35">
            <w:rPr>
              <w:rFonts w:ascii="Arial" w:hAnsi="Arial" w:cs="Arial"/>
              <w:sz w:val="22"/>
              <w:szCs w:val="22"/>
            </w:rPr>
            <w:fldChar w:fldCharType="end"/>
          </w:r>
        </w:sdtContent>
      </w:sdt>
      <w:r w:rsidR="00F47E4A" w:rsidRPr="006A1C35">
        <w:rPr>
          <w:rFonts w:ascii="Arial" w:hAnsi="Arial" w:cs="Arial"/>
          <w:sz w:val="22"/>
          <w:szCs w:val="22"/>
        </w:rPr>
        <w:t xml:space="preserve"> </w:t>
      </w:r>
    </w:p>
    <w:p w14:paraId="1EB60613" w14:textId="792EEBF7" w:rsidR="00BF5DED" w:rsidRPr="006A1C35" w:rsidRDefault="00BF5DED" w:rsidP="006A1C35">
      <w:pPr>
        <w:spacing w:before="100" w:beforeAutospacing="1" w:after="100" w:afterAutospacing="1" w:line="360" w:lineRule="auto"/>
        <w:rPr>
          <w:rFonts w:ascii="Arial" w:hAnsi="Arial" w:cs="Arial"/>
          <w:b/>
          <w:bCs/>
          <w:sz w:val="22"/>
          <w:szCs w:val="22"/>
        </w:rPr>
      </w:pPr>
      <w:r w:rsidRPr="006A1C35">
        <w:rPr>
          <w:rFonts w:ascii="Arial" w:hAnsi="Arial" w:cs="Arial"/>
          <w:b/>
          <w:bCs/>
          <w:sz w:val="22"/>
          <w:szCs w:val="22"/>
        </w:rPr>
        <w:t xml:space="preserve">Measuring individual performance </w:t>
      </w:r>
    </w:p>
    <w:p w14:paraId="6493534A" w14:textId="3FFF1667" w:rsidR="00BF5DED" w:rsidRPr="006A1C35" w:rsidRDefault="00275AFA" w:rsidP="006A1C35">
      <w:pPr>
        <w:spacing w:before="100" w:beforeAutospacing="1" w:after="100" w:afterAutospacing="1" w:line="360" w:lineRule="auto"/>
        <w:jc w:val="both"/>
        <w:rPr>
          <w:rFonts w:ascii="Arial" w:hAnsi="Arial" w:cs="Arial"/>
          <w:sz w:val="22"/>
          <w:szCs w:val="22"/>
        </w:rPr>
      </w:pPr>
      <w:r w:rsidRPr="006A1C35">
        <w:rPr>
          <w:rFonts w:ascii="Arial" w:hAnsi="Arial" w:cs="Arial"/>
          <w:sz w:val="22"/>
          <w:szCs w:val="22"/>
        </w:rPr>
        <w:t>KPIs can be used to measure individual performance of employees.  It provides data on how well they are delivering on their strategic objectives</w:t>
      </w:r>
      <w:r w:rsidR="00F47E4A" w:rsidRPr="006A1C35">
        <w:rPr>
          <w:rFonts w:ascii="Arial" w:hAnsi="Arial" w:cs="Arial"/>
          <w:sz w:val="22"/>
          <w:szCs w:val="22"/>
        </w:rPr>
        <w:t xml:space="preserve">. </w:t>
      </w:r>
      <w:sdt>
        <w:sdtPr>
          <w:rPr>
            <w:rFonts w:ascii="Arial" w:hAnsi="Arial" w:cs="Arial"/>
            <w:sz w:val="22"/>
            <w:szCs w:val="22"/>
          </w:rPr>
          <w:id w:val="1325015986"/>
          <w:citation/>
        </w:sdtPr>
        <w:sdtEndPr/>
        <w:sdtContent>
          <w:r w:rsidR="00F47E4A" w:rsidRPr="006A1C35">
            <w:rPr>
              <w:rFonts w:ascii="Arial" w:hAnsi="Arial" w:cs="Arial"/>
              <w:sz w:val="22"/>
              <w:szCs w:val="22"/>
            </w:rPr>
            <w:fldChar w:fldCharType="begin"/>
          </w:r>
          <w:r w:rsidR="00F47E4A" w:rsidRPr="006A1C35">
            <w:rPr>
              <w:rFonts w:ascii="Arial" w:hAnsi="Arial" w:cs="Arial"/>
              <w:sz w:val="22"/>
              <w:szCs w:val="22"/>
            </w:rPr>
            <w:instrText xml:space="preserve"> CITATION Kel13 \l 2057 </w:instrText>
          </w:r>
          <w:r w:rsidR="00F47E4A" w:rsidRPr="006A1C35">
            <w:rPr>
              <w:rFonts w:ascii="Arial" w:hAnsi="Arial" w:cs="Arial"/>
              <w:sz w:val="22"/>
              <w:szCs w:val="22"/>
            </w:rPr>
            <w:fldChar w:fldCharType="separate"/>
          </w:r>
          <w:r w:rsidR="00F47E4A" w:rsidRPr="006A1C35">
            <w:rPr>
              <w:rFonts w:ascii="Arial" w:hAnsi="Arial" w:cs="Arial"/>
              <w:noProof/>
              <w:sz w:val="22"/>
              <w:szCs w:val="22"/>
            </w:rPr>
            <w:t>(Kelleher, 2013)</w:t>
          </w:r>
          <w:r w:rsidR="00F47E4A" w:rsidRPr="006A1C35">
            <w:rPr>
              <w:rFonts w:ascii="Arial" w:hAnsi="Arial" w:cs="Arial"/>
              <w:sz w:val="22"/>
              <w:szCs w:val="22"/>
            </w:rPr>
            <w:fldChar w:fldCharType="end"/>
          </w:r>
        </w:sdtContent>
      </w:sdt>
      <w:r w:rsidR="00F47E4A" w:rsidRPr="006A1C35">
        <w:rPr>
          <w:rFonts w:ascii="Arial" w:hAnsi="Arial" w:cs="Arial"/>
          <w:sz w:val="22"/>
          <w:szCs w:val="22"/>
        </w:rPr>
        <w:t>It is crucial to ensure that</w:t>
      </w:r>
      <w:r w:rsidRPr="006A1C35">
        <w:rPr>
          <w:rFonts w:ascii="Arial" w:hAnsi="Arial" w:cs="Arial"/>
          <w:sz w:val="22"/>
          <w:szCs w:val="22"/>
        </w:rPr>
        <w:t xml:space="preserve"> metrics are relevant and meaningful</w:t>
      </w:r>
      <w:r w:rsidR="00F47E4A" w:rsidRPr="006A1C35">
        <w:rPr>
          <w:rFonts w:ascii="Arial" w:hAnsi="Arial" w:cs="Arial"/>
          <w:sz w:val="22"/>
          <w:szCs w:val="22"/>
        </w:rPr>
        <w:t xml:space="preserve">. The Key performance indicator help the leader to make viable decisions and guide their team to achieve clarity in the way they are progressing. To ensure data accuracy it is important to conduct it frequently.  </w:t>
      </w:r>
    </w:p>
    <w:p w14:paraId="380B4B01" w14:textId="4D3A4B27" w:rsidR="0033723D" w:rsidRPr="006A1C35" w:rsidRDefault="0033723D" w:rsidP="006A1C35">
      <w:pPr>
        <w:pStyle w:val="Titlu2"/>
        <w:spacing w:line="360" w:lineRule="auto"/>
        <w:rPr>
          <w:rFonts w:ascii="Arial" w:hAnsi="Arial" w:cs="Arial"/>
          <w:color w:val="000000" w:themeColor="text1"/>
          <w:sz w:val="28"/>
          <w:szCs w:val="28"/>
        </w:rPr>
      </w:pPr>
      <w:bookmarkStart w:id="12" w:name="_Toc92204802"/>
      <w:r w:rsidRPr="006A1C35">
        <w:rPr>
          <w:rFonts w:ascii="Arial" w:hAnsi="Arial" w:cs="Arial"/>
          <w:color w:val="000000" w:themeColor="text1"/>
          <w:sz w:val="28"/>
          <w:szCs w:val="28"/>
        </w:rPr>
        <w:t>Measuring engagement</w:t>
      </w:r>
      <w:bookmarkEnd w:id="12"/>
      <w:r w:rsidRPr="006A1C35">
        <w:rPr>
          <w:rFonts w:ascii="Arial" w:hAnsi="Arial" w:cs="Arial"/>
          <w:color w:val="000000" w:themeColor="text1"/>
          <w:sz w:val="28"/>
          <w:szCs w:val="28"/>
        </w:rPr>
        <w:t xml:space="preserve"> </w:t>
      </w:r>
    </w:p>
    <w:p w14:paraId="2CA9C0A2" w14:textId="5DFC0C71" w:rsidR="00BF5DED" w:rsidRPr="006A1C35" w:rsidRDefault="00BF5DED" w:rsidP="006A1C35">
      <w:pPr>
        <w:spacing w:before="100" w:beforeAutospacing="1" w:after="100" w:afterAutospacing="1" w:line="360" w:lineRule="auto"/>
        <w:rPr>
          <w:rFonts w:ascii="Arial" w:hAnsi="Arial" w:cs="Arial"/>
          <w:b/>
          <w:bCs/>
          <w:sz w:val="22"/>
          <w:szCs w:val="22"/>
        </w:rPr>
      </w:pPr>
      <w:r w:rsidRPr="006A1C35">
        <w:rPr>
          <w:rFonts w:ascii="Arial" w:hAnsi="Arial" w:cs="Arial"/>
          <w:b/>
          <w:bCs/>
          <w:sz w:val="22"/>
          <w:szCs w:val="22"/>
        </w:rPr>
        <w:t xml:space="preserve">Survey </w:t>
      </w:r>
    </w:p>
    <w:p w14:paraId="62243E1F" w14:textId="7EED573A" w:rsidR="00F47E4A" w:rsidRPr="006A1C35" w:rsidRDefault="00275AFA" w:rsidP="006A1C35">
      <w:pPr>
        <w:spacing w:before="100" w:beforeAutospacing="1" w:after="100" w:afterAutospacing="1" w:line="360" w:lineRule="auto"/>
        <w:jc w:val="both"/>
        <w:rPr>
          <w:rFonts w:ascii="Arial" w:hAnsi="Arial" w:cs="Arial"/>
          <w:sz w:val="22"/>
          <w:szCs w:val="22"/>
        </w:rPr>
      </w:pPr>
      <w:r w:rsidRPr="006A1C35">
        <w:rPr>
          <w:rFonts w:ascii="Arial" w:hAnsi="Arial" w:cs="Arial"/>
          <w:sz w:val="22"/>
          <w:szCs w:val="22"/>
        </w:rPr>
        <w:t xml:space="preserve">Employee survey are a good tool to measure engagement and their satisfaction. As it gives valuable information on what employees think on the other hand, employees may not provide a sincere answer because of fear or other factors. Also, the information may not be accurate, and it is required to be regularly updated to ensure relevancy. </w:t>
      </w:r>
      <w:r w:rsidR="00F47E4A" w:rsidRPr="006A1C35">
        <w:rPr>
          <w:rFonts w:ascii="Arial" w:hAnsi="Arial" w:cs="Arial"/>
          <w:sz w:val="22"/>
          <w:szCs w:val="22"/>
        </w:rPr>
        <w:t>Waal (2014) argued that it is a strong connection between employee satisfaction and the outcomes of organisation. Despite multiple advantages that are identified in theory the scholar suggested that in practice there are problems related to it. These include lack of improvement action, inaccuracy in measurement and limited scope of employee survey.</w:t>
      </w:r>
      <w:sdt>
        <w:sdtPr>
          <w:rPr>
            <w:rFonts w:ascii="Arial" w:hAnsi="Arial" w:cs="Arial"/>
            <w:sz w:val="22"/>
            <w:szCs w:val="22"/>
          </w:rPr>
          <w:id w:val="-2098001218"/>
          <w:citation/>
        </w:sdtPr>
        <w:sdtEndPr/>
        <w:sdtContent>
          <w:r w:rsidR="00F47E4A" w:rsidRPr="006A1C35">
            <w:rPr>
              <w:rFonts w:ascii="Arial" w:hAnsi="Arial" w:cs="Arial"/>
              <w:sz w:val="22"/>
              <w:szCs w:val="22"/>
            </w:rPr>
            <w:fldChar w:fldCharType="begin"/>
          </w:r>
          <w:r w:rsidR="00F47E4A" w:rsidRPr="006A1C35">
            <w:rPr>
              <w:rFonts w:ascii="Arial" w:hAnsi="Arial" w:cs="Arial"/>
              <w:sz w:val="22"/>
              <w:szCs w:val="22"/>
            </w:rPr>
            <w:instrText xml:space="preserve"> CITATION And14 \l 2057 </w:instrText>
          </w:r>
          <w:r w:rsidR="00F47E4A" w:rsidRPr="006A1C35">
            <w:rPr>
              <w:rFonts w:ascii="Arial" w:hAnsi="Arial" w:cs="Arial"/>
              <w:sz w:val="22"/>
              <w:szCs w:val="22"/>
            </w:rPr>
            <w:fldChar w:fldCharType="separate"/>
          </w:r>
          <w:r w:rsidR="00F47E4A" w:rsidRPr="006A1C35">
            <w:rPr>
              <w:rFonts w:ascii="Arial" w:hAnsi="Arial" w:cs="Arial"/>
              <w:noProof/>
              <w:sz w:val="22"/>
              <w:szCs w:val="22"/>
            </w:rPr>
            <w:t xml:space="preserve"> (Waal, 2014)</w:t>
          </w:r>
          <w:r w:rsidR="00F47E4A" w:rsidRPr="006A1C35">
            <w:rPr>
              <w:rFonts w:ascii="Arial" w:hAnsi="Arial" w:cs="Arial"/>
              <w:sz w:val="22"/>
              <w:szCs w:val="22"/>
            </w:rPr>
            <w:fldChar w:fldCharType="end"/>
          </w:r>
        </w:sdtContent>
      </w:sdt>
    </w:p>
    <w:p w14:paraId="598BF3C5" w14:textId="504B3BA8" w:rsidR="00BF5DED" w:rsidRPr="006A1C35" w:rsidRDefault="00275AFA" w:rsidP="006A1C35">
      <w:pPr>
        <w:spacing w:before="100" w:beforeAutospacing="1" w:after="100" w:afterAutospacing="1" w:line="360" w:lineRule="auto"/>
        <w:rPr>
          <w:rFonts w:ascii="Arial" w:hAnsi="Arial" w:cs="Arial"/>
          <w:b/>
          <w:bCs/>
          <w:sz w:val="22"/>
          <w:szCs w:val="22"/>
        </w:rPr>
      </w:pPr>
      <w:r w:rsidRPr="006A1C35">
        <w:rPr>
          <w:rFonts w:ascii="Arial" w:hAnsi="Arial" w:cs="Arial"/>
          <w:b/>
          <w:bCs/>
          <w:sz w:val="22"/>
          <w:szCs w:val="22"/>
        </w:rPr>
        <w:t xml:space="preserve">Direct observation </w:t>
      </w:r>
    </w:p>
    <w:p w14:paraId="5961373C" w14:textId="22BA8607" w:rsidR="0062440A" w:rsidRPr="006A1C35" w:rsidRDefault="00275AFA" w:rsidP="006A1C35">
      <w:pPr>
        <w:spacing w:before="100" w:beforeAutospacing="1" w:after="100" w:afterAutospacing="1" w:line="360" w:lineRule="auto"/>
        <w:jc w:val="both"/>
        <w:rPr>
          <w:rFonts w:ascii="Arial" w:hAnsi="Arial" w:cs="Arial"/>
          <w:sz w:val="22"/>
          <w:szCs w:val="22"/>
        </w:rPr>
      </w:pPr>
      <w:r w:rsidRPr="006A1C35">
        <w:rPr>
          <w:rFonts w:ascii="Arial" w:hAnsi="Arial" w:cs="Arial"/>
          <w:sz w:val="22"/>
          <w:szCs w:val="22"/>
        </w:rPr>
        <w:t xml:space="preserve">Observing directly how employee engage can give important insight </w:t>
      </w:r>
      <w:r w:rsidR="00F47E4A" w:rsidRPr="006A1C35">
        <w:rPr>
          <w:rFonts w:ascii="Arial" w:hAnsi="Arial" w:cs="Arial"/>
          <w:sz w:val="22"/>
          <w:szCs w:val="22"/>
        </w:rPr>
        <w:t xml:space="preserve">into </w:t>
      </w:r>
      <w:r w:rsidRPr="006A1C35">
        <w:rPr>
          <w:rFonts w:ascii="Arial" w:hAnsi="Arial" w:cs="Arial"/>
          <w:sz w:val="22"/>
          <w:szCs w:val="22"/>
        </w:rPr>
        <w:t xml:space="preserve">their behaviour, social relationships, their </w:t>
      </w:r>
      <w:r w:rsidR="00F47E4A" w:rsidRPr="006A1C35">
        <w:rPr>
          <w:rFonts w:ascii="Arial" w:hAnsi="Arial" w:cs="Arial"/>
          <w:sz w:val="22"/>
          <w:szCs w:val="22"/>
        </w:rPr>
        <w:t xml:space="preserve">welfare, and processes etc. </w:t>
      </w:r>
      <w:r w:rsidRPr="006A1C35">
        <w:rPr>
          <w:rFonts w:ascii="Arial" w:hAnsi="Arial" w:cs="Arial"/>
          <w:sz w:val="22"/>
          <w:szCs w:val="22"/>
        </w:rPr>
        <w:t xml:space="preserve"> However, as most of the operations remain remotely it may be difficult </w:t>
      </w:r>
      <w:r w:rsidR="00F47E4A" w:rsidRPr="006A1C35">
        <w:rPr>
          <w:rFonts w:ascii="Arial" w:hAnsi="Arial" w:cs="Arial"/>
          <w:sz w:val="22"/>
          <w:szCs w:val="22"/>
        </w:rPr>
        <w:t xml:space="preserve">or impossible </w:t>
      </w:r>
      <w:r w:rsidRPr="006A1C35">
        <w:rPr>
          <w:rFonts w:ascii="Arial" w:hAnsi="Arial" w:cs="Arial"/>
          <w:sz w:val="22"/>
          <w:szCs w:val="22"/>
        </w:rPr>
        <w:t>to observe them</w:t>
      </w:r>
      <w:r w:rsidR="00F47E4A" w:rsidRPr="006A1C35">
        <w:rPr>
          <w:rFonts w:ascii="Arial" w:hAnsi="Arial" w:cs="Arial"/>
          <w:sz w:val="22"/>
          <w:szCs w:val="22"/>
        </w:rPr>
        <w:t xml:space="preserve">. </w:t>
      </w:r>
      <w:r w:rsidRPr="006A1C35">
        <w:rPr>
          <w:rFonts w:ascii="Arial" w:hAnsi="Arial" w:cs="Arial"/>
          <w:sz w:val="22"/>
          <w:szCs w:val="22"/>
        </w:rPr>
        <w:t xml:space="preserve"> </w:t>
      </w:r>
      <w:r w:rsidR="00F47E4A" w:rsidRPr="006A1C35">
        <w:rPr>
          <w:rFonts w:ascii="Arial" w:hAnsi="Arial" w:cs="Arial"/>
          <w:sz w:val="22"/>
          <w:szCs w:val="22"/>
        </w:rPr>
        <w:t xml:space="preserve">For example, while in the meeting many employees tend to do not turn on their cameras which again is limiting non-verbal communication which is important to understand how they feel and what action can be taken to support them if they struggle. It is time consuming tool and may not cover accurately everything some important aspects may be missed which can lead to poor judgement. </w:t>
      </w:r>
    </w:p>
    <w:p w14:paraId="68B46E51" w14:textId="6CF906F8" w:rsidR="006A1C35" w:rsidRPr="006A1C35" w:rsidRDefault="006A1C35" w:rsidP="006A1C35">
      <w:pPr>
        <w:spacing w:before="100" w:beforeAutospacing="1" w:after="100" w:afterAutospacing="1" w:line="360" w:lineRule="auto"/>
        <w:jc w:val="both"/>
        <w:rPr>
          <w:rFonts w:ascii="Arial" w:hAnsi="Arial" w:cs="Arial"/>
          <w:sz w:val="22"/>
          <w:szCs w:val="22"/>
        </w:rPr>
      </w:pPr>
    </w:p>
    <w:p w14:paraId="288D475D" w14:textId="77777777" w:rsidR="006A1C35" w:rsidRPr="006A1C35" w:rsidRDefault="006A1C35" w:rsidP="006A1C35">
      <w:pPr>
        <w:spacing w:before="100" w:beforeAutospacing="1" w:after="100" w:afterAutospacing="1" w:line="360" w:lineRule="auto"/>
        <w:jc w:val="both"/>
        <w:rPr>
          <w:rFonts w:ascii="Arial" w:hAnsi="Arial" w:cs="Arial"/>
          <w:sz w:val="22"/>
          <w:szCs w:val="22"/>
        </w:rPr>
      </w:pPr>
    </w:p>
    <w:p w14:paraId="7D7DD149" w14:textId="7E32ABB9" w:rsidR="0062440A" w:rsidRPr="006A1C35" w:rsidRDefault="0062440A" w:rsidP="006A1C35">
      <w:pPr>
        <w:pStyle w:val="Titlu1"/>
        <w:spacing w:line="360" w:lineRule="auto"/>
        <w:jc w:val="center"/>
        <w:rPr>
          <w:rFonts w:ascii="Arial" w:eastAsia="Times New Roman" w:hAnsi="Arial" w:cs="Arial"/>
          <w:b/>
          <w:bCs/>
          <w:i/>
          <w:iCs/>
          <w:color w:val="000000" w:themeColor="text1"/>
          <w:lang w:eastAsia="en-GB"/>
        </w:rPr>
      </w:pPr>
      <w:bookmarkStart w:id="13" w:name="_Toc92129435"/>
      <w:bookmarkStart w:id="14" w:name="_Toc92204803"/>
      <w:r w:rsidRPr="006A1C35">
        <w:rPr>
          <w:rFonts w:ascii="Arial" w:eastAsia="Times New Roman" w:hAnsi="Arial" w:cs="Arial"/>
          <w:b/>
          <w:bCs/>
          <w:i/>
          <w:iCs/>
          <w:color w:val="000000" w:themeColor="text1"/>
          <w:lang w:eastAsia="en-GB"/>
        </w:rPr>
        <w:t xml:space="preserve">Methods to </w:t>
      </w:r>
      <w:r w:rsidR="00F47E4A" w:rsidRPr="006A1C35">
        <w:rPr>
          <w:rFonts w:ascii="Arial" w:eastAsia="Times New Roman" w:hAnsi="Arial" w:cs="Arial"/>
          <w:b/>
          <w:bCs/>
          <w:i/>
          <w:iCs/>
          <w:color w:val="000000" w:themeColor="text1"/>
          <w:lang w:eastAsia="en-GB"/>
        </w:rPr>
        <w:t>raise</w:t>
      </w:r>
      <w:r w:rsidRPr="006A1C35">
        <w:rPr>
          <w:rFonts w:ascii="Arial" w:eastAsia="Times New Roman" w:hAnsi="Arial" w:cs="Arial"/>
          <w:b/>
          <w:bCs/>
          <w:i/>
          <w:iCs/>
          <w:color w:val="000000" w:themeColor="text1"/>
          <w:lang w:eastAsia="en-GB"/>
        </w:rPr>
        <w:t xml:space="preserve"> levels of </w:t>
      </w:r>
      <w:r w:rsidR="00F47E4A" w:rsidRPr="006A1C35">
        <w:rPr>
          <w:rFonts w:ascii="Arial" w:eastAsia="Times New Roman" w:hAnsi="Arial" w:cs="Arial"/>
          <w:b/>
          <w:bCs/>
          <w:i/>
          <w:iCs/>
          <w:color w:val="000000" w:themeColor="text1"/>
          <w:lang w:eastAsia="en-GB"/>
        </w:rPr>
        <w:t xml:space="preserve">employee </w:t>
      </w:r>
      <w:r w:rsidRPr="006A1C35">
        <w:rPr>
          <w:rFonts w:ascii="Arial" w:eastAsia="Times New Roman" w:hAnsi="Arial" w:cs="Arial"/>
          <w:b/>
          <w:bCs/>
          <w:i/>
          <w:iCs/>
          <w:color w:val="000000" w:themeColor="text1"/>
          <w:lang w:eastAsia="en-GB"/>
        </w:rPr>
        <w:t>engagement within Orbis protect</w:t>
      </w:r>
      <w:bookmarkEnd w:id="13"/>
      <w:bookmarkEnd w:id="14"/>
    </w:p>
    <w:p w14:paraId="00DEB6AB" w14:textId="77777777" w:rsidR="00F47E4A" w:rsidRPr="006A1C35" w:rsidRDefault="00F47E4A" w:rsidP="006A1C35">
      <w:pPr>
        <w:spacing w:line="360" w:lineRule="auto"/>
        <w:rPr>
          <w:rFonts w:ascii="Arial" w:hAnsi="Arial" w:cs="Arial"/>
          <w:sz w:val="22"/>
          <w:szCs w:val="22"/>
          <w:lang w:eastAsia="en-GB"/>
        </w:rPr>
      </w:pPr>
    </w:p>
    <w:p w14:paraId="2C8455DA" w14:textId="2B9F1367" w:rsidR="00F47E4A" w:rsidRPr="006A1C35" w:rsidRDefault="00F47E4A" w:rsidP="006A1C35">
      <w:pPr>
        <w:spacing w:line="360" w:lineRule="auto"/>
        <w:jc w:val="both"/>
        <w:rPr>
          <w:rFonts w:ascii="Arial" w:hAnsi="Arial" w:cs="Arial"/>
          <w:sz w:val="22"/>
          <w:szCs w:val="22"/>
          <w:lang w:eastAsia="en-GB"/>
        </w:rPr>
      </w:pPr>
      <w:r w:rsidRPr="006A1C35">
        <w:rPr>
          <w:rFonts w:ascii="Arial" w:hAnsi="Arial" w:cs="Arial"/>
          <w:sz w:val="22"/>
          <w:szCs w:val="22"/>
          <w:lang w:eastAsia="en-GB"/>
        </w:rPr>
        <w:t>As discussed previously, engaging employee can be extremely challenging due to measures applied such as working from home, flexible working hours due to Covid -19, Despite, multiple barriers to engage it is crucial to do so as it will help to maintain employee satisfaction and retention.</w:t>
      </w:r>
    </w:p>
    <w:p w14:paraId="5BF122A9" w14:textId="77777777" w:rsidR="0033723D" w:rsidRPr="006A1C35" w:rsidRDefault="0033723D" w:rsidP="006A1C35">
      <w:pPr>
        <w:spacing w:line="360" w:lineRule="auto"/>
        <w:rPr>
          <w:rFonts w:ascii="Arial" w:hAnsi="Arial" w:cs="Arial"/>
          <w:sz w:val="22"/>
          <w:szCs w:val="22"/>
          <w:lang w:eastAsia="en-GB"/>
        </w:rPr>
      </w:pPr>
    </w:p>
    <w:p w14:paraId="15A7433E" w14:textId="5815C6EF" w:rsidR="00F47E4A" w:rsidRPr="006A1C35" w:rsidRDefault="00F47E4A" w:rsidP="006A1C35">
      <w:pPr>
        <w:pStyle w:val="Titlu2"/>
        <w:spacing w:line="360" w:lineRule="auto"/>
        <w:rPr>
          <w:rFonts w:ascii="Arial" w:hAnsi="Arial" w:cs="Arial"/>
          <w:color w:val="000000" w:themeColor="text1"/>
          <w:sz w:val="28"/>
          <w:szCs w:val="28"/>
          <w:lang w:eastAsia="en-GB"/>
        </w:rPr>
      </w:pPr>
      <w:bookmarkStart w:id="15" w:name="_Toc92204804"/>
      <w:r w:rsidRPr="006A1C35">
        <w:rPr>
          <w:rFonts w:ascii="Arial" w:hAnsi="Arial" w:cs="Arial"/>
          <w:color w:val="000000" w:themeColor="text1"/>
          <w:sz w:val="28"/>
          <w:szCs w:val="28"/>
          <w:lang w:eastAsia="en-GB"/>
        </w:rPr>
        <w:t>Tips to raise engagement</w:t>
      </w:r>
      <w:bookmarkEnd w:id="15"/>
      <w:r w:rsidRPr="006A1C35">
        <w:rPr>
          <w:rFonts w:ascii="Arial" w:hAnsi="Arial" w:cs="Arial"/>
          <w:color w:val="000000" w:themeColor="text1"/>
          <w:sz w:val="28"/>
          <w:szCs w:val="28"/>
          <w:lang w:eastAsia="en-GB"/>
        </w:rPr>
        <w:t xml:space="preserve"> </w:t>
      </w:r>
    </w:p>
    <w:p w14:paraId="21EE7E9E" w14:textId="557C2AB2" w:rsidR="0062440A" w:rsidRPr="006A1C35" w:rsidRDefault="0062440A" w:rsidP="006A1C35">
      <w:pPr>
        <w:spacing w:line="360" w:lineRule="auto"/>
        <w:rPr>
          <w:rFonts w:ascii="Arial" w:hAnsi="Arial" w:cs="Arial"/>
          <w:sz w:val="22"/>
          <w:szCs w:val="22"/>
          <w:lang w:eastAsia="en-GB"/>
        </w:rPr>
      </w:pPr>
    </w:p>
    <w:p w14:paraId="7FD7A791" w14:textId="4B3F736F" w:rsidR="00F47E4A" w:rsidRPr="006A1C35" w:rsidRDefault="00F47E4A" w:rsidP="006A1C35">
      <w:pPr>
        <w:spacing w:line="360" w:lineRule="auto"/>
        <w:jc w:val="both"/>
        <w:rPr>
          <w:rFonts w:ascii="Arial" w:hAnsi="Arial" w:cs="Arial"/>
          <w:sz w:val="22"/>
          <w:szCs w:val="22"/>
          <w:lang w:eastAsia="en-GB"/>
        </w:rPr>
      </w:pPr>
      <w:r w:rsidRPr="006A1C35">
        <w:rPr>
          <w:rFonts w:ascii="Arial" w:hAnsi="Arial" w:cs="Arial"/>
          <w:sz w:val="22"/>
          <w:szCs w:val="22"/>
          <w:lang w:eastAsia="en-GB"/>
        </w:rPr>
        <w:t xml:space="preserve">Many employers ask themselves what can be done to engage workers during pandemic. As it is a new trend lack of data and research studies may make it even more difficult to ensure effectiveness. Nevertheless, some of the basic tips for engagement provided by Quantum Workplace (2021) include staying calm by showing confidence to employees as well. Another suggestion includes being proactive which refers to anticipating potential questions that may rise and prepare a detailed plan to communicate regularly with employees by keeping them informed. Besides that, it may be useful to understand their needs and empathize, acknowledging employee concern and showing support will give them a sense of belonging and that they can rely on company to listen to their concern. </w:t>
      </w:r>
    </w:p>
    <w:p w14:paraId="194B47D5" w14:textId="088E505E" w:rsidR="00F47E4A" w:rsidRPr="006A1C35" w:rsidRDefault="00F47E4A" w:rsidP="006A1C35">
      <w:pPr>
        <w:spacing w:line="360" w:lineRule="auto"/>
        <w:jc w:val="both"/>
        <w:rPr>
          <w:rFonts w:ascii="Arial" w:hAnsi="Arial" w:cs="Arial"/>
          <w:sz w:val="22"/>
          <w:szCs w:val="22"/>
          <w:lang w:eastAsia="en-GB"/>
        </w:rPr>
      </w:pPr>
      <w:r w:rsidRPr="006A1C35">
        <w:rPr>
          <w:rFonts w:ascii="Arial" w:hAnsi="Arial" w:cs="Arial"/>
          <w:sz w:val="22"/>
          <w:szCs w:val="22"/>
          <w:lang w:eastAsia="en-GB"/>
        </w:rPr>
        <w:t xml:space="preserve">It is a difficult time not only for employees but especially for employers, managers and leaders as the pressure is even higher for them to learn new skills and abilities, transmit this information to employees and ensure the business succeeds. It is why finding alternatives to connect daily for both work tasks and recreation activities may be a good strategy to boost engagement. </w:t>
      </w:r>
      <w:sdt>
        <w:sdtPr>
          <w:rPr>
            <w:rFonts w:ascii="Arial" w:hAnsi="Arial" w:cs="Arial"/>
            <w:sz w:val="22"/>
            <w:szCs w:val="22"/>
            <w:lang w:eastAsia="en-GB"/>
          </w:rPr>
          <w:id w:val="-1078282441"/>
          <w:citation/>
        </w:sdtPr>
        <w:sdtEndPr/>
        <w:sdtContent>
          <w:r w:rsidRPr="006A1C35">
            <w:rPr>
              <w:rFonts w:ascii="Arial" w:hAnsi="Arial" w:cs="Arial"/>
              <w:sz w:val="22"/>
              <w:szCs w:val="22"/>
              <w:lang w:eastAsia="en-GB"/>
            </w:rPr>
            <w:fldChar w:fldCharType="begin"/>
          </w:r>
          <w:r w:rsidRPr="006A1C35">
            <w:rPr>
              <w:rFonts w:ascii="Arial" w:hAnsi="Arial" w:cs="Arial"/>
              <w:sz w:val="22"/>
              <w:szCs w:val="22"/>
              <w:lang w:eastAsia="en-GB"/>
            </w:rPr>
            <w:instrText xml:space="preserve"> CITATION Qua21 \l 2057 </w:instrText>
          </w:r>
          <w:r w:rsidRPr="006A1C35">
            <w:rPr>
              <w:rFonts w:ascii="Arial" w:hAnsi="Arial" w:cs="Arial"/>
              <w:sz w:val="22"/>
              <w:szCs w:val="22"/>
              <w:lang w:eastAsia="en-GB"/>
            </w:rPr>
            <w:fldChar w:fldCharType="separate"/>
          </w:r>
          <w:r w:rsidRPr="006A1C35">
            <w:rPr>
              <w:rFonts w:ascii="Arial" w:hAnsi="Arial" w:cs="Arial"/>
              <w:noProof/>
              <w:sz w:val="22"/>
              <w:szCs w:val="22"/>
              <w:lang w:eastAsia="en-GB"/>
            </w:rPr>
            <w:t>(Quantum Workplace, 2021)</w:t>
          </w:r>
          <w:r w:rsidRPr="006A1C35">
            <w:rPr>
              <w:rFonts w:ascii="Arial" w:hAnsi="Arial" w:cs="Arial"/>
              <w:sz w:val="22"/>
              <w:szCs w:val="22"/>
              <w:lang w:eastAsia="en-GB"/>
            </w:rPr>
            <w:fldChar w:fldCharType="end"/>
          </w:r>
        </w:sdtContent>
      </w:sdt>
      <w:r w:rsidRPr="006A1C35">
        <w:rPr>
          <w:rFonts w:ascii="Arial" w:hAnsi="Arial" w:cs="Arial"/>
          <w:sz w:val="22"/>
          <w:szCs w:val="22"/>
          <w:lang w:eastAsia="en-GB"/>
        </w:rPr>
        <w:t xml:space="preserve">Effective management during pandemic play an important role in maintaining employees engaged because it provides clarity which is much required during these times. Managers should set clear expectations what is required to deliver performance, show flexibility in term of working time along with gratitude for their effort. </w:t>
      </w:r>
    </w:p>
    <w:p w14:paraId="475C0676" w14:textId="77777777" w:rsidR="0062440A" w:rsidRPr="006A1C35" w:rsidRDefault="0062440A" w:rsidP="006A1C35">
      <w:pPr>
        <w:spacing w:line="360" w:lineRule="auto"/>
        <w:rPr>
          <w:rFonts w:ascii="Arial" w:hAnsi="Arial" w:cs="Arial"/>
          <w:sz w:val="22"/>
          <w:szCs w:val="22"/>
          <w:lang w:eastAsia="en-GB"/>
        </w:rPr>
      </w:pPr>
    </w:p>
    <w:p w14:paraId="673D9D6C" w14:textId="77777777" w:rsidR="006A1C35" w:rsidRDefault="006A1C35" w:rsidP="006A1C35">
      <w:pPr>
        <w:pStyle w:val="Titlu2"/>
        <w:spacing w:line="360" w:lineRule="auto"/>
        <w:rPr>
          <w:rFonts w:ascii="Arial" w:hAnsi="Arial" w:cs="Arial"/>
          <w:sz w:val="22"/>
          <w:szCs w:val="22"/>
        </w:rPr>
      </w:pPr>
      <w:bookmarkStart w:id="16" w:name="_Toc92129436"/>
      <w:bookmarkStart w:id="17" w:name="_Toc92204805"/>
    </w:p>
    <w:p w14:paraId="57824277" w14:textId="6D86CB99" w:rsidR="0062440A" w:rsidRPr="006A1C35" w:rsidRDefault="0062440A" w:rsidP="006A1C35">
      <w:pPr>
        <w:pStyle w:val="Titlu2"/>
        <w:spacing w:line="360" w:lineRule="auto"/>
        <w:rPr>
          <w:rFonts w:ascii="Arial" w:hAnsi="Arial" w:cs="Arial"/>
          <w:color w:val="000000" w:themeColor="text1"/>
          <w:sz w:val="28"/>
          <w:szCs w:val="28"/>
        </w:rPr>
      </w:pPr>
      <w:r w:rsidRPr="006A1C35">
        <w:rPr>
          <w:rFonts w:ascii="Arial" w:hAnsi="Arial" w:cs="Arial"/>
          <w:color w:val="000000" w:themeColor="text1"/>
          <w:sz w:val="28"/>
          <w:szCs w:val="28"/>
        </w:rPr>
        <w:t>Employee value proposition</w:t>
      </w:r>
      <w:bookmarkEnd w:id="16"/>
      <w:bookmarkEnd w:id="17"/>
      <w:r w:rsidRPr="006A1C35">
        <w:rPr>
          <w:rFonts w:ascii="Arial" w:hAnsi="Arial" w:cs="Arial"/>
          <w:color w:val="000000" w:themeColor="text1"/>
          <w:sz w:val="28"/>
          <w:szCs w:val="28"/>
        </w:rPr>
        <w:t xml:space="preserve"> </w:t>
      </w:r>
    </w:p>
    <w:p w14:paraId="5EACB577" w14:textId="7431644F" w:rsidR="006A1C35" w:rsidRPr="006A1C35" w:rsidRDefault="006C7046" w:rsidP="006A1C35">
      <w:pPr>
        <w:spacing w:before="100" w:beforeAutospacing="1" w:after="100" w:afterAutospacing="1" w:line="360" w:lineRule="auto"/>
        <w:jc w:val="both"/>
        <w:rPr>
          <w:rFonts w:ascii="Arial" w:eastAsia="Times New Roman" w:hAnsi="Arial" w:cs="Arial"/>
          <w:sz w:val="22"/>
          <w:szCs w:val="22"/>
          <w:lang w:eastAsia="en-GB"/>
        </w:rPr>
      </w:pPr>
      <w:r w:rsidRPr="006A1C35">
        <w:rPr>
          <w:rFonts w:ascii="Arial" w:eastAsia="Times New Roman" w:hAnsi="Arial" w:cs="Arial"/>
          <w:sz w:val="22"/>
          <w:szCs w:val="22"/>
          <w:lang w:eastAsia="en-GB"/>
        </w:rPr>
        <w:t xml:space="preserve">Employee value proposition concept is attributed to the ability to provide value to employees that also triggers </w:t>
      </w:r>
      <w:r w:rsidR="0033723D" w:rsidRPr="006A1C35">
        <w:rPr>
          <w:rFonts w:ascii="Arial" w:eastAsia="Times New Roman" w:hAnsi="Arial" w:cs="Arial"/>
          <w:sz w:val="22"/>
          <w:szCs w:val="22"/>
          <w:lang w:eastAsia="en-GB"/>
        </w:rPr>
        <w:t xml:space="preserve">their </w:t>
      </w:r>
      <w:r w:rsidRPr="006A1C35">
        <w:rPr>
          <w:rFonts w:ascii="Arial" w:eastAsia="Times New Roman" w:hAnsi="Arial" w:cs="Arial"/>
          <w:sz w:val="22"/>
          <w:szCs w:val="22"/>
          <w:lang w:eastAsia="en-GB"/>
        </w:rPr>
        <w:t>engagement</w:t>
      </w:r>
      <w:r w:rsidR="0033723D" w:rsidRPr="006A1C35">
        <w:rPr>
          <w:rFonts w:ascii="Arial" w:eastAsia="Times New Roman" w:hAnsi="Arial" w:cs="Arial"/>
          <w:sz w:val="22"/>
          <w:szCs w:val="22"/>
          <w:lang w:eastAsia="en-GB"/>
        </w:rPr>
        <w:t>, satisfaction, and pride for organisation.</w:t>
      </w:r>
      <w:r w:rsidRPr="006A1C35">
        <w:rPr>
          <w:rFonts w:ascii="Arial" w:eastAsia="Times New Roman" w:hAnsi="Arial" w:cs="Arial"/>
          <w:sz w:val="22"/>
          <w:szCs w:val="22"/>
          <w:lang w:eastAsia="en-GB"/>
        </w:rPr>
        <w:t xml:space="preserve"> It can be analysed from six perspectives such as benefits, career opportunity, compensation, culture, work environment.</w:t>
      </w:r>
      <w:r w:rsidR="0033723D" w:rsidRPr="006A1C35">
        <w:rPr>
          <w:rFonts w:ascii="Arial" w:eastAsia="Times New Roman" w:hAnsi="Arial" w:cs="Arial"/>
          <w:sz w:val="22"/>
          <w:szCs w:val="22"/>
          <w:lang w:eastAsia="en-GB"/>
        </w:rPr>
        <w:t xml:space="preserve"> (</w:t>
      </w:r>
      <w:r w:rsidRPr="006A1C35">
        <w:rPr>
          <w:rFonts w:ascii="Arial" w:eastAsia="Times New Roman" w:hAnsi="Arial" w:cs="Arial"/>
          <w:sz w:val="22"/>
          <w:szCs w:val="22"/>
          <w:lang w:eastAsia="en-GB"/>
        </w:rPr>
        <w:t xml:space="preserve"> </w:t>
      </w:r>
      <w:r w:rsidR="0033723D" w:rsidRPr="006A1C35">
        <w:rPr>
          <w:rFonts w:ascii="Arial" w:eastAsia="Times New Roman" w:hAnsi="Arial" w:cs="Arial"/>
          <w:sz w:val="22"/>
          <w:szCs w:val="22"/>
          <w:lang w:eastAsia="en-GB"/>
        </w:rPr>
        <w:fldChar w:fldCharType="begin"/>
      </w:r>
      <w:r w:rsidR="0033723D" w:rsidRPr="006A1C35">
        <w:rPr>
          <w:rFonts w:ascii="Arial" w:eastAsia="Times New Roman" w:hAnsi="Arial" w:cs="Arial"/>
          <w:sz w:val="22"/>
          <w:szCs w:val="22"/>
          <w:lang w:eastAsia="en-GB"/>
        </w:rPr>
        <w:instrText xml:space="preserve"> REF _Ref92201729 \h </w:instrText>
      </w:r>
      <w:r w:rsidR="006A1C35" w:rsidRPr="006A1C35">
        <w:rPr>
          <w:rFonts w:ascii="Arial" w:eastAsia="Times New Roman" w:hAnsi="Arial" w:cs="Arial"/>
          <w:sz w:val="22"/>
          <w:szCs w:val="22"/>
          <w:lang w:eastAsia="en-GB"/>
        </w:rPr>
        <w:instrText xml:space="preserve"> \* MERGEFORMAT </w:instrText>
      </w:r>
      <w:r w:rsidR="0033723D" w:rsidRPr="006A1C35">
        <w:rPr>
          <w:rFonts w:ascii="Arial" w:eastAsia="Times New Roman" w:hAnsi="Arial" w:cs="Arial"/>
          <w:sz w:val="22"/>
          <w:szCs w:val="22"/>
          <w:lang w:eastAsia="en-GB"/>
        </w:rPr>
      </w:r>
      <w:r w:rsidR="0033723D" w:rsidRPr="006A1C35">
        <w:rPr>
          <w:rFonts w:ascii="Arial" w:eastAsia="Times New Roman" w:hAnsi="Arial" w:cs="Arial"/>
          <w:sz w:val="22"/>
          <w:szCs w:val="22"/>
          <w:lang w:eastAsia="en-GB"/>
        </w:rPr>
        <w:fldChar w:fldCharType="separate"/>
      </w:r>
      <w:r w:rsidR="0033723D" w:rsidRPr="006A1C35">
        <w:rPr>
          <w:rFonts w:ascii="Arial" w:hAnsi="Arial" w:cs="Arial"/>
          <w:sz w:val="22"/>
          <w:szCs w:val="22"/>
        </w:rPr>
        <w:t xml:space="preserve">Figure </w:t>
      </w:r>
      <w:r w:rsidR="0033723D" w:rsidRPr="006A1C35">
        <w:rPr>
          <w:rFonts w:ascii="Arial" w:hAnsi="Arial" w:cs="Arial"/>
          <w:noProof/>
          <w:sz w:val="22"/>
          <w:szCs w:val="22"/>
        </w:rPr>
        <w:t>1</w:t>
      </w:r>
      <w:r w:rsidR="0033723D" w:rsidRPr="006A1C35">
        <w:rPr>
          <w:rFonts w:ascii="Arial" w:hAnsi="Arial" w:cs="Arial"/>
          <w:sz w:val="22"/>
          <w:szCs w:val="22"/>
        </w:rPr>
        <w:t>. Employee Value Proposition. Source: Slide Uplift (2021)</w:t>
      </w:r>
      <w:r w:rsidR="0033723D" w:rsidRPr="006A1C35">
        <w:rPr>
          <w:rFonts w:ascii="Arial" w:eastAsia="Times New Roman" w:hAnsi="Arial" w:cs="Arial"/>
          <w:sz w:val="22"/>
          <w:szCs w:val="22"/>
          <w:lang w:eastAsia="en-GB"/>
        </w:rPr>
        <w:fldChar w:fldCharType="end"/>
      </w:r>
      <w:r w:rsidR="006A1C35" w:rsidRPr="006A1C35">
        <w:rPr>
          <w:rFonts w:ascii="Arial" w:eastAsia="Times New Roman" w:hAnsi="Arial" w:cs="Arial"/>
          <w:sz w:val="22"/>
          <w:szCs w:val="22"/>
          <w:lang w:eastAsia="en-GB"/>
        </w:rPr>
        <w:t xml:space="preserve"> Benefits such as health care, pension schemes, paid time off and other help show the workforce that you value them and support their safety and wellbeing which is very important in efficient engagement. </w:t>
      </w:r>
    </w:p>
    <w:p w14:paraId="04DAA2F7" w14:textId="0FAB1A45" w:rsidR="006A1C35" w:rsidRPr="006A1C35" w:rsidRDefault="006A1C35" w:rsidP="006A1C35">
      <w:pPr>
        <w:spacing w:before="100" w:beforeAutospacing="1" w:after="100" w:afterAutospacing="1" w:line="360" w:lineRule="auto"/>
        <w:jc w:val="both"/>
        <w:rPr>
          <w:rFonts w:ascii="Arial" w:eastAsia="Times New Roman" w:hAnsi="Arial" w:cs="Arial"/>
          <w:sz w:val="22"/>
          <w:szCs w:val="22"/>
          <w:lang w:eastAsia="en-GB"/>
        </w:rPr>
      </w:pPr>
      <w:r w:rsidRPr="006A1C35">
        <w:rPr>
          <w:rFonts w:ascii="Arial" w:eastAsia="Times New Roman" w:hAnsi="Arial" w:cs="Arial"/>
          <w:sz w:val="22"/>
          <w:szCs w:val="22"/>
          <w:lang w:eastAsia="en-GB"/>
        </w:rPr>
        <w:t xml:space="preserve"> Similarly, to benefits, compensation helps to keep them motivated and committed to their job and organisation. If they feel like their efforts are paid accordingly, they are more likely to be highly engaged. </w:t>
      </w:r>
      <w:r w:rsidRPr="006A1C35">
        <w:rPr>
          <w:rFonts w:ascii="Arial" w:eastAsia="Times New Roman" w:hAnsi="Arial" w:cs="Arial"/>
          <w:sz w:val="22"/>
          <w:szCs w:val="22"/>
          <w:lang w:eastAsia="en-GB"/>
        </w:rPr>
        <w:tab/>
        <w:t>In term of work</w:t>
      </w:r>
      <w:r w:rsidR="00115320">
        <w:rPr>
          <w:rFonts w:ascii="Arial" w:eastAsia="Times New Roman" w:hAnsi="Arial" w:cs="Arial"/>
          <w:sz w:val="22"/>
          <w:szCs w:val="22"/>
          <w:lang w:eastAsia="en-GB"/>
        </w:rPr>
        <w:t>ing</w:t>
      </w:r>
      <w:r w:rsidRPr="006A1C35">
        <w:rPr>
          <w:rFonts w:ascii="Arial" w:eastAsia="Times New Roman" w:hAnsi="Arial" w:cs="Arial"/>
          <w:sz w:val="22"/>
          <w:szCs w:val="22"/>
          <w:lang w:eastAsia="en-GB"/>
        </w:rPr>
        <w:t xml:space="preserve"> environment, a healthy and productive working environment will have a positive effect on employee morale. A strong working culture led to a strong commitment for employees towards company mission, values, and beliefs. Besides that, elements that contribute to organisational branding include the quality of people in term of their skills, qualifications and abilities, level of participation, communication, and recognition. Employees are also engaged and motivated if they feel they are progressing at their workplace. Advancement opportunities can be an important tool to boost employee engagement within Orbis Protect. </w:t>
      </w:r>
    </w:p>
    <w:p w14:paraId="374AF90E" w14:textId="3830C52F" w:rsidR="006C7046" w:rsidRPr="006A1C35" w:rsidRDefault="006C7046" w:rsidP="006A1C35">
      <w:pPr>
        <w:keepNext/>
        <w:spacing w:line="360" w:lineRule="auto"/>
        <w:jc w:val="center"/>
        <w:rPr>
          <w:rFonts w:ascii="Arial" w:hAnsi="Arial" w:cs="Arial"/>
          <w:sz w:val="22"/>
          <w:szCs w:val="22"/>
        </w:rPr>
      </w:pPr>
      <w:r w:rsidRPr="006A1C35">
        <w:rPr>
          <w:rFonts w:ascii="Arial" w:hAnsi="Arial" w:cs="Arial"/>
          <w:noProof/>
          <w:sz w:val="22"/>
          <w:szCs w:val="22"/>
        </w:rPr>
        <w:drawing>
          <wp:inline distT="0" distB="0" distL="0" distR="0" wp14:anchorId="3D0567E4" wp14:editId="2223F249">
            <wp:extent cx="4291532" cy="2817090"/>
            <wp:effectExtent l="0" t="0" r="1270" b="2540"/>
            <wp:docPr id="1"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14452" cy="2832135"/>
                    </a:xfrm>
                    <a:prstGeom prst="rect">
                      <a:avLst/>
                    </a:prstGeom>
                  </pic:spPr>
                </pic:pic>
              </a:graphicData>
            </a:graphic>
          </wp:inline>
        </w:drawing>
      </w:r>
    </w:p>
    <w:p w14:paraId="42097D08" w14:textId="77777777" w:rsidR="006C7046" w:rsidRPr="00115320" w:rsidRDefault="006C7046" w:rsidP="006A1C35">
      <w:pPr>
        <w:keepNext/>
        <w:spacing w:line="360" w:lineRule="auto"/>
        <w:jc w:val="center"/>
        <w:rPr>
          <w:rFonts w:ascii="Arial" w:hAnsi="Arial" w:cs="Arial"/>
          <w:color w:val="000000" w:themeColor="text1"/>
          <w:sz w:val="22"/>
          <w:szCs w:val="22"/>
        </w:rPr>
      </w:pPr>
    </w:p>
    <w:p w14:paraId="639B4083" w14:textId="495781E0" w:rsidR="006A1C35" w:rsidRPr="00115320" w:rsidRDefault="006C7046" w:rsidP="006A1C35">
      <w:pPr>
        <w:pStyle w:val="Legend"/>
        <w:spacing w:line="360" w:lineRule="auto"/>
        <w:jc w:val="center"/>
        <w:rPr>
          <w:rFonts w:ascii="Arial" w:hAnsi="Arial" w:cs="Arial"/>
          <w:i w:val="0"/>
          <w:iCs w:val="0"/>
          <w:color w:val="000000" w:themeColor="text1"/>
          <w:sz w:val="22"/>
          <w:szCs w:val="22"/>
        </w:rPr>
      </w:pPr>
      <w:bookmarkStart w:id="18" w:name="_Ref92201729"/>
      <w:bookmarkStart w:id="19" w:name="_Toc92206153"/>
      <w:r w:rsidRPr="00115320">
        <w:rPr>
          <w:rFonts w:ascii="Arial" w:hAnsi="Arial" w:cs="Arial"/>
          <w:i w:val="0"/>
          <w:iCs w:val="0"/>
          <w:color w:val="000000" w:themeColor="text1"/>
          <w:sz w:val="22"/>
          <w:szCs w:val="22"/>
        </w:rPr>
        <w:t xml:space="preserve">Figure </w:t>
      </w:r>
      <w:r w:rsidRPr="00115320">
        <w:rPr>
          <w:rFonts w:ascii="Arial" w:hAnsi="Arial" w:cs="Arial"/>
          <w:i w:val="0"/>
          <w:iCs w:val="0"/>
          <w:color w:val="000000" w:themeColor="text1"/>
          <w:sz w:val="22"/>
          <w:szCs w:val="22"/>
        </w:rPr>
        <w:fldChar w:fldCharType="begin"/>
      </w:r>
      <w:r w:rsidRPr="00115320">
        <w:rPr>
          <w:rFonts w:ascii="Arial" w:hAnsi="Arial" w:cs="Arial"/>
          <w:i w:val="0"/>
          <w:iCs w:val="0"/>
          <w:color w:val="000000" w:themeColor="text1"/>
          <w:sz w:val="22"/>
          <w:szCs w:val="22"/>
        </w:rPr>
        <w:instrText xml:space="preserve"> SEQ Figure \* ARABIC </w:instrText>
      </w:r>
      <w:r w:rsidRPr="00115320">
        <w:rPr>
          <w:rFonts w:ascii="Arial" w:hAnsi="Arial" w:cs="Arial"/>
          <w:i w:val="0"/>
          <w:iCs w:val="0"/>
          <w:color w:val="000000" w:themeColor="text1"/>
          <w:sz w:val="22"/>
          <w:szCs w:val="22"/>
        </w:rPr>
        <w:fldChar w:fldCharType="separate"/>
      </w:r>
      <w:r w:rsidRPr="00115320">
        <w:rPr>
          <w:rFonts w:ascii="Arial" w:hAnsi="Arial" w:cs="Arial"/>
          <w:i w:val="0"/>
          <w:iCs w:val="0"/>
          <w:noProof/>
          <w:color w:val="000000" w:themeColor="text1"/>
          <w:sz w:val="22"/>
          <w:szCs w:val="22"/>
        </w:rPr>
        <w:t>1</w:t>
      </w:r>
      <w:r w:rsidRPr="00115320">
        <w:rPr>
          <w:rFonts w:ascii="Arial" w:hAnsi="Arial" w:cs="Arial"/>
          <w:i w:val="0"/>
          <w:iCs w:val="0"/>
          <w:color w:val="000000" w:themeColor="text1"/>
          <w:sz w:val="22"/>
          <w:szCs w:val="22"/>
        </w:rPr>
        <w:fldChar w:fldCharType="end"/>
      </w:r>
      <w:r w:rsidRPr="00115320">
        <w:rPr>
          <w:rFonts w:ascii="Arial" w:hAnsi="Arial" w:cs="Arial"/>
          <w:i w:val="0"/>
          <w:iCs w:val="0"/>
          <w:color w:val="000000" w:themeColor="text1"/>
          <w:sz w:val="22"/>
          <w:szCs w:val="22"/>
        </w:rPr>
        <w:t>. Employee Value Proposition. Source: Slide Uplift (2021)</w:t>
      </w:r>
      <w:bookmarkEnd w:id="18"/>
      <w:bookmarkEnd w:id="19"/>
      <w:r w:rsidRPr="00115320">
        <w:rPr>
          <w:rFonts w:ascii="Arial" w:hAnsi="Arial" w:cs="Arial"/>
          <w:i w:val="0"/>
          <w:iCs w:val="0"/>
          <w:color w:val="000000" w:themeColor="text1"/>
          <w:sz w:val="22"/>
          <w:szCs w:val="22"/>
        </w:rPr>
        <w:t xml:space="preserve"> </w:t>
      </w:r>
      <w:bookmarkStart w:id="20" w:name="_Toc92129437"/>
    </w:p>
    <w:p w14:paraId="62677413" w14:textId="6F0CC35B" w:rsidR="0062440A" w:rsidRPr="006A1C35" w:rsidRDefault="0062440A" w:rsidP="006A1C35">
      <w:pPr>
        <w:pStyle w:val="Titlu1"/>
        <w:spacing w:line="360" w:lineRule="auto"/>
        <w:jc w:val="center"/>
        <w:rPr>
          <w:rFonts w:ascii="Arial" w:hAnsi="Arial" w:cs="Arial"/>
          <w:b/>
          <w:bCs/>
          <w:i/>
          <w:iCs/>
          <w:color w:val="000000" w:themeColor="text1"/>
        </w:rPr>
      </w:pPr>
      <w:bookmarkStart w:id="21" w:name="_Toc92204806"/>
      <w:r w:rsidRPr="006A1C35">
        <w:rPr>
          <w:rFonts w:ascii="Arial" w:hAnsi="Arial" w:cs="Arial"/>
          <w:b/>
          <w:bCs/>
          <w:i/>
          <w:iCs/>
          <w:color w:val="000000" w:themeColor="text1"/>
        </w:rPr>
        <w:lastRenderedPageBreak/>
        <w:t>Conclusion</w:t>
      </w:r>
      <w:bookmarkEnd w:id="20"/>
      <w:bookmarkEnd w:id="21"/>
    </w:p>
    <w:p w14:paraId="52AF236F" w14:textId="6AFB7A0E" w:rsidR="0062440A" w:rsidRPr="006A1C35" w:rsidRDefault="0062440A" w:rsidP="006A1C35">
      <w:pPr>
        <w:spacing w:line="360" w:lineRule="auto"/>
        <w:rPr>
          <w:rFonts w:ascii="Arial" w:hAnsi="Arial" w:cs="Arial"/>
          <w:sz w:val="22"/>
          <w:szCs w:val="22"/>
        </w:rPr>
      </w:pPr>
    </w:p>
    <w:p w14:paraId="18AE30E1" w14:textId="6B884EBD" w:rsidR="006A1C35" w:rsidRPr="006A1C35" w:rsidRDefault="006A1C35" w:rsidP="006A1C35">
      <w:pPr>
        <w:spacing w:line="360" w:lineRule="auto"/>
        <w:jc w:val="both"/>
        <w:rPr>
          <w:rFonts w:ascii="Arial" w:hAnsi="Arial" w:cs="Arial"/>
          <w:sz w:val="22"/>
          <w:szCs w:val="22"/>
        </w:rPr>
      </w:pPr>
      <w:r w:rsidRPr="006A1C35">
        <w:rPr>
          <w:rFonts w:ascii="Arial" w:hAnsi="Arial" w:cs="Arial"/>
          <w:sz w:val="22"/>
          <w:szCs w:val="22"/>
        </w:rPr>
        <w:t xml:space="preserve">In conclusion employee engagement has an increasing role in business viability.  Orbis Protect as many other companies must apply measures to engage workforce to retain them and achieve the company objectives. Various sources show that employee’s engagement is a crucial element in maintaining high performance. Gifford &amp;Young (2021) argued that employee engagement is an indicator of organisational health and use it to inform decisions. Highly engaged employees are likely to show commitment and hard work towards their job compared to disengaged employees. There are various drivers that must be considered.  Thompson (2021) suggested six employee engagement drivers:  belonging, pride to work for the company, wellbeing, autonomy, recognition, and clarity. Understanding the drivers provides opportunity to measure engagement and performance, therefore, use methods to increase it. The higher is the level of engagement the better is the company results. </w:t>
      </w:r>
    </w:p>
    <w:p w14:paraId="2F2D8652" w14:textId="0086BD67" w:rsidR="006A1C35" w:rsidRPr="006A1C35" w:rsidRDefault="006A1C35" w:rsidP="006A1C35">
      <w:pPr>
        <w:spacing w:line="360" w:lineRule="auto"/>
        <w:jc w:val="both"/>
        <w:rPr>
          <w:rFonts w:ascii="Arial" w:hAnsi="Arial" w:cs="Arial"/>
          <w:sz w:val="22"/>
          <w:szCs w:val="22"/>
        </w:rPr>
      </w:pPr>
    </w:p>
    <w:p w14:paraId="4C1CC214" w14:textId="064E52CF" w:rsidR="006A1C35" w:rsidRPr="006A1C35" w:rsidRDefault="006A1C35" w:rsidP="006A1C35">
      <w:pPr>
        <w:spacing w:line="360" w:lineRule="auto"/>
        <w:jc w:val="both"/>
        <w:rPr>
          <w:rFonts w:ascii="Arial" w:hAnsi="Arial" w:cs="Arial"/>
          <w:sz w:val="22"/>
          <w:szCs w:val="22"/>
        </w:rPr>
      </w:pPr>
    </w:p>
    <w:p w14:paraId="05CB9077" w14:textId="77777777" w:rsidR="006A1C35" w:rsidRPr="006A1C35" w:rsidRDefault="006A1C35" w:rsidP="006A1C35">
      <w:pPr>
        <w:spacing w:line="360" w:lineRule="auto"/>
        <w:jc w:val="both"/>
        <w:rPr>
          <w:rFonts w:ascii="Arial" w:hAnsi="Arial" w:cs="Arial"/>
          <w:sz w:val="22"/>
          <w:szCs w:val="22"/>
        </w:rPr>
      </w:pPr>
    </w:p>
    <w:p w14:paraId="2D714BD4" w14:textId="77777777" w:rsidR="006A1C35" w:rsidRPr="006A1C35" w:rsidRDefault="006A1C35" w:rsidP="006A1C35">
      <w:pPr>
        <w:spacing w:line="360" w:lineRule="auto"/>
        <w:rPr>
          <w:rFonts w:ascii="Arial" w:hAnsi="Arial" w:cs="Arial"/>
          <w:sz w:val="22"/>
          <w:szCs w:val="22"/>
        </w:rPr>
      </w:pPr>
    </w:p>
    <w:p w14:paraId="4C8648BF" w14:textId="6E76D529" w:rsidR="006A1C35" w:rsidRPr="006A1C35" w:rsidRDefault="006A1C35" w:rsidP="006A1C35">
      <w:pPr>
        <w:spacing w:line="360" w:lineRule="auto"/>
        <w:rPr>
          <w:rFonts w:ascii="Arial" w:hAnsi="Arial" w:cs="Arial"/>
          <w:sz w:val="22"/>
          <w:szCs w:val="22"/>
        </w:rPr>
      </w:pPr>
    </w:p>
    <w:p w14:paraId="3D50F913" w14:textId="0A5FFC84" w:rsidR="0062440A" w:rsidRPr="006A1C35" w:rsidRDefault="0062440A" w:rsidP="006A1C35">
      <w:pPr>
        <w:spacing w:line="360" w:lineRule="auto"/>
        <w:rPr>
          <w:rFonts w:ascii="Arial" w:hAnsi="Arial" w:cs="Arial"/>
          <w:sz w:val="22"/>
          <w:szCs w:val="22"/>
        </w:rPr>
      </w:pPr>
    </w:p>
    <w:p w14:paraId="1F670D80" w14:textId="4F7DAE28" w:rsidR="0062440A" w:rsidRPr="006A1C35" w:rsidRDefault="0062440A" w:rsidP="006A1C35">
      <w:pPr>
        <w:spacing w:line="360" w:lineRule="auto"/>
        <w:rPr>
          <w:rFonts w:ascii="Arial Narrow" w:hAnsi="Arial Narrow"/>
          <w:sz w:val="22"/>
          <w:szCs w:val="22"/>
        </w:rPr>
      </w:pPr>
    </w:p>
    <w:p w14:paraId="238F1963" w14:textId="43CDB12C" w:rsidR="0062440A" w:rsidRPr="006A1C35" w:rsidRDefault="0062440A" w:rsidP="006A1C35">
      <w:pPr>
        <w:spacing w:line="360" w:lineRule="auto"/>
        <w:rPr>
          <w:rFonts w:ascii="Arial Narrow" w:hAnsi="Arial Narrow"/>
          <w:sz w:val="22"/>
          <w:szCs w:val="22"/>
        </w:rPr>
      </w:pPr>
    </w:p>
    <w:p w14:paraId="4512C664" w14:textId="7C51C942" w:rsidR="0062440A" w:rsidRPr="006A1C35" w:rsidRDefault="0062440A" w:rsidP="006A1C35">
      <w:pPr>
        <w:spacing w:line="360" w:lineRule="auto"/>
        <w:rPr>
          <w:rFonts w:ascii="Arial Narrow" w:hAnsi="Arial Narrow"/>
          <w:sz w:val="22"/>
          <w:szCs w:val="22"/>
        </w:rPr>
      </w:pPr>
    </w:p>
    <w:p w14:paraId="68A2EE7F" w14:textId="0DF583EB" w:rsidR="0062440A" w:rsidRPr="006A1C35" w:rsidRDefault="0062440A" w:rsidP="006A1C35">
      <w:pPr>
        <w:spacing w:line="360" w:lineRule="auto"/>
        <w:rPr>
          <w:rFonts w:ascii="Arial Narrow" w:hAnsi="Arial Narrow"/>
          <w:sz w:val="22"/>
          <w:szCs w:val="22"/>
        </w:rPr>
      </w:pPr>
    </w:p>
    <w:p w14:paraId="1ED284FF" w14:textId="0D44EE13" w:rsidR="006A1C35" w:rsidRPr="006A1C35" w:rsidRDefault="006A1C35" w:rsidP="006A1C35">
      <w:pPr>
        <w:spacing w:line="360" w:lineRule="auto"/>
        <w:rPr>
          <w:rFonts w:ascii="Arial Narrow" w:hAnsi="Arial Narrow"/>
          <w:sz w:val="22"/>
          <w:szCs w:val="22"/>
        </w:rPr>
      </w:pPr>
    </w:p>
    <w:p w14:paraId="286E14AA" w14:textId="221B755B" w:rsidR="006A1C35" w:rsidRPr="006A1C35" w:rsidRDefault="006A1C35" w:rsidP="006A1C35">
      <w:pPr>
        <w:spacing w:line="360" w:lineRule="auto"/>
        <w:rPr>
          <w:rFonts w:ascii="Arial Narrow" w:hAnsi="Arial Narrow"/>
          <w:sz w:val="22"/>
          <w:szCs w:val="22"/>
        </w:rPr>
      </w:pPr>
    </w:p>
    <w:p w14:paraId="1271F55C" w14:textId="77777777" w:rsidR="006A1C35" w:rsidRPr="006A1C35" w:rsidRDefault="006A1C35" w:rsidP="006A1C35">
      <w:pPr>
        <w:spacing w:line="360" w:lineRule="auto"/>
        <w:rPr>
          <w:rFonts w:ascii="Arial Narrow" w:hAnsi="Arial Narrow"/>
          <w:sz w:val="22"/>
          <w:szCs w:val="22"/>
        </w:rPr>
      </w:pPr>
    </w:p>
    <w:p w14:paraId="38C3B5F8" w14:textId="4728CBAD" w:rsidR="0062440A" w:rsidRPr="006A1C35" w:rsidRDefault="0062440A" w:rsidP="006A1C35">
      <w:pPr>
        <w:spacing w:line="360" w:lineRule="auto"/>
        <w:rPr>
          <w:sz w:val="22"/>
          <w:szCs w:val="22"/>
        </w:rPr>
      </w:pPr>
    </w:p>
    <w:p w14:paraId="031A8ADC" w14:textId="2C4DD9B0" w:rsidR="0062440A" w:rsidRPr="006A1C35" w:rsidRDefault="0062440A" w:rsidP="006A1C35">
      <w:pPr>
        <w:spacing w:line="360" w:lineRule="auto"/>
        <w:rPr>
          <w:sz w:val="22"/>
          <w:szCs w:val="22"/>
        </w:rPr>
      </w:pPr>
    </w:p>
    <w:p w14:paraId="41A4FE85" w14:textId="71C50D07" w:rsidR="0062440A" w:rsidRPr="006A1C35" w:rsidRDefault="0062440A" w:rsidP="006A1C35">
      <w:pPr>
        <w:spacing w:line="360" w:lineRule="auto"/>
        <w:rPr>
          <w:sz w:val="22"/>
          <w:szCs w:val="22"/>
        </w:rPr>
      </w:pPr>
    </w:p>
    <w:p w14:paraId="2F91C825" w14:textId="06B7FE00" w:rsidR="0062440A" w:rsidRPr="006A1C35" w:rsidRDefault="0062440A" w:rsidP="006A1C35">
      <w:pPr>
        <w:spacing w:line="360" w:lineRule="auto"/>
        <w:rPr>
          <w:sz w:val="22"/>
          <w:szCs w:val="22"/>
        </w:rPr>
      </w:pPr>
    </w:p>
    <w:p w14:paraId="2E11E426" w14:textId="7F6A5034" w:rsidR="0062440A" w:rsidRPr="006A1C35" w:rsidRDefault="0062440A" w:rsidP="006A1C35">
      <w:pPr>
        <w:spacing w:line="360" w:lineRule="auto"/>
        <w:rPr>
          <w:sz w:val="22"/>
          <w:szCs w:val="22"/>
        </w:rPr>
      </w:pPr>
    </w:p>
    <w:p w14:paraId="5790780D" w14:textId="77777777" w:rsidR="0062440A" w:rsidRPr="006A1C35" w:rsidRDefault="0062440A" w:rsidP="006A1C35">
      <w:pPr>
        <w:spacing w:line="360" w:lineRule="auto"/>
        <w:rPr>
          <w:sz w:val="22"/>
          <w:szCs w:val="22"/>
        </w:rPr>
      </w:pPr>
    </w:p>
    <w:p w14:paraId="746FDB32" w14:textId="17048EC8" w:rsidR="0062440A" w:rsidRPr="006A1C35" w:rsidRDefault="0062440A" w:rsidP="006A1C35">
      <w:pPr>
        <w:pStyle w:val="Titlu1"/>
        <w:jc w:val="center"/>
        <w:rPr>
          <w:rFonts w:ascii="Arial" w:hAnsi="Arial" w:cs="Arial"/>
          <w:b/>
          <w:bCs/>
          <w:i/>
          <w:iCs/>
          <w:color w:val="000000" w:themeColor="text1"/>
        </w:rPr>
      </w:pPr>
      <w:bookmarkStart w:id="22" w:name="_Toc92129438"/>
      <w:bookmarkStart w:id="23" w:name="_Toc92204807"/>
      <w:r w:rsidRPr="006A1C35">
        <w:rPr>
          <w:rFonts w:ascii="Arial" w:hAnsi="Arial" w:cs="Arial"/>
          <w:b/>
          <w:bCs/>
          <w:i/>
          <w:iCs/>
          <w:color w:val="000000" w:themeColor="text1"/>
        </w:rPr>
        <w:lastRenderedPageBreak/>
        <w:t>References</w:t>
      </w:r>
      <w:bookmarkEnd w:id="22"/>
      <w:bookmarkEnd w:id="23"/>
    </w:p>
    <w:sdt>
      <w:sdtPr>
        <w:rPr>
          <w:rFonts w:asciiTheme="minorHAnsi" w:eastAsiaTheme="minorHAnsi" w:hAnsiTheme="minorHAnsi" w:cstheme="minorBidi"/>
          <w:color w:val="auto"/>
          <w:sz w:val="24"/>
          <w:szCs w:val="24"/>
        </w:rPr>
        <w:id w:val="-225070506"/>
        <w:docPartObj>
          <w:docPartGallery w:val="Bibliographies"/>
          <w:docPartUnique/>
        </w:docPartObj>
      </w:sdtPr>
      <w:sdtEndPr/>
      <w:sdtContent>
        <w:p w14:paraId="5685FC9A" w14:textId="6C6C5228" w:rsidR="006A1C35" w:rsidRDefault="006A1C35">
          <w:pPr>
            <w:pStyle w:val="Titlu1"/>
          </w:pPr>
        </w:p>
        <w:sdt>
          <w:sdtPr>
            <w:id w:val="111145805"/>
            <w:bibliography/>
          </w:sdtPr>
          <w:sdtEndPr/>
          <w:sdtContent>
            <w:p w14:paraId="6AB044EE" w14:textId="77777777" w:rsidR="006A1C35" w:rsidRDefault="006A1C35" w:rsidP="006A1C35">
              <w:pPr>
                <w:pStyle w:val="Bibliografie"/>
                <w:numPr>
                  <w:ilvl w:val="0"/>
                  <w:numId w:val="2"/>
                </w:numPr>
                <w:spacing w:line="360" w:lineRule="auto"/>
                <w:rPr>
                  <w:noProof/>
                </w:rPr>
              </w:pPr>
              <w:r>
                <w:fldChar w:fldCharType="begin"/>
              </w:r>
              <w:r>
                <w:instrText xml:space="preserve"> BIBLIOGRAPHY </w:instrText>
              </w:r>
              <w:r>
                <w:fldChar w:fldCharType="separate"/>
              </w:r>
              <w:r>
                <w:rPr>
                  <w:noProof/>
                </w:rPr>
                <w:t xml:space="preserve">Ahmed, S., 2019. </w:t>
              </w:r>
              <w:r>
                <w:rPr>
                  <w:i/>
                  <w:iCs/>
                  <w:noProof/>
                </w:rPr>
                <w:t xml:space="preserve">Orbis Protect joins forces with TBS to provide single access point for lone workers. </w:t>
              </w:r>
              <w:r>
                <w:rPr>
                  <w:noProof/>
                </w:rPr>
                <w:t xml:space="preserve">[Online] </w:t>
              </w:r>
              <w:r>
                <w:rPr>
                  <w:noProof/>
                </w:rPr>
                <w:br/>
                <w:t xml:space="preserve">Available at: </w:t>
              </w:r>
              <w:r>
                <w:rPr>
                  <w:noProof/>
                  <w:u w:val="single"/>
                </w:rPr>
                <w:t>https://www.shponline.co.uk/lone-working/orbis-protect-joins-forces-with-tbs-to-provide-single-access-point-for-lone-workers/</w:t>
              </w:r>
            </w:p>
            <w:p w14:paraId="075149B0" w14:textId="6064C910" w:rsidR="006A1C35" w:rsidRDefault="006A1C35" w:rsidP="006A1C35">
              <w:pPr>
                <w:pStyle w:val="Bibliografie"/>
                <w:numPr>
                  <w:ilvl w:val="0"/>
                  <w:numId w:val="2"/>
                </w:numPr>
                <w:spacing w:line="360" w:lineRule="auto"/>
                <w:rPr>
                  <w:noProof/>
                </w:rPr>
              </w:pPr>
              <w:r>
                <w:rPr>
                  <w:noProof/>
                </w:rPr>
                <w:t xml:space="preserve">Garengo, P., 2012. The Balanced Scorecard as a Reference Model.  In: </w:t>
              </w:r>
              <w:r>
                <w:rPr>
                  <w:i/>
                  <w:iCs/>
                  <w:noProof/>
                </w:rPr>
                <w:t xml:space="preserve">Performance Measurement with the Balanced Scorecard: A Practical Approach to Implementation Within SMEs.  </w:t>
              </w:r>
              <w:r>
                <w:rPr>
                  <w:noProof/>
                </w:rPr>
                <w:t>Germany: Springer, pp. 10-20.</w:t>
              </w:r>
            </w:p>
            <w:p w14:paraId="548495A4" w14:textId="77777777" w:rsidR="006A1C35" w:rsidRDefault="006A1C35" w:rsidP="006A1C35">
              <w:pPr>
                <w:pStyle w:val="Bibliografie"/>
                <w:numPr>
                  <w:ilvl w:val="0"/>
                  <w:numId w:val="2"/>
                </w:numPr>
                <w:spacing w:line="360" w:lineRule="auto"/>
                <w:rPr>
                  <w:noProof/>
                </w:rPr>
              </w:pPr>
              <w:r>
                <w:rPr>
                  <w:noProof/>
                </w:rPr>
                <w:t xml:space="preserve">Gifford, J. &amp; Young, J., 2021. </w:t>
              </w:r>
              <w:r>
                <w:rPr>
                  <w:i/>
                  <w:iCs/>
                  <w:noProof/>
                </w:rPr>
                <w:t xml:space="preserve">Employee engagement: definitions, measures and outcomes, </w:t>
              </w:r>
              <w:r>
                <w:rPr>
                  <w:noProof/>
                </w:rPr>
                <w:t>London: Chartered Institute of Personnel and Development.: CIPD.</w:t>
              </w:r>
            </w:p>
            <w:p w14:paraId="7D6D90F6" w14:textId="061B16EF" w:rsidR="006A1C35" w:rsidRDefault="006A1C35" w:rsidP="006A1C35">
              <w:pPr>
                <w:pStyle w:val="Bibliografie"/>
                <w:numPr>
                  <w:ilvl w:val="0"/>
                  <w:numId w:val="2"/>
                </w:numPr>
                <w:spacing w:line="360" w:lineRule="auto"/>
                <w:rPr>
                  <w:noProof/>
                </w:rPr>
              </w:pPr>
              <w:r>
                <w:rPr>
                  <w:noProof/>
                </w:rPr>
                <w:t xml:space="preserve">Kelleher,  B., 2013. </w:t>
              </w:r>
              <w:r>
                <w:rPr>
                  <w:i/>
                  <w:iCs/>
                  <w:noProof/>
                </w:rPr>
                <w:t xml:space="preserve">Employee Engagement For Dummies. </w:t>
              </w:r>
              <w:r>
                <w:rPr>
                  <w:noProof/>
                </w:rPr>
                <w:t>United Kingdom: Wiley.</w:t>
              </w:r>
            </w:p>
            <w:p w14:paraId="6F5F2C25" w14:textId="77777777" w:rsidR="006A1C35" w:rsidRDefault="006A1C35" w:rsidP="006A1C35">
              <w:pPr>
                <w:pStyle w:val="Bibliografie"/>
                <w:numPr>
                  <w:ilvl w:val="0"/>
                  <w:numId w:val="2"/>
                </w:numPr>
                <w:spacing w:line="360" w:lineRule="auto"/>
                <w:rPr>
                  <w:noProof/>
                </w:rPr>
              </w:pPr>
              <w:r>
                <w:rPr>
                  <w:noProof/>
                </w:rPr>
                <w:t xml:space="preserve">Kruse, K., 2012. </w:t>
              </w:r>
              <w:r>
                <w:rPr>
                  <w:i/>
                  <w:iCs/>
                  <w:noProof/>
                </w:rPr>
                <w:t xml:space="preserve">What Is Employee Engagement. </w:t>
              </w:r>
              <w:r>
                <w:rPr>
                  <w:noProof/>
                </w:rPr>
                <w:t xml:space="preserve">[Online] </w:t>
              </w:r>
              <w:r>
                <w:rPr>
                  <w:noProof/>
                </w:rPr>
                <w:br/>
                <w:t xml:space="preserve">Available at: </w:t>
              </w:r>
              <w:r>
                <w:rPr>
                  <w:noProof/>
                  <w:u w:val="single"/>
                </w:rPr>
                <w:t>https://www.forbes.com/sites/kevinkruse/2012/06/22/employee-engagement-what-and-why/?sh=7a6ce6a17f37</w:t>
              </w:r>
            </w:p>
            <w:p w14:paraId="312D6E2B" w14:textId="7CACD199" w:rsidR="006A1C35" w:rsidRDefault="006A1C35" w:rsidP="006A1C35">
              <w:pPr>
                <w:pStyle w:val="Bibliografie"/>
                <w:numPr>
                  <w:ilvl w:val="0"/>
                  <w:numId w:val="2"/>
                </w:numPr>
                <w:spacing w:line="360" w:lineRule="auto"/>
                <w:rPr>
                  <w:noProof/>
                </w:rPr>
              </w:pPr>
              <w:r>
                <w:rPr>
                  <w:noProof/>
                </w:rPr>
                <w:t xml:space="preserve">MacLeod, D. &amp; Clarke , N., 2011. </w:t>
              </w:r>
              <w:r>
                <w:rPr>
                  <w:i/>
                  <w:iCs/>
                  <w:noProof/>
                </w:rPr>
                <w:t xml:space="preserve">Engaging for success: enhancing performance through employee engagement, a report to Government , </w:t>
              </w:r>
            </w:p>
            <w:p w14:paraId="36E842A9" w14:textId="77777777" w:rsidR="006A1C35" w:rsidRDefault="006A1C35" w:rsidP="006A1C35">
              <w:pPr>
                <w:pStyle w:val="Bibliografie"/>
                <w:numPr>
                  <w:ilvl w:val="0"/>
                  <w:numId w:val="2"/>
                </w:numPr>
                <w:spacing w:line="360" w:lineRule="auto"/>
                <w:rPr>
                  <w:noProof/>
                </w:rPr>
              </w:pPr>
              <w:r>
                <w:rPr>
                  <w:noProof/>
                </w:rPr>
                <w:t xml:space="preserve">Quantum Workplace, 2021. </w:t>
              </w:r>
              <w:r>
                <w:rPr>
                  <w:i/>
                  <w:iCs/>
                  <w:noProof/>
                </w:rPr>
                <w:t xml:space="preserve">12 Tips for Engaging Employees During Times of Uncertainty. </w:t>
              </w:r>
              <w:r>
                <w:rPr>
                  <w:noProof/>
                </w:rPr>
                <w:t xml:space="preserve">[Online] </w:t>
              </w:r>
              <w:r>
                <w:rPr>
                  <w:noProof/>
                </w:rPr>
                <w:br/>
                <w:t xml:space="preserve">Available at: </w:t>
              </w:r>
              <w:r>
                <w:rPr>
                  <w:noProof/>
                  <w:u w:val="single"/>
                </w:rPr>
                <w:t>https://www.quantumworkplace.com/en/engaging-employees-coronavirus-pandemic</w:t>
              </w:r>
            </w:p>
            <w:p w14:paraId="07521B79" w14:textId="77777777" w:rsidR="006A1C35" w:rsidRDefault="006A1C35" w:rsidP="006A1C35">
              <w:pPr>
                <w:pStyle w:val="Bibliografie"/>
                <w:numPr>
                  <w:ilvl w:val="0"/>
                  <w:numId w:val="2"/>
                </w:numPr>
                <w:spacing w:line="360" w:lineRule="auto"/>
                <w:rPr>
                  <w:noProof/>
                </w:rPr>
              </w:pPr>
              <w:r>
                <w:rPr>
                  <w:noProof/>
                </w:rPr>
                <w:t xml:space="preserve">Waal, A. d., 2014. The employee survey: benefits, problems in practice, and the relation with the high performance organization. </w:t>
              </w:r>
              <w:r>
                <w:rPr>
                  <w:i/>
                  <w:iCs/>
                  <w:noProof/>
                </w:rPr>
                <w:t xml:space="preserve">Strategic HR Review , </w:t>
              </w:r>
              <w:r>
                <w:rPr>
                  <w:noProof/>
                </w:rPr>
                <w:t>13(6), pp. 227-232.</w:t>
              </w:r>
            </w:p>
            <w:p w14:paraId="6D3879EF" w14:textId="4A15AFF0" w:rsidR="006A1C35" w:rsidRDefault="006A1C35" w:rsidP="006A1C35">
              <w:pPr>
                <w:spacing w:line="360" w:lineRule="auto"/>
              </w:pPr>
              <w:r>
                <w:rPr>
                  <w:b/>
                  <w:bCs/>
                  <w:noProof/>
                </w:rPr>
                <w:fldChar w:fldCharType="end"/>
              </w:r>
            </w:p>
          </w:sdtContent>
        </w:sdt>
      </w:sdtContent>
    </w:sdt>
    <w:p w14:paraId="52216B28" w14:textId="77777777" w:rsidR="006A1C35" w:rsidRPr="006A1C35" w:rsidRDefault="006A1C35" w:rsidP="006A1C35"/>
    <w:sectPr w:rsidR="006A1C35" w:rsidRPr="006A1C35" w:rsidSect="00115320">
      <w:headerReference w:type="default" r:id="rId9"/>
      <w:footerReference w:type="even" r:id="rId10"/>
      <w:footerReference w:type="default" r:id="rId11"/>
      <w:pgSz w:w="11900" w:h="16840"/>
      <w:pgMar w:top="1418" w:right="1814" w:bottom="1418" w:left="1814"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1D529" w14:textId="77777777" w:rsidR="00331A77" w:rsidRDefault="00331A77" w:rsidP="006A1C35">
      <w:r>
        <w:separator/>
      </w:r>
    </w:p>
  </w:endnote>
  <w:endnote w:type="continuationSeparator" w:id="0">
    <w:p w14:paraId="077B546E" w14:textId="77777777" w:rsidR="00331A77" w:rsidRDefault="00331A77" w:rsidP="006A1C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MT">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511373908"/>
      <w:docPartObj>
        <w:docPartGallery w:val="Page Numbers (Bottom of Page)"/>
        <w:docPartUnique/>
      </w:docPartObj>
    </w:sdtPr>
    <w:sdtEndPr>
      <w:rPr>
        <w:rStyle w:val="Numrdepagin"/>
      </w:rPr>
    </w:sdtEndPr>
    <w:sdtContent>
      <w:p w14:paraId="2DF75E9F" w14:textId="42AC8DA7" w:rsidR="006A1C35" w:rsidRDefault="006A1C35" w:rsidP="0092343D">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7A65C9B0" w14:textId="77777777" w:rsidR="006A1C35" w:rsidRDefault="006A1C35">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01928014"/>
      <w:docPartObj>
        <w:docPartGallery w:val="Page Numbers (Bottom of Page)"/>
        <w:docPartUnique/>
      </w:docPartObj>
    </w:sdtPr>
    <w:sdtEndPr>
      <w:rPr>
        <w:rStyle w:val="Numrdepagin"/>
      </w:rPr>
    </w:sdtEndPr>
    <w:sdtContent>
      <w:p w14:paraId="4B1DD10C" w14:textId="6F6A1FAE" w:rsidR="006A1C35" w:rsidRDefault="006A1C35" w:rsidP="0092343D">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12CFDB54" w14:textId="77777777" w:rsidR="006A1C35" w:rsidRDefault="006A1C3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2E64F" w14:textId="77777777" w:rsidR="00331A77" w:rsidRDefault="00331A77" w:rsidP="006A1C35">
      <w:r>
        <w:separator/>
      </w:r>
    </w:p>
  </w:footnote>
  <w:footnote w:type="continuationSeparator" w:id="0">
    <w:p w14:paraId="2063B6E5" w14:textId="77777777" w:rsidR="00331A77" w:rsidRDefault="00331A77" w:rsidP="006A1C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E605A" w14:textId="6589235C" w:rsidR="00115320" w:rsidRPr="00115320" w:rsidRDefault="00115320" w:rsidP="00115320">
    <w:pPr>
      <w:pStyle w:val="Antet"/>
      <w:jc w:val="right"/>
      <w:rPr>
        <w:rFonts w:ascii="Arial Narrow" w:hAnsi="Arial Narrow"/>
        <w:i/>
        <w:i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E013F"/>
    <w:multiLevelType w:val="multilevel"/>
    <w:tmpl w:val="0EC04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177FB0"/>
    <w:multiLevelType w:val="multilevel"/>
    <w:tmpl w:val="C6B47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1F94E0C"/>
    <w:multiLevelType w:val="hybridMultilevel"/>
    <w:tmpl w:val="C94E4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40A"/>
    <w:rsid w:val="0005146E"/>
    <w:rsid w:val="00065B1D"/>
    <w:rsid w:val="00115320"/>
    <w:rsid w:val="00217507"/>
    <w:rsid w:val="00275AFA"/>
    <w:rsid w:val="002D41B4"/>
    <w:rsid w:val="00331A77"/>
    <w:rsid w:val="0033723D"/>
    <w:rsid w:val="00384ABB"/>
    <w:rsid w:val="0062440A"/>
    <w:rsid w:val="006A1C35"/>
    <w:rsid w:val="006C7046"/>
    <w:rsid w:val="008951F1"/>
    <w:rsid w:val="00917BB0"/>
    <w:rsid w:val="00A46A53"/>
    <w:rsid w:val="00A510A0"/>
    <w:rsid w:val="00AD6C14"/>
    <w:rsid w:val="00B55F18"/>
    <w:rsid w:val="00BF4BEE"/>
    <w:rsid w:val="00BF5DED"/>
    <w:rsid w:val="00C67CC8"/>
    <w:rsid w:val="00D43849"/>
    <w:rsid w:val="00F42F19"/>
    <w:rsid w:val="00F47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1BC006"/>
  <w15:chartTrackingRefBased/>
  <w15:docId w15:val="{1318A467-69FC-A74A-B4C3-FC368FA72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6244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62440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62440A"/>
    <w:pPr>
      <w:spacing w:before="100" w:beforeAutospacing="1" w:after="100" w:afterAutospacing="1"/>
    </w:pPr>
    <w:rPr>
      <w:rFonts w:ascii="Times New Roman" w:eastAsia="Times New Roman" w:hAnsi="Times New Roman" w:cs="Times New Roman"/>
      <w:lang w:eastAsia="en-GB"/>
    </w:rPr>
  </w:style>
  <w:style w:type="character" w:customStyle="1" w:styleId="Titlu1Caracter">
    <w:name w:val="Titlu 1 Caracter"/>
    <w:basedOn w:val="Fontdeparagrafimplicit"/>
    <w:link w:val="Titlu1"/>
    <w:uiPriority w:val="9"/>
    <w:rsid w:val="0062440A"/>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62440A"/>
    <w:pPr>
      <w:spacing w:before="480" w:line="276" w:lineRule="auto"/>
      <w:outlineLvl w:val="9"/>
    </w:pPr>
    <w:rPr>
      <w:b/>
      <w:bCs/>
      <w:sz w:val="28"/>
      <w:szCs w:val="28"/>
      <w:lang w:val="en-US"/>
    </w:rPr>
  </w:style>
  <w:style w:type="paragraph" w:styleId="Cuprins1">
    <w:name w:val="toc 1"/>
    <w:basedOn w:val="Normal"/>
    <w:next w:val="Normal"/>
    <w:autoRedefine/>
    <w:uiPriority w:val="39"/>
    <w:unhideWhenUsed/>
    <w:rsid w:val="0062440A"/>
    <w:pPr>
      <w:spacing w:before="120"/>
    </w:pPr>
    <w:rPr>
      <w:b/>
      <w:bCs/>
      <w:i/>
      <w:iCs/>
    </w:rPr>
  </w:style>
  <w:style w:type="character" w:styleId="Hyperlink">
    <w:name w:val="Hyperlink"/>
    <w:basedOn w:val="Fontdeparagrafimplicit"/>
    <w:uiPriority w:val="99"/>
    <w:unhideWhenUsed/>
    <w:rsid w:val="0062440A"/>
    <w:rPr>
      <w:color w:val="0563C1" w:themeColor="hyperlink"/>
      <w:u w:val="single"/>
    </w:rPr>
  </w:style>
  <w:style w:type="paragraph" w:styleId="Cuprins2">
    <w:name w:val="toc 2"/>
    <w:basedOn w:val="Normal"/>
    <w:next w:val="Normal"/>
    <w:autoRedefine/>
    <w:uiPriority w:val="39"/>
    <w:unhideWhenUsed/>
    <w:rsid w:val="0062440A"/>
    <w:pPr>
      <w:spacing w:before="120"/>
      <w:ind w:left="240"/>
    </w:pPr>
    <w:rPr>
      <w:b/>
      <w:bCs/>
      <w:sz w:val="22"/>
      <w:szCs w:val="22"/>
    </w:rPr>
  </w:style>
  <w:style w:type="paragraph" w:styleId="Cuprins3">
    <w:name w:val="toc 3"/>
    <w:basedOn w:val="Normal"/>
    <w:next w:val="Normal"/>
    <w:autoRedefine/>
    <w:uiPriority w:val="39"/>
    <w:semiHidden/>
    <w:unhideWhenUsed/>
    <w:rsid w:val="0062440A"/>
    <w:pPr>
      <w:ind w:left="480"/>
    </w:pPr>
    <w:rPr>
      <w:sz w:val="20"/>
      <w:szCs w:val="20"/>
    </w:rPr>
  </w:style>
  <w:style w:type="paragraph" w:styleId="Cuprins4">
    <w:name w:val="toc 4"/>
    <w:basedOn w:val="Normal"/>
    <w:next w:val="Normal"/>
    <w:autoRedefine/>
    <w:uiPriority w:val="39"/>
    <w:semiHidden/>
    <w:unhideWhenUsed/>
    <w:rsid w:val="0062440A"/>
    <w:pPr>
      <w:ind w:left="720"/>
    </w:pPr>
    <w:rPr>
      <w:sz w:val="20"/>
      <w:szCs w:val="20"/>
    </w:rPr>
  </w:style>
  <w:style w:type="paragraph" w:styleId="Cuprins5">
    <w:name w:val="toc 5"/>
    <w:basedOn w:val="Normal"/>
    <w:next w:val="Normal"/>
    <w:autoRedefine/>
    <w:uiPriority w:val="39"/>
    <w:semiHidden/>
    <w:unhideWhenUsed/>
    <w:rsid w:val="0062440A"/>
    <w:pPr>
      <w:ind w:left="960"/>
    </w:pPr>
    <w:rPr>
      <w:sz w:val="20"/>
      <w:szCs w:val="20"/>
    </w:rPr>
  </w:style>
  <w:style w:type="paragraph" w:styleId="Cuprins6">
    <w:name w:val="toc 6"/>
    <w:basedOn w:val="Normal"/>
    <w:next w:val="Normal"/>
    <w:autoRedefine/>
    <w:uiPriority w:val="39"/>
    <w:semiHidden/>
    <w:unhideWhenUsed/>
    <w:rsid w:val="0062440A"/>
    <w:pPr>
      <w:ind w:left="1200"/>
    </w:pPr>
    <w:rPr>
      <w:sz w:val="20"/>
      <w:szCs w:val="20"/>
    </w:rPr>
  </w:style>
  <w:style w:type="paragraph" w:styleId="Cuprins7">
    <w:name w:val="toc 7"/>
    <w:basedOn w:val="Normal"/>
    <w:next w:val="Normal"/>
    <w:autoRedefine/>
    <w:uiPriority w:val="39"/>
    <w:semiHidden/>
    <w:unhideWhenUsed/>
    <w:rsid w:val="0062440A"/>
    <w:pPr>
      <w:ind w:left="1440"/>
    </w:pPr>
    <w:rPr>
      <w:sz w:val="20"/>
      <w:szCs w:val="20"/>
    </w:rPr>
  </w:style>
  <w:style w:type="paragraph" w:styleId="Cuprins8">
    <w:name w:val="toc 8"/>
    <w:basedOn w:val="Normal"/>
    <w:next w:val="Normal"/>
    <w:autoRedefine/>
    <w:uiPriority w:val="39"/>
    <w:semiHidden/>
    <w:unhideWhenUsed/>
    <w:rsid w:val="0062440A"/>
    <w:pPr>
      <w:ind w:left="1680"/>
    </w:pPr>
    <w:rPr>
      <w:sz w:val="20"/>
      <w:szCs w:val="20"/>
    </w:rPr>
  </w:style>
  <w:style w:type="paragraph" w:styleId="Cuprins9">
    <w:name w:val="toc 9"/>
    <w:basedOn w:val="Normal"/>
    <w:next w:val="Normal"/>
    <w:autoRedefine/>
    <w:uiPriority w:val="39"/>
    <w:semiHidden/>
    <w:unhideWhenUsed/>
    <w:rsid w:val="0062440A"/>
    <w:pPr>
      <w:ind w:left="1920"/>
    </w:pPr>
    <w:rPr>
      <w:sz w:val="20"/>
      <w:szCs w:val="20"/>
    </w:rPr>
  </w:style>
  <w:style w:type="character" w:customStyle="1" w:styleId="Titlu2Caracter">
    <w:name w:val="Titlu 2 Caracter"/>
    <w:basedOn w:val="Fontdeparagrafimplicit"/>
    <w:link w:val="Titlu2"/>
    <w:uiPriority w:val="9"/>
    <w:rsid w:val="0062440A"/>
    <w:rPr>
      <w:rFonts w:asciiTheme="majorHAnsi" w:eastAsiaTheme="majorEastAsia" w:hAnsiTheme="majorHAnsi" w:cstheme="majorBidi"/>
      <w:color w:val="2F5496" w:themeColor="accent1" w:themeShade="BF"/>
      <w:sz w:val="26"/>
      <w:szCs w:val="26"/>
    </w:rPr>
  </w:style>
  <w:style w:type="paragraph" w:styleId="Legend">
    <w:name w:val="caption"/>
    <w:basedOn w:val="Normal"/>
    <w:next w:val="Normal"/>
    <w:uiPriority w:val="35"/>
    <w:unhideWhenUsed/>
    <w:qFormat/>
    <w:rsid w:val="006C7046"/>
    <w:pPr>
      <w:spacing w:after="200"/>
    </w:pPr>
    <w:rPr>
      <w:i/>
      <w:iCs/>
      <w:color w:val="44546A" w:themeColor="text2"/>
      <w:sz w:val="18"/>
      <w:szCs w:val="18"/>
    </w:rPr>
  </w:style>
  <w:style w:type="paragraph" w:styleId="Subsol">
    <w:name w:val="footer"/>
    <w:basedOn w:val="Normal"/>
    <w:link w:val="SubsolCaracter"/>
    <w:uiPriority w:val="99"/>
    <w:unhideWhenUsed/>
    <w:rsid w:val="006A1C35"/>
    <w:pPr>
      <w:tabs>
        <w:tab w:val="center" w:pos="4680"/>
        <w:tab w:val="right" w:pos="9360"/>
      </w:tabs>
    </w:pPr>
  </w:style>
  <w:style w:type="character" w:customStyle="1" w:styleId="SubsolCaracter">
    <w:name w:val="Subsol Caracter"/>
    <w:basedOn w:val="Fontdeparagrafimplicit"/>
    <w:link w:val="Subsol"/>
    <w:uiPriority w:val="99"/>
    <w:rsid w:val="006A1C35"/>
  </w:style>
  <w:style w:type="character" w:styleId="Numrdepagin">
    <w:name w:val="page number"/>
    <w:basedOn w:val="Fontdeparagrafimplicit"/>
    <w:uiPriority w:val="99"/>
    <w:semiHidden/>
    <w:unhideWhenUsed/>
    <w:rsid w:val="006A1C35"/>
  </w:style>
  <w:style w:type="paragraph" w:styleId="Bibliografie">
    <w:name w:val="Bibliography"/>
    <w:basedOn w:val="Normal"/>
    <w:next w:val="Normal"/>
    <w:uiPriority w:val="37"/>
    <w:unhideWhenUsed/>
    <w:rsid w:val="006A1C35"/>
  </w:style>
  <w:style w:type="paragraph" w:styleId="Tabeldefiguri">
    <w:name w:val="table of figures"/>
    <w:basedOn w:val="Normal"/>
    <w:next w:val="Normal"/>
    <w:uiPriority w:val="99"/>
    <w:unhideWhenUsed/>
    <w:rsid w:val="006A1C35"/>
  </w:style>
  <w:style w:type="paragraph" w:styleId="Antet">
    <w:name w:val="header"/>
    <w:basedOn w:val="Normal"/>
    <w:link w:val="AntetCaracter"/>
    <w:uiPriority w:val="99"/>
    <w:unhideWhenUsed/>
    <w:rsid w:val="00115320"/>
    <w:pPr>
      <w:tabs>
        <w:tab w:val="center" w:pos="4680"/>
        <w:tab w:val="right" w:pos="9360"/>
      </w:tabs>
    </w:pPr>
  </w:style>
  <w:style w:type="character" w:customStyle="1" w:styleId="AntetCaracter">
    <w:name w:val="Antet Caracter"/>
    <w:basedOn w:val="Fontdeparagrafimplicit"/>
    <w:link w:val="Antet"/>
    <w:uiPriority w:val="99"/>
    <w:rsid w:val="00115320"/>
  </w:style>
  <w:style w:type="table" w:styleId="Tabelgril">
    <w:name w:val="Table Grid"/>
    <w:basedOn w:val="TabelNormal"/>
    <w:uiPriority w:val="39"/>
    <w:rsid w:val="0011532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37563">
      <w:bodyDiv w:val="1"/>
      <w:marLeft w:val="0"/>
      <w:marRight w:val="0"/>
      <w:marTop w:val="0"/>
      <w:marBottom w:val="0"/>
      <w:divBdr>
        <w:top w:val="none" w:sz="0" w:space="0" w:color="auto"/>
        <w:left w:val="none" w:sz="0" w:space="0" w:color="auto"/>
        <w:bottom w:val="none" w:sz="0" w:space="0" w:color="auto"/>
        <w:right w:val="none" w:sz="0" w:space="0" w:color="auto"/>
      </w:divBdr>
    </w:div>
    <w:div w:id="243494450">
      <w:bodyDiv w:val="1"/>
      <w:marLeft w:val="0"/>
      <w:marRight w:val="0"/>
      <w:marTop w:val="0"/>
      <w:marBottom w:val="0"/>
      <w:divBdr>
        <w:top w:val="none" w:sz="0" w:space="0" w:color="auto"/>
        <w:left w:val="none" w:sz="0" w:space="0" w:color="auto"/>
        <w:bottom w:val="none" w:sz="0" w:space="0" w:color="auto"/>
        <w:right w:val="none" w:sz="0" w:space="0" w:color="auto"/>
      </w:divBdr>
      <w:divsChild>
        <w:div w:id="1364936059">
          <w:marLeft w:val="0"/>
          <w:marRight w:val="0"/>
          <w:marTop w:val="0"/>
          <w:marBottom w:val="0"/>
          <w:divBdr>
            <w:top w:val="none" w:sz="0" w:space="0" w:color="auto"/>
            <w:left w:val="none" w:sz="0" w:space="0" w:color="auto"/>
            <w:bottom w:val="none" w:sz="0" w:space="0" w:color="auto"/>
            <w:right w:val="none" w:sz="0" w:space="0" w:color="auto"/>
          </w:divBdr>
          <w:divsChild>
            <w:div w:id="1577781404">
              <w:marLeft w:val="0"/>
              <w:marRight w:val="0"/>
              <w:marTop w:val="0"/>
              <w:marBottom w:val="0"/>
              <w:divBdr>
                <w:top w:val="none" w:sz="0" w:space="0" w:color="auto"/>
                <w:left w:val="none" w:sz="0" w:space="0" w:color="auto"/>
                <w:bottom w:val="none" w:sz="0" w:space="0" w:color="auto"/>
                <w:right w:val="none" w:sz="0" w:space="0" w:color="auto"/>
              </w:divBdr>
              <w:divsChild>
                <w:div w:id="52818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019052">
      <w:bodyDiv w:val="1"/>
      <w:marLeft w:val="0"/>
      <w:marRight w:val="0"/>
      <w:marTop w:val="0"/>
      <w:marBottom w:val="0"/>
      <w:divBdr>
        <w:top w:val="none" w:sz="0" w:space="0" w:color="auto"/>
        <w:left w:val="none" w:sz="0" w:space="0" w:color="auto"/>
        <w:bottom w:val="none" w:sz="0" w:space="0" w:color="auto"/>
        <w:right w:val="none" w:sz="0" w:space="0" w:color="auto"/>
      </w:divBdr>
    </w:div>
    <w:div w:id="303854427">
      <w:bodyDiv w:val="1"/>
      <w:marLeft w:val="0"/>
      <w:marRight w:val="0"/>
      <w:marTop w:val="0"/>
      <w:marBottom w:val="0"/>
      <w:divBdr>
        <w:top w:val="none" w:sz="0" w:space="0" w:color="auto"/>
        <w:left w:val="none" w:sz="0" w:space="0" w:color="auto"/>
        <w:bottom w:val="none" w:sz="0" w:space="0" w:color="auto"/>
        <w:right w:val="none" w:sz="0" w:space="0" w:color="auto"/>
      </w:divBdr>
    </w:div>
    <w:div w:id="417992029">
      <w:bodyDiv w:val="1"/>
      <w:marLeft w:val="0"/>
      <w:marRight w:val="0"/>
      <w:marTop w:val="0"/>
      <w:marBottom w:val="0"/>
      <w:divBdr>
        <w:top w:val="none" w:sz="0" w:space="0" w:color="auto"/>
        <w:left w:val="none" w:sz="0" w:space="0" w:color="auto"/>
        <w:bottom w:val="none" w:sz="0" w:space="0" w:color="auto"/>
        <w:right w:val="none" w:sz="0" w:space="0" w:color="auto"/>
      </w:divBdr>
    </w:div>
    <w:div w:id="520094252">
      <w:bodyDiv w:val="1"/>
      <w:marLeft w:val="0"/>
      <w:marRight w:val="0"/>
      <w:marTop w:val="0"/>
      <w:marBottom w:val="0"/>
      <w:divBdr>
        <w:top w:val="none" w:sz="0" w:space="0" w:color="auto"/>
        <w:left w:val="none" w:sz="0" w:space="0" w:color="auto"/>
        <w:bottom w:val="none" w:sz="0" w:space="0" w:color="auto"/>
        <w:right w:val="none" w:sz="0" w:space="0" w:color="auto"/>
      </w:divBdr>
    </w:div>
    <w:div w:id="667052353">
      <w:bodyDiv w:val="1"/>
      <w:marLeft w:val="0"/>
      <w:marRight w:val="0"/>
      <w:marTop w:val="0"/>
      <w:marBottom w:val="0"/>
      <w:divBdr>
        <w:top w:val="none" w:sz="0" w:space="0" w:color="auto"/>
        <w:left w:val="none" w:sz="0" w:space="0" w:color="auto"/>
        <w:bottom w:val="none" w:sz="0" w:space="0" w:color="auto"/>
        <w:right w:val="none" w:sz="0" w:space="0" w:color="auto"/>
      </w:divBdr>
    </w:div>
    <w:div w:id="715812761">
      <w:bodyDiv w:val="1"/>
      <w:marLeft w:val="0"/>
      <w:marRight w:val="0"/>
      <w:marTop w:val="0"/>
      <w:marBottom w:val="0"/>
      <w:divBdr>
        <w:top w:val="none" w:sz="0" w:space="0" w:color="auto"/>
        <w:left w:val="none" w:sz="0" w:space="0" w:color="auto"/>
        <w:bottom w:val="none" w:sz="0" w:space="0" w:color="auto"/>
        <w:right w:val="none" w:sz="0" w:space="0" w:color="auto"/>
      </w:divBdr>
    </w:div>
    <w:div w:id="1016544135">
      <w:bodyDiv w:val="1"/>
      <w:marLeft w:val="0"/>
      <w:marRight w:val="0"/>
      <w:marTop w:val="0"/>
      <w:marBottom w:val="0"/>
      <w:divBdr>
        <w:top w:val="none" w:sz="0" w:space="0" w:color="auto"/>
        <w:left w:val="none" w:sz="0" w:space="0" w:color="auto"/>
        <w:bottom w:val="none" w:sz="0" w:space="0" w:color="auto"/>
        <w:right w:val="none" w:sz="0" w:space="0" w:color="auto"/>
      </w:divBdr>
    </w:div>
    <w:div w:id="1026712720">
      <w:bodyDiv w:val="1"/>
      <w:marLeft w:val="0"/>
      <w:marRight w:val="0"/>
      <w:marTop w:val="0"/>
      <w:marBottom w:val="0"/>
      <w:divBdr>
        <w:top w:val="none" w:sz="0" w:space="0" w:color="auto"/>
        <w:left w:val="none" w:sz="0" w:space="0" w:color="auto"/>
        <w:bottom w:val="none" w:sz="0" w:space="0" w:color="auto"/>
        <w:right w:val="none" w:sz="0" w:space="0" w:color="auto"/>
      </w:divBdr>
    </w:div>
    <w:div w:id="1073041592">
      <w:bodyDiv w:val="1"/>
      <w:marLeft w:val="0"/>
      <w:marRight w:val="0"/>
      <w:marTop w:val="0"/>
      <w:marBottom w:val="0"/>
      <w:divBdr>
        <w:top w:val="none" w:sz="0" w:space="0" w:color="auto"/>
        <w:left w:val="none" w:sz="0" w:space="0" w:color="auto"/>
        <w:bottom w:val="none" w:sz="0" w:space="0" w:color="auto"/>
        <w:right w:val="none" w:sz="0" w:space="0" w:color="auto"/>
      </w:divBdr>
      <w:divsChild>
        <w:div w:id="1678146283">
          <w:marLeft w:val="0"/>
          <w:marRight w:val="0"/>
          <w:marTop w:val="0"/>
          <w:marBottom w:val="0"/>
          <w:divBdr>
            <w:top w:val="none" w:sz="0" w:space="0" w:color="auto"/>
            <w:left w:val="none" w:sz="0" w:space="0" w:color="auto"/>
            <w:bottom w:val="none" w:sz="0" w:space="0" w:color="auto"/>
            <w:right w:val="none" w:sz="0" w:space="0" w:color="auto"/>
          </w:divBdr>
          <w:divsChild>
            <w:div w:id="1591742117">
              <w:marLeft w:val="0"/>
              <w:marRight w:val="0"/>
              <w:marTop w:val="0"/>
              <w:marBottom w:val="0"/>
              <w:divBdr>
                <w:top w:val="none" w:sz="0" w:space="0" w:color="auto"/>
                <w:left w:val="none" w:sz="0" w:space="0" w:color="auto"/>
                <w:bottom w:val="none" w:sz="0" w:space="0" w:color="auto"/>
                <w:right w:val="none" w:sz="0" w:space="0" w:color="auto"/>
              </w:divBdr>
              <w:divsChild>
                <w:div w:id="107566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008034">
      <w:bodyDiv w:val="1"/>
      <w:marLeft w:val="0"/>
      <w:marRight w:val="0"/>
      <w:marTop w:val="0"/>
      <w:marBottom w:val="0"/>
      <w:divBdr>
        <w:top w:val="none" w:sz="0" w:space="0" w:color="auto"/>
        <w:left w:val="none" w:sz="0" w:space="0" w:color="auto"/>
        <w:bottom w:val="none" w:sz="0" w:space="0" w:color="auto"/>
        <w:right w:val="none" w:sz="0" w:space="0" w:color="auto"/>
      </w:divBdr>
    </w:div>
    <w:div w:id="1228759257">
      <w:bodyDiv w:val="1"/>
      <w:marLeft w:val="0"/>
      <w:marRight w:val="0"/>
      <w:marTop w:val="0"/>
      <w:marBottom w:val="0"/>
      <w:divBdr>
        <w:top w:val="none" w:sz="0" w:space="0" w:color="auto"/>
        <w:left w:val="none" w:sz="0" w:space="0" w:color="auto"/>
        <w:bottom w:val="none" w:sz="0" w:space="0" w:color="auto"/>
        <w:right w:val="none" w:sz="0" w:space="0" w:color="auto"/>
      </w:divBdr>
      <w:divsChild>
        <w:div w:id="361327388">
          <w:marLeft w:val="0"/>
          <w:marRight w:val="0"/>
          <w:marTop w:val="0"/>
          <w:marBottom w:val="0"/>
          <w:divBdr>
            <w:top w:val="none" w:sz="0" w:space="0" w:color="auto"/>
            <w:left w:val="none" w:sz="0" w:space="0" w:color="auto"/>
            <w:bottom w:val="none" w:sz="0" w:space="0" w:color="auto"/>
            <w:right w:val="none" w:sz="0" w:space="0" w:color="auto"/>
          </w:divBdr>
          <w:divsChild>
            <w:div w:id="314840406">
              <w:marLeft w:val="0"/>
              <w:marRight w:val="0"/>
              <w:marTop w:val="0"/>
              <w:marBottom w:val="0"/>
              <w:divBdr>
                <w:top w:val="none" w:sz="0" w:space="0" w:color="auto"/>
                <w:left w:val="none" w:sz="0" w:space="0" w:color="auto"/>
                <w:bottom w:val="none" w:sz="0" w:space="0" w:color="auto"/>
                <w:right w:val="none" w:sz="0" w:space="0" w:color="auto"/>
              </w:divBdr>
              <w:divsChild>
                <w:div w:id="1547986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037131">
      <w:bodyDiv w:val="1"/>
      <w:marLeft w:val="0"/>
      <w:marRight w:val="0"/>
      <w:marTop w:val="0"/>
      <w:marBottom w:val="0"/>
      <w:divBdr>
        <w:top w:val="none" w:sz="0" w:space="0" w:color="auto"/>
        <w:left w:val="none" w:sz="0" w:space="0" w:color="auto"/>
        <w:bottom w:val="none" w:sz="0" w:space="0" w:color="auto"/>
        <w:right w:val="none" w:sz="0" w:space="0" w:color="auto"/>
      </w:divBdr>
    </w:div>
    <w:div w:id="1251544181">
      <w:bodyDiv w:val="1"/>
      <w:marLeft w:val="0"/>
      <w:marRight w:val="0"/>
      <w:marTop w:val="0"/>
      <w:marBottom w:val="0"/>
      <w:divBdr>
        <w:top w:val="none" w:sz="0" w:space="0" w:color="auto"/>
        <w:left w:val="none" w:sz="0" w:space="0" w:color="auto"/>
        <w:bottom w:val="none" w:sz="0" w:space="0" w:color="auto"/>
        <w:right w:val="none" w:sz="0" w:space="0" w:color="auto"/>
      </w:divBdr>
    </w:div>
    <w:div w:id="1292784120">
      <w:bodyDiv w:val="1"/>
      <w:marLeft w:val="0"/>
      <w:marRight w:val="0"/>
      <w:marTop w:val="0"/>
      <w:marBottom w:val="0"/>
      <w:divBdr>
        <w:top w:val="none" w:sz="0" w:space="0" w:color="auto"/>
        <w:left w:val="none" w:sz="0" w:space="0" w:color="auto"/>
        <w:bottom w:val="none" w:sz="0" w:space="0" w:color="auto"/>
        <w:right w:val="none" w:sz="0" w:space="0" w:color="auto"/>
      </w:divBdr>
    </w:div>
    <w:div w:id="1396734498">
      <w:bodyDiv w:val="1"/>
      <w:marLeft w:val="0"/>
      <w:marRight w:val="0"/>
      <w:marTop w:val="0"/>
      <w:marBottom w:val="0"/>
      <w:divBdr>
        <w:top w:val="none" w:sz="0" w:space="0" w:color="auto"/>
        <w:left w:val="none" w:sz="0" w:space="0" w:color="auto"/>
        <w:bottom w:val="none" w:sz="0" w:space="0" w:color="auto"/>
        <w:right w:val="none" w:sz="0" w:space="0" w:color="auto"/>
      </w:divBdr>
      <w:divsChild>
        <w:div w:id="1926720291">
          <w:marLeft w:val="0"/>
          <w:marRight w:val="0"/>
          <w:marTop w:val="0"/>
          <w:marBottom w:val="0"/>
          <w:divBdr>
            <w:top w:val="none" w:sz="0" w:space="0" w:color="auto"/>
            <w:left w:val="none" w:sz="0" w:space="0" w:color="auto"/>
            <w:bottom w:val="none" w:sz="0" w:space="0" w:color="auto"/>
            <w:right w:val="none" w:sz="0" w:space="0" w:color="auto"/>
          </w:divBdr>
          <w:divsChild>
            <w:div w:id="1946380215">
              <w:marLeft w:val="0"/>
              <w:marRight w:val="0"/>
              <w:marTop w:val="0"/>
              <w:marBottom w:val="0"/>
              <w:divBdr>
                <w:top w:val="none" w:sz="0" w:space="0" w:color="auto"/>
                <w:left w:val="none" w:sz="0" w:space="0" w:color="auto"/>
                <w:bottom w:val="none" w:sz="0" w:space="0" w:color="auto"/>
                <w:right w:val="none" w:sz="0" w:space="0" w:color="auto"/>
              </w:divBdr>
              <w:divsChild>
                <w:div w:id="10808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156294">
      <w:bodyDiv w:val="1"/>
      <w:marLeft w:val="0"/>
      <w:marRight w:val="0"/>
      <w:marTop w:val="0"/>
      <w:marBottom w:val="0"/>
      <w:divBdr>
        <w:top w:val="none" w:sz="0" w:space="0" w:color="auto"/>
        <w:left w:val="none" w:sz="0" w:space="0" w:color="auto"/>
        <w:bottom w:val="none" w:sz="0" w:space="0" w:color="auto"/>
        <w:right w:val="none" w:sz="0" w:space="0" w:color="auto"/>
      </w:divBdr>
    </w:div>
    <w:div w:id="1747990852">
      <w:bodyDiv w:val="1"/>
      <w:marLeft w:val="0"/>
      <w:marRight w:val="0"/>
      <w:marTop w:val="0"/>
      <w:marBottom w:val="0"/>
      <w:divBdr>
        <w:top w:val="none" w:sz="0" w:space="0" w:color="auto"/>
        <w:left w:val="none" w:sz="0" w:space="0" w:color="auto"/>
        <w:bottom w:val="none" w:sz="0" w:space="0" w:color="auto"/>
        <w:right w:val="none" w:sz="0" w:space="0" w:color="auto"/>
      </w:divBdr>
    </w:div>
    <w:div w:id="1766999325">
      <w:bodyDiv w:val="1"/>
      <w:marLeft w:val="0"/>
      <w:marRight w:val="0"/>
      <w:marTop w:val="0"/>
      <w:marBottom w:val="0"/>
      <w:divBdr>
        <w:top w:val="none" w:sz="0" w:space="0" w:color="auto"/>
        <w:left w:val="none" w:sz="0" w:space="0" w:color="auto"/>
        <w:bottom w:val="none" w:sz="0" w:space="0" w:color="auto"/>
        <w:right w:val="none" w:sz="0" w:space="0" w:color="auto"/>
      </w:divBdr>
    </w:div>
    <w:div w:id="1841265806">
      <w:bodyDiv w:val="1"/>
      <w:marLeft w:val="0"/>
      <w:marRight w:val="0"/>
      <w:marTop w:val="0"/>
      <w:marBottom w:val="0"/>
      <w:divBdr>
        <w:top w:val="none" w:sz="0" w:space="0" w:color="auto"/>
        <w:left w:val="none" w:sz="0" w:space="0" w:color="auto"/>
        <w:bottom w:val="none" w:sz="0" w:space="0" w:color="auto"/>
        <w:right w:val="none" w:sz="0" w:space="0" w:color="auto"/>
      </w:divBdr>
    </w:div>
    <w:div w:id="1852139912">
      <w:bodyDiv w:val="1"/>
      <w:marLeft w:val="0"/>
      <w:marRight w:val="0"/>
      <w:marTop w:val="0"/>
      <w:marBottom w:val="0"/>
      <w:divBdr>
        <w:top w:val="none" w:sz="0" w:space="0" w:color="auto"/>
        <w:left w:val="none" w:sz="0" w:space="0" w:color="auto"/>
        <w:bottom w:val="none" w:sz="0" w:space="0" w:color="auto"/>
        <w:right w:val="none" w:sz="0" w:space="0" w:color="auto"/>
      </w:divBdr>
    </w:div>
    <w:div w:id="1891650576">
      <w:bodyDiv w:val="1"/>
      <w:marLeft w:val="0"/>
      <w:marRight w:val="0"/>
      <w:marTop w:val="0"/>
      <w:marBottom w:val="0"/>
      <w:divBdr>
        <w:top w:val="none" w:sz="0" w:space="0" w:color="auto"/>
        <w:left w:val="none" w:sz="0" w:space="0" w:color="auto"/>
        <w:bottom w:val="none" w:sz="0" w:space="0" w:color="auto"/>
        <w:right w:val="none" w:sz="0" w:space="0" w:color="auto"/>
      </w:divBdr>
    </w:div>
    <w:div w:id="2044478028">
      <w:bodyDiv w:val="1"/>
      <w:marLeft w:val="0"/>
      <w:marRight w:val="0"/>
      <w:marTop w:val="0"/>
      <w:marBottom w:val="0"/>
      <w:divBdr>
        <w:top w:val="none" w:sz="0" w:space="0" w:color="auto"/>
        <w:left w:val="none" w:sz="0" w:space="0" w:color="auto"/>
        <w:bottom w:val="none" w:sz="0" w:space="0" w:color="auto"/>
        <w:right w:val="none" w:sz="0" w:space="0" w:color="auto"/>
      </w:divBdr>
      <w:divsChild>
        <w:div w:id="364138925">
          <w:marLeft w:val="0"/>
          <w:marRight w:val="0"/>
          <w:marTop w:val="0"/>
          <w:marBottom w:val="0"/>
          <w:divBdr>
            <w:top w:val="none" w:sz="0" w:space="0" w:color="auto"/>
            <w:left w:val="none" w:sz="0" w:space="0" w:color="auto"/>
            <w:bottom w:val="none" w:sz="0" w:space="0" w:color="auto"/>
            <w:right w:val="none" w:sz="0" w:space="0" w:color="auto"/>
          </w:divBdr>
          <w:divsChild>
            <w:div w:id="2104954254">
              <w:marLeft w:val="0"/>
              <w:marRight w:val="0"/>
              <w:marTop w:val="0"/>
              <w:marBottom w:val="0"/>
              <w:divBdr>
                <w:top w:val="none" w:sz="0" w:space="0" w:color="auto"/>
                <w:left w:val="none" w:sz="0" w:space="0" w:color="auto"/>
                <w:bottom w:val="none" w:sz="0" w:space="0" w:color="auto"/>
                <w:right w:val="none" w:sz="0" w:space="0" w:color="auto"/>
              </w:divBdr>
              <w:divsChild>
                <w:div w:id="6241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215486">
      <w:bodyDiv w:val="1"/>
      <w:marLeft w:val="0"/>
      <w:marRight w:val="0"/>
      <w:marTop w:val="0"/>
      <w:marBottom w:val="0"/>
      <w:divBdr>
        <w:top w:val="none" w:sz="0" w:space="0" w:color="auto"/>
        <w:left w:val="none" w:sz="0" w:space="0" w:color="auto"/>
        <w:bottom w:val="none" w:sz="0" w:space="0" w:color="auto"/>
        <w:right w:val="none" w:sz="0" w:space="0" w:color="auto"/>
      </w:divBdr>
    </w:div>
    <w:div w:id="2139758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Gif21</b:Tag>
    <b:SourceType>Report</b:SourceType>
    <b:Guid>{65C64FEB-6FC6-5A4C-8504-13866ACB22FE}</b:Guid>
    <b:Title>Employee engagement: definitions, measures and outcomes</b:Title>
    <b:Year>2021</b:Year>
    <b:Publisher>CIPD</b:Publisher>
    <b:City>London: Chartered Institute of Personnel and Development.</b:City>
    <b:Author>
      <b:Author>
        <b:NameList>
          <b:Person>
            <b:Last>Gifford</b:Last>
            <b:First>Jonny</b:First>
          </b:Person>
          <b:Person>
            <b:Last>Young</b:Last>
            <b:First>Jake</b:First>
          </b:Person>
        </b:NameList>
      </b:Author>
    </b:Author>
    <b:RefOrder>5</b:RefOrder>
  </b:Source>
  <b:Source>
    <b:Tag>Mac11</b:Tag>
    <b:SourceType>Report</b:SourceType>
    <b:Guid>{64213BC0-C809-0F49-895A-35B2087652CD}</b:Guid>
    <b:Title>Engaging for success: enhancing performance through employee engagement, a report to Government </b:Title>
    <b:Year>2011</b:Year>
    <b:Author>
      <b:Author>
        <b:NameList>
          <b:Person>
            <b:Last>MacLeod</b:Last>
            <b:First>David</b:First>
          </b:Person>
          <b:Person>
            <b:Last>Clarke </b:Last>
            <b:First>Nita</b:First>
          </b:Person>
        </b:NameList>
      </b:Author>
    </b:Author>
    <b:RefOrder>6</b:RefOrder>
  </b:Source>
  <b:Source>
    <b:Tag>Kev12</b:Tag>
    <b:SourceType>InternetSite</b:SourceType>
    <b:Guid>{C7757F42-212B-7840-B0FA-063A0A43879B}</b:Guid>
    <b:Title>What Is Employee Engagement </b:Title>
    <b:Year>2012</b:Year>
    <b:Author>
      <b:Author>
        <b:NameList>
          <b:Person>
            <b:Last>Kruse</b:Last>
            <b:First>Kevin</b:First>
          </b:Person>
        </b:NameList>
      </b:Author>
    </b:Author>
    <b:URL>https://www.forbes.com/sites/kevinkruse/2012/06/22/employee-engagement-what-and-why/?sh=7a6ce6a17f37</b:URL>
    <b:RefOrder>7</b:RefOrder>
  </b:Source>
  <b:Source>
    <b:Tag>Kel13</b:Tag>
    <b:SourceType>Book</b:SourceType>
    <b:Guid>{D4620895-5EB9-A94E-A967-176EDA470294}</b:Guid>
    <b:Author>
      <b:Author>
        <b:NameList>
          <b:Person>
            <b:Last>Kelleher</b:Last>
            <b:First> B.  </b:First>
          </b:Person>
        </b:NameList>
      </b:Author>
    </b:Author>
    <b:Title>Employee Engagement For Dummies</b:Title>
    <b:City>United Kingdom: </b:City>
    <b:Publisher>Wiley</b:Publisher>
    <b:Year>2013</b:Year>
    <b:RefOrder>1</b:RefOrder>
  </b:Source>
  <b:Source>
    <b:Tag>Ahm19</b:Tag>
    <b:SourceType>InternetSite</b:SourceType>
    <b:Guid>{DFA57DD9-801C-C643-AEB1-6B71C8E8A1DA}</b:Guid>
    <b:Author>
      <b:Author>
        <b:NameList>
          <b:Person>
            <b:Last>Ahmed</b:Last>
            <b:First>Samah</b:First>
          </b:Person>
        </b:NameList>
      </b:Author>
    </b:Author>
    <b:Title>Orbis Protect joins forces with TBS to provide single access point for lone workers </b:Title>
    <b:Year>2019</b:Year>
    <b:URL>https://www.shponline.co.uk/lone-working/orbis-protect-joins-forces-with-tbs-to-provide-single-access-point-for-lone-workers/</b:URL>
    <b:RefOrder>8</b:RefOrder>
  </b:Source>
  <b:Source>
    <b:Tag>Gar12</b:Tag>
    <b:SourceType>BookSection</b:SourceType>
    <b:Guid>{7D49BC0E-45DA-0942-B8B7-98D6E8D7212D}</b:Guid>
    <b:Title>The Balanced Scorecard as a Reference Model </b:Title>
    <b:Year>2012</b:Year>
    <b:Author>
      <b:Author>
        <b:NameList>
          <b:Person>
            <b:Last>Garengo</b:Last>
            <b:First> P., Biazzo, S. </b:First>
          </b:Person>
        </b:NameList>
      </b:Author>
    </b:Author>
    <b:BookTitle>Performance Measurement with the Balanced Scorecard: A Practical Approach to Implementation Within SMEs.  </b:BookTitle>
    <b:City>Germany</b:City>
    <b:Publisher>Springer</b:Publisher>
    <b:Pages>10-20</b:Pages>
    <b:RefOrder>2</b:RefOrder>
  </b:Source>
  <b:Source>
    <b:Tag>And14</b:Tag>
    <b:SourceType>JournalArticle</b:SourceType>
    <b:Guid>{570E3116-7557-BF4A-8264-A3AB1FDC8DC9}</b:Guid>
    <b:Title>The employee survey: benefits, problems in practice, and the relation with the high performance organization </b:Title>
    <b:Year>2014</b:Year>
    <b:Pages>227-232</b:Pages>
    <b:Author>
      <b:Author>
        <b:NameList>
          <b:Person>
            <b:Last>Waal</b:Last>
            <b:First>André</b:First>
            <b:Middle>de</b:Middle>
          </b:Person>
        </b:NameList>
      </b:Author>
    </b:Author>
    <b:JournalName>Strategic HR Review </b:JournalName>
    <b:Volume>13</b:Volume>
    <b:Issue>6</b:Issue>
    <b:RefOrder>3</b:RefOrder>
  </b:Source>
  <b:Source>
    <b:Tag>Qua21</b:Tag>
    <b:SourceType>InternetSite</b:SourceType>
    <b:Guid>{74B3796C-4B71-1F46-B3B3-BD23976E0714}</b:Guid>
    <b:Author>
      <b:Author>
        <b:Corporate>Quantum Workplace</b:Corporate>
      </b:Author>
    </b:Author>
    <b:Title>12 Tips for Engaging Employees During Times of Uncertainty</b:Title>
    <b:Year>2021</b:Year>
    <b:URL>https://www.quantumworkplace.com/en/engaging-employees-coronavirus-pandemic</b:URL>
    <b:RefOrder>4</b:RefOrder>
  </b:Source>
</b:Sources>
</file>

<file path=customXml/itemProps1.xml><?xml version="1.0" encoding="utf-8"?>
<ds:datastoreItem xmlns:ds="http://schemas.openxmlformats.org/officeDocument/2006/customXml" ds:itemID="{DB38B92C-569A-1247-A656-D3341FC2C6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2543</Words>
  <Characters>14750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Engaging Employees at Orbis Protect </dc:title>
  <dc:subject/>
  <dc:creator>Sabina Sortir </dc:creator>
  <cp:keywords/>
  <dc:description/>
  <cp:lastModifiedBy>Sabina Alexandra Sotir (1915929)</cp:lastModifiedBy>
  <cp:revision>2</cp:revision>
  <dcterms:created xsi:type="dcterms:W3CDTF">2022-01-04T20:36:00Z</dcterms:created>
  <dcterms:modified xsi:type="dcterms:W3CDTF">2022-01-04T20:36:00Z</dcterms:modified>
  <cp:category/>
</cp:coreProperties>
</file>