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B8983" w14:textId="2F976DE8" w:rsidR="00BB53C3" w:rsidRDefault="00BB53C3" w:rsidP="00BB53C3">
      <w:r w:rsidRPr="00932AEA">
        <w:rPr>
          <w:noProof/>
          <w:lang w:eastAsia="en-GB"/>
        </w:rPr>
        <w:drawing>
          <wp:anchor distT="0" distB="0" distL="114300" distR="114300" simplePos="0" relativeHeight="251658240" behindDoc="0" locked="0" layoutInCell="1" allowOverlap="1" wp14:anchorId="3DDA73AE" wp14:editId="0DA759BB">
            <wp:simplePos x="0" y="0"/>
            <wp:positionH relativeFrom="margin">
              <wp:align>center</wp:align>
            </wp:positionH>
            <wp:positionV relativeFrom="paragraph">
              <wp:posOffset>0</wp:posOffset>
            </wp:positionV>
            <wp:extent cx="1557655" cy="777875"/>
            <wp:effectExtent l="0" t="0" r="4445" b="3175"/>
            <wp:wrapSquare wrapText="bothSides"/>
            <wp:docPr id="4" name="Picture 17" descr="/var/folders/zk/tw3049c947g8rvth9krql1d00000gn/T/com.microsoft.Word/WebArchiveCopyPasteTempFiles/tsd_logo_200x10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var/folders/zk/tw3049c947g8rvth9krql1d00000gn/T/com.microsoft.Word/WebArchiveCopyPasteTempFiles/tsd_logo_200x100.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7655" cy="777875"/>
                    </a:xfrm>
                    <a:prstGeom prst="rect">
                      <a:avLst/>
                    </a:prstGeom>
                    <a:noFill/>
                  </pic:spPr>
                </pic:pic>
              </a:graphicData>
            </a:graphic>
          </wp:anchor>
        </w:drawing>
      </w:r>
    </w:p>
    <w:p w14:paraId="6430987D" w14:textId="77777777" w:rsidR="00BB53C3" w:rsidRDefault="00BB53C3" w:rsidP="00BB53C3"/>
    <w:p w14:paraId="22DBF503" w14:textId="77777777" w:rsidR="00BB53C3" w:rsidRDefault="00BB53C3" w:rsidP="00BB53C3"/>
    <w:p w14:paraId="757719EA" w14:textId="77777777" w:rsidR="00BB53C3" w:rsidRDefault="00BB53C3" w:rsidP="00BB53C3"/>
    <w:p w14:paraId="3C650ADC" w14:textId="77777777" w:rsidR="00320071" w:rsidRDefault="00320071" w:rsidP="00BB53C3"/>
    <w:p w14:paraId="058C1BD7" w14:textId="77777777" w:rsidR="00BB53C3" w:rsidRDefault="00BB53C3" w:rsidP="00BB53C3"/>
    <w:p w14:paraId="6CD4F9B0" w14:textId="4D8A5185" w:rsidR="00BB53C3" w:rsidRDefault="00880C29" w:rsidP="00BB53C3">
      <w:pPr>
        <w:jc w:val="center"/>
        <w:rPr>
          <w:rFonts w:ascii="Times New Roman" w:hAnsi="Times New Roman" w:cs="Times New Roman"/>
          <w:b/>
          <w:sz w:val="40"/>
          <w:szCs w:val="40"/>
        </w:rPr>
      </w:pPr>
      <w:r>
        <w:rPr>
          <w:rFonts w:ascii="Times New Roman" w:hAnsi="Times New Roman" w:cs="Times New Roman"/>
          <w:b/>
          <w:sz w:val="40"/>
          <w:szCs w:val="40"/>
        </w:rPr>
        <w:t>Improving Supply Chain Performance</w:t>
      </w:r>
      <w:r w:rsidR="00382AC1">
        <w:rPr>
          <w:rFonts w:ascii="Times New Roman" w:hAnsi="Times New Roman" w:cs="Times New Roman"/>
          <w:b/>
          <w:sz w:val="40"/>
          <w:szCs w:val="40"/>
        </w:rPr>
        <w:t xml:space="preserve"> of the Apple iPhone 15.</w:t>
      </w:r>
    </w:p>
    <w:p w14:paraId="5D167D13" w14:textId="77777777" w:rsidR="00BB53C3" w:rsidRDefault="00BB53C3" w:rsidP="00D23378">
      <w:pPr>
        <w:rPr>
          <w:rFonts w:ascii="Times New Roman" w:hAnsi="Times New Roman" w:cs="Times New Roman"/>
          <w:b/>
          <w:sz w:val="40"/>
          <w:szCs w:val="40"/>
        </w:rPr>
      </w:pPr>
    </w:p>
    <w:p w14:paraId="414E36F6" w14:textId="77777777" w:rsidR="00D23378" w:rsidRDefault="00D23378" w:rsidP="00D23378">
      <w:pPr>
        <w:rPr>
          <w:rFonts w:ascii="Times New Roman" w:hAnsi="Times New Roman" w:cs="Times New Roman"/>
          <w:b/>
          <w:sz w:val="40"/>
          <w:szCs w:val="40"/>
        </w:rPr>
      </w:pPr>
    </w:p>
    <w:p w14:paraId="3BA6D240" w14:textId="069CF0FE" w:rsidR="00BB53C3" w:rsidRDefault="00880C29" w:rsidP="00BB53C3">
      <w:pPr>
        <w:jc w:val="center"/>
        <w:rPr>
          <w:rFonts w:ascii="Times New Roman" w:hAnsi="Times New Roman" w:cs="Times New Roman"/>
          <w:b/>
          <w:sz w:val="40"/>
          <w:szCs w:val="40"/>
        </w:rPr>
      </w:pPr>
      <w:r>
        <w:rPr>
          <w:rFonts w:ascii="Times New Roman" w:hAnsi="Times New Roman" w:cs="Times New Roman"/>
          <w:b/>
          <w:sz w:val="40"/>
          <w:szCs w:val="40"/>
        </w:rPr>
        <w:t>Procurement and Supply Chain Management.</w:t>
      </w:r>
    </w:p>
    <w:p w14:paraId="3C06E5C1" w14:textId="77777777" w:rsidR="00320071" w:rsidRDefault="00320071" w:rsidP="00D23378">
      <w:pPr>
        <w:rPr>
          <w:rFonts w:ascii="Times New Roman" w:hAnsi="Times New Roman" w:cs="Times New Roman"/>
          <w:b/>
          <w:sz w:val="40"/>
          <w:szCs w:val="40"/>
        </w:rPr>
      </w:pPr>
    </w:p>
    <w:p w14:paraId="1FBFD1FC" w14:textId="77777777" w:rsidR="00BB53C3" w:rsidRDefault="00BB53C3" w:rsidP="00BB53C3">
      <w:pPr>
        <w:jc w:val="center"/>
        <w:rPr>
          <w:rFonts w:ascii="Times New Roman" w:hAnsi="Times New Roman" w:cs="Times New Roman"/>
          <w:b/>
          <w:sz w:val="40"/>
          <w:szCs w:val="40"/>
        </w:rPr>
      </w:pPr>
    </w:p>
    <w:p w14:paraId="76732F23" w14:textId="09664CA2" w:rsidR="00BB53C3" w:rsidRDefault="00BB53C3" w:rsidP="00BB53C3">
      <w:pPr>
        <w:jc w:val="center"/>
        <w:rPr>
          <w:rFonts w:ascii="Times New Roman" w:hAnsi="Times New Roman" w:cs="Times New Roman"/>
          <w:b/>
          <w:sz w:val="40"/>
          <w:szCs w:val="40"/>
        </w:rPr>
      </w:pPr>
      <w:r>
        <w:rPr>
          <w:rFonts w:ascii="Times New Roman" w:hAnsi="Times New Roman" w:cs="Times New Roman"/>
          <w:b/>
          <w:sz w:val="40"/>
          <w:szCs w:val="40"/>
        </w:rPr>
        <w:t>Adrian Cartlidge - 241</w:t>
      </w:r>
      <w:r w:rsidR="00320071">
        <w:rPr>
          <w:rFonts w:ascii="Times New Roman" w:hAnsi="Times New Roman" w:cs="Times New Roman"/>
          <w:b/>
          <w:sz w:val="40"/>
          <w:szCs w:val="40"/>
        </w:rPr>
        <w:t>5605</w:t>
      </w:r>
    </w:p>
    <w:p w14:paraId="25363E50" w14:textId="77777777" w:rsidR="00BB53C3" w:rsidRDefault="00BB53C3" w:rsidP="00BB53C3">
      <w:pPr>
        <w:jc w:val="center"/>
        <w:rPr>
          <w:rFonts w:ascii="Times New Roman" w:hAnsi="Times New Roman" w:cs="Times New Roman"/>
          <w:sz w:val="40"/>
          <w:szCs w:val="40"/>
        </w:rPr>
      </w:pPr>
    </w:p>
    <w:p w14:paraId="5C4049B7" w14:textId="77777777" w:rsidR="007D088B" w:rsidRPr="00BB53C3" w:rsidRDefault="007D088B" w:rsidP="00BB53C3">
      <w:pPr>
        <w:jc w:val="center"/>
        <w:rPr>
          <w:rFonts w:ascii="Times New Roman" w:hAnsi="Times New Roman" w:cs="Times New Roman"/>
          <w:sz w:val="40"/>
          <w:szCs w:val="40"/>
        </w:rPr>
      </w:pPr>
    </w:p>
    <w:p w14:paraId="18437F78" w14:textId="77777777" w:rsidR="00BB53C3" w:rsidRDefault="00BB53C3" w:rsidP="00BB53C3"/>
    <w:sdt>
      <w:sdtPr>
        <w:rPr>
          <w:rFonts w:asciiTheme="minorHAnsi" w:eastAsiaTheme="minorHAnsi" w:hAnsiTheme="minorHAnsi" w:cstheme="minorBidi"/>
          <w:color w:val="auto"/>
          <w:kern w:val="2"/>
          <w:sz w:val="24"/>
          <w:szCs w:val="24"/>
          <w:lang w:eastAsia="en-US"/>
          <w14:ligatures w14:val="standardContextual"/>
        </w:rPr>
        <w:id w:val="-704713885"/>
        <w:docPartObj>
          <w:docPartGallery w:val="Table of Contents"/>
          <w:docPartUnique/>
        </w:docPartObj>
      </w:sdtPr>
      <w:sdtEndPr>
        <w:rPr>
          <w:b/>
          <w:bCs/>
        </w:rPr>
      </w:sdtEndPr>
      <w:sdtContent>
        <w:p w14:paraId="50F1C8D2" w14:textId="3386EE7E" w:rsidR="00320071" w:rsidRPr="00320071" w:rsidRDefault="00320071">
          <w:pPr>
            <w:pStyle w:val="TOCHeading"/>
            <w:rPr>
              <w:b/>
              <w:bCs/>
              <w:color w:val="auto"/>
            </w:rPr>
          </w:pPr>
          <w:r w:rsidRPr="00320071">
            <w:rPr>
              <w:b/>
              <w:bCs/>
              <w:color w:val="auto"/>
            </w:rPr>
            <w:t>Table of Contents</w:t>
          </w:r>
        </w:p>
        <w:p w14:paraId="5884340D" w14:textId="77777777" w:rsidR="00320071" w:rsidRPr="00320071" w:rsidRDefault="00320071" w:rsidP="00320071">
          <w:pPr>
            <w:rPr>
              <w:lang w:eastAsia="en-GB"/>
            </w:rPr>
          </w:pPr>
        </w:p>
        <w:p w14:paraId="72D8CC1D" w14:textId="7B622207" w:rsidR="00880C29" w:rsidRDefault="00320071">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1172183" w:history="1">
            <w:r w:rsidR="00880C29" w:rsidRPr="005C3A43">
              <w:rPr>
                <w:rStyle w:val="Hyperlink"/>
                <w:b/>
                <w:bCs/>
                <w:noProof/>
              </w:rPr>
              <w:t>1.</w:t>
            </w:r>
            <w:r w:rsidR="00880C29">
              <w:rPr>
                <w:rFonts w:eastAsiaTheme="minorEastAsia"/>
                <w:noProof/>
                <w:lang w:eastAsia="en-GB"/>
              </w:rPr>
              <w:tab/>
            </w:r>
            <w:r w:rsidR="00880C29" w:rsidRPr="005C3A43">
              <w:rPr>
                <w:rStyle w:val="Hyperlink"/>
                <w:b/>
                <w:bCs/>
                <w:noProof/>
              </w:rPr>
              <w:t>Introduction</w:t>
            </w:r>
            <w:r w:rsidR="00880C29">
              <w:rPr>
                <w:noProof/>
                <w:webHidden/>
              </w:rPr>
              <w:tab/>
            </w:r>
            <w:r w:rsidR="00880C29">
              <w:rPr>
                <w:noProof/>
                <w:webHidden/>
              </w:rPr>
              <w:fldChar w:fldCharType="begin"/>
            </w:r>
            <w:r w:rsidR="00880C29">
              <w:rPr>
                <w:noProof/>
                <w:webHidden/>
              </w:rPr>
              <w:instrText xml:space="preserve"> PAGEREF _Toc211172183 \h </w:instrText>
            </w:r>
            <w:r w:rsidR="00880C29">
              <w:rPr>
                <w:noProof/>
                <w:webHidden/>
              </w:rPr>
            </w:r>
            <w:r w:rsidR="00880C29">
              <w:rPr>
                <w:noProof/>
                <w:webHidden/>
              </w:rPr>
              <w:fldChar w:fldCharType="separate"/>
            </w:r>
            <w:r w:rsidR="009D065C">
              <w:rPr>
                <w:noProof/>
                <w:webHidden/>
              </w:rPr>
              <w:t>3</w:t>
            </w:r>
            <w:r w:rsidR="00880C29">
              <w:rPr>
                <w:noProof/>
                <w:webHidden/>
              </w:rPr>
              <w:fldChar w:fldCharType="end"/>
            </w:r>
          </w:hyperlink>
        </w:p>
        <w:p w14:paraId="021B6D79" w14:textId="597E8186" w:rsidR="00880C29" w:rsidRDefault="00880C29">
          <w:pPr>
            <w:pStyle w:val="TOC1"/>
            <w:tabs>
              <w:tab w:val="left" w:pos="480"/>
              <w:tab w:val="right" w:leader="dot" w:pos="9016"/>
            </w:tabs>
            <w:rPr>
              <w:rFonts w:eastAsiaTheme="minorEastAsia"/>
              <w:noProof/>
              <w:lang w:eastAsia="en-GB"/>
            </w:rPr>
          </w:pPr>
          <w:hyperlink w:anchor="_Toc211172184" w:history="1">
            <w:r w:rsidRPr="005C3A43">
              <w:rPr>
                <w:rStyle w:val="Hyperlink"/>
                <w:b/>
                <w:bCs/>
                <w:noProof/>
              </w:rPr>
              <w:t>2.</w:t>
            </w:r>
            <w:r>
              <w:rPr>
                <w:rFonts w:eastAsiaTheme="minorEastAsia"/>
                <w:noProof/>
                <w:lang w:eastAsia="en-GB"/>
              </w:rPr>
              <w:tab/>
            </w:r>
            <w:r w:rsidRPr="005C3A43">
              <w:rPr>
                <w:rStyle w:val="Hyperlink"/>
                <w:b/>
                <w:bCs/>
                <w:noProof/>
              </w:rPr>
              <w:t>FMEA Analysis</w:t>
            </w:r>
            <w:r>
              <w:rPr>
                <w:noProof/>
                <w:webHidden/>
              </w:rPr>
              <w:tab/>
            </w:r>
            <w:r>
              <w:rPr>
                <w:noProof/>
                <w:webHidden/>
              </w:rPr>
              <w:fldChar w:fldCharType="begin"/>
            </w:r>
            <w:r>
              <w:rPr>
                <w:noProof/>
                <w:webHidden/>
              </w:rPr>
              <w:instrText xml:space="preserve"> PAGEREF _Toc211172184 \h </w:instrText>
            </w:r>
            <w:r>
              <w:rPr>
                <w:noProof/>
                <w:webHidden/>
              </w:rPr>
            </w:r>
            <w:r>
              <w:rPr>
                <w:noProof/>
                <w:webHidden/>
              </w:rPr>
              <w:fldChar w:fldCharType="separate"/>
            </w:r>
            <w:r w:rsidR="009D065C">
              <w:rPr>
                <w:noProof/>
                <w:webHidden/>
              </w:rPr>
              <w:t>5</w:t>
            </w:r>
            <w:r>
              <w:rPr>
                <w:noProof/>
                <w:webHidden/>
              </w:rPr>
              <w:fldChar w:fldCharType="end"/>
            </w:r>
          </w:hyperlink>
        </w:p>
        <w:p w14:paraId="71437506" w14:textId="64BD4A9E" w:rsidR="00880C29" w:rsidRDefault="00880C29">
          <w:pPr>
            <w:pStyle w:val="TOC1"/>
            <w:tabs>
              <w:tab w:val="left" w:pos="480"/>
              <w:tab w:val="right" w:leader="dot" w:pos="9016"/>
            </w:tabs>
            <w:rPr>
              <w:rFonts w:eastAsiaTheme="minorEastAsia"/>
              <w:noProof/>
              <w:lang w:eastAsia="en-GB"/>
            </w:rPr>
          </w:pPr>
          <w:hyperlink w:anchor="_Toc211172185" w:history="1">
            <w:r w:rsidRPr="005C3A43">
              <w:rPr>
                <w:rStyle w:val="Hyperlink"/>
                <w:b/>
                <w:bCs/>
                <w:noProof/>
              </w:rPr>
              <w:t>3.</w:t>
            </w:r>
            <w:r>
              <w:rPr>
                <w:rFonts w:eastAsiaTheme="minorEastAsia"/>
                <w:noProof/>
                <w:lang w:eastAsia="en-GB"/>
              </w:rPr>
              <w:tab/>
            </w:r>
            <w:r w:rsidRPr="005C3A43">
              <w:rPr>
                <w:rStyle w:val="Hyperlink"/>
                <w:b/>
                <w:bCs/>
                <w:noProof/>
              </w:rPr>
              <w:t>Steps to make the supply chain more resilient.</w:t>
            </w:r>
            <w:r>
              <w:rPr>
                <w:noProof/>
                <w:webHidden/>
              </w:rPr>
              <w:tab/>
            </w:r>
            <w:r>
              <w:rPr>
                <w:noProof/>
                <w:webHidden/>
              </w:rPr>
              <w:fldChar w:fldCharType="begin"/>
            </w:r>
            <w:r>
              <w:rPr>
                <w:noProof/>
                <w:webHidden/>
              </w:rPr>
              <w:instrText xml:space="preserve"> PAGEREF _Toc211172185 \h </w:instrText>
            </w:r>
            <w:r>
              <w:rPr>
                <w:noProof/>
                <w:webHidden/>
              </w:rPr>
            </w:r>
            <w:r>
              <w:rPr>
                <w:noProof/>
                <w:webHidden/>
              </w:rPr>
              <w:fldChar w:fldCharType="separate"/>
            </w:r>
            <w:r w:rsidR="009D065C">
              <w:rPr>
                <w:noProof/>
                <w:webHidden/>
              </w:rPr>
              <w:t>6</w:t>
            </w:r>
            <w:r>
              <w:rPr>
                <w:noProof/>
                <w:webHidden/>
              </w:rPr>
              <w:fldChar w:fldCharType="end"/>
            </w:r>
          </w:hyperlink>
        </w:p>
        <w:p w14:paraId="43ED5E9E" w14:textId="58DD392A" w:rsidR="00880C29" w:rsidRDefault="00880C29">
          <w:pPr>
            <w:pStyle w:val="TOC1"/>
            <w:tabs>
              <w:tab w:val="left" w:pos="480"/>
              <w:tab w:val="right" w:leader="dot" w:pos="9016"/>
            </w:tabs>
            <w:rPr>
              <w:rFonts w:eastAsiaTheme="minorEastAsia"/>
              <w:noProof/>
              <w:lang w:eastAsia="en-GB"/>
            </w:rPr>
          </w:pPr>
          <w:hyperlink w:anchor="_Toc211172186" w:history="1">
            <w:r w:rsidRPr="005C3A43">
              <w:rPr>
                <w:rStyle w:val="Hyperlink"/>
                <w:b/>
                <w:bCs/>
                <w:noProof/>
              </w:rPr>
              <w:t>4.</w:t>
            </w:r>
            <w:r>
              <w:rPr>
                <w:rFonts w:eastAsiaTheme="minorEastAsia"/>
                <w:noProof/>
                <w:lang w:eastAsia="en-GB"/>
              </w:rPr>
              <w:tab/>
            </w:r>
            <w:r w:rsidRPr="005C3A43">
              <w:rPr>
                <w:rStyle w:val="Hyperlink"/>
                <w:b/>
                <w:bCs/>
                <w:noProof/>
              </w:rPr>
              <w:t>Conclusions and suggestions for further work/research.</w:t>
            </w:r>
            <w:r>
              <w:rPr>
                <w:noProof/>
                <w:webHidden/>
              </w:rPr>
              <w:tab/>
            </w:r>
            <w:r>
              <w:rPr>
                <w:noProof/>
                <w:webHidden/>
              </w:rPr>
              <w:fldChar w:fldCharType="begin"/>
            </w:r>
            <w:r>
              <w:rPr>
                <w:noProof/>
                <w:webHidden/>
              </w:rPr>
              <w:instrText xml:space="preserve"> PAGEREF _Toc211172186 \h </w:instrText>
            </w:r>
            <w:r>
              <w:rPr>
                <w:noProof/>
                <w:webHidden/>
              </w:rPr>
            </w:r>
            <w:r>
              <w:rPr>
                <w:noProof/>
                <w:webHidden/>
              </w:rPr>
              <w:fldChar w:fldCharType="separate"/>
            </w:r>
            <w:r w:rsidR="009D065C">
              <w:rPr>
                <w:noProof/>
                <w:webHidden/>
              </w:rPr>
              <w:t>10</w:t>
            </w:r>
            <w:r>
              <w:rPr>
                <w:noProof/>
                <w:webHidden/>
              </w:rPr>
              <w:fldChar w:fldCharType="end"/>
            </w:r>
          </w:hyperlink>
        </w:p>
        <w:p w14:paraId="0453B27D" w14:textId="1D7BCB2A" w:rsidR="00880C29" w:rsidRDefault="00880C29">
          <w:pPr>
            <w:pStyle w:val="TOC1"/>
            <w:tabs>
              <w:tab w:val="left" w:pos="480"/>
              <w:tab w:val="right" w:leader="dot" w:pos="9016"/>
            </w:tabs>
            <w:rPr>
              <w:rFonts w:eastAsiaTheme="minorEastAsia"/>
              <w:noProof/>
              <w:lang w:eastAsia="en-GB"/>
            </w:rPr>
          </w:pPr>
          <w:hyperlink w:anchor="_Toc211172187" w:history="1">
            <w:r w:rsidRPr="005C3A43">
              <w:rPr>
                <w:rStyle w:val="Hyperlink"/>
                <w:b/>
                <w:bCs/>
                <w:noProof/>
              </w:rPr>
              <w:t>5.</w:t>
            </w:r>
            <w:r>
              <w:rPr>
                <w:rFonts w:eastAsiaTheme="minorEastAsia"/>
                <w:noProof/>
                <w:lang w:eastAsia="en-GB"/>
              </w:rPr>
              <w:tab/>
            </w:r>
            <w:r w:rsidRPr="005C3A43">
              <w:rPr>
                <w:rStyle w:val="Hyperlink"/>
                <w:b/>
                <w:bCs/>
                <w:noProof/>
              </w:rPr>
              <w:t>References</w:t>
            </w:r>
            <w:r>
              <w:rPr>
                <w:noProof/>
                <w:webHidden/>
              </w:rPr>
              <w:tab/>
            </w:r>
            <w:r>
              <w:rPr>
                <w:noProof/>
                <w:webHidden/>
              </w:rPr>
              <w:fldChar w:fldCharType="begin"/>
            </w:r>
            <w:r>
              <w:rPr>
                <w:noProof/>
                <w:webHidden/>
              </w:rPr>
              <w:instrText xml:space="preserve"> PAGEREF _Toc211172187 \h </w:instrText>
            </w:r>
            <w:r>
              <w:rPr>
                <w:noProof/>
                <w:webHidden/>
              </w:rPr>
            </w:r>
            <w:r>
              <w:rPr>
                <w:noProof/>
                <w:webHidden/>
              </w:rPr>
              <w:fldChar w:fldCharType="separate"/>
            </w:r>
            <w:r w:rsidR="009D065C">
              <w:rPr>
                <w:noProof/>
                <w:webHidden/>
              </w:rPr>
              <w:t>11</w:t>
            </w:r>
            <w:r>
              <w:rPr>
                <w:noProof/>
                <w:webHidden/>
              </w:rPr>
              <w:fldChar w:fldCharType="end"/>
            </w:r>
          </w:hyperlink>
        </w:p>
        <w:p w14:paraId="7DF35EE7" w14:textId="19F305C8" w:rsidR="007F355B" w:rsidRDefault="00320071">
          <w:pPr>
            <w:rPr>
              <w:b/>
              <w:bCs/>
            </w:rPr>
          </w:pPr>
          <w:r>
            <w:rPr>
              <w:b/>
              <w:bCs/>
            </w:rPr>
            <w:fldChar w:fldCharType="end"/>
          </w:r>
        </w:p>
        <w:p w14:paraId="3D38E302" w14:textId="77777777" w:rsidR="007F355B" w:rsidRDefault="007F355B">
          <w:pPr>
            <w:rPr>
              <w:b/>
              <w:bCs/>
            </w:rPr>
          </w:pPr>
        </w:p>
        <w:p w14:paraId="521C0658" w14:textId="77777777" w:rsidR="007F355B" w:rsidRDefault="007F355B">
          <w:pPr>
            <w:rPr>
              <w:b/>
              <w:bCs/>
            </w:rPr>
          </w:pPr>
        </w:p>
        <w:p w14:paraId="73179BD8" w14:textId="77777777" w:rsidR="005D2EAC" w:rsidRDefault="005D2EAC">
          <w:pPr>
            <w:rPr>
              <w:b/>
              <w:bCs/>
            </w:rPr>
          </w:pPr>
        </w:p>
        <w:p w14:paraId="24ECA40F" w14:textId="77777777" w:rsidR="005D2EAC" w:rsidRDefault="005D2EAC">
          <w:pPr>
            <w:rPr>
              <w:b/>
              <w:bCs/>
            </w:rPr>
          </w:pPr>
        </w:p>
        <w:p w14:paraId="3BC34636" w14:textId="77777777" w:rsidR="005D2EAC" w:rsidRDefault="005D2EAC">
          <w:pPr>
            <w:rPr>
              <w:b/>
              <w:bCs/>
            </w:rPr>
          </w:pPr>
        </w:p>
        <w:p w14:paraId="5DAB26BF" w14:textId="77777777" w:rsidR="005D2EAC" w:rsidRDefault="005D2EAC">
          <w:pPr>
            <w:rPr>
              <w:b/>
              <w:bCs/>
            </w:rPr>
          </w:pPr>
        </w:p>
        <w:p w14:paraId="612F51E1" w14:textId="77777777" w:rsidR="005D2EAC" w:rsidRDefault="005D2EAC">
          <w:pPr>
            <w:rPr>
              <w:b/>
              <w:bCs/>
            </w:rPr>
          </w:pPr>
        </w:p>
        <w:p w14:paraId="12F9E93F" w14:textId="77777777" w:rsidR="005D2EAC" w:rsidRDefault="005D2EAC">
          <w:pPr>
            <w:rPr>
              <w:b/>
              <w:bCs/>
            </w:rPr>
          </w:pPr>
        </w:p>
        <w:p w14:paraId="7D0220B1" w14:textId="77777777" w:rsidR="005D2EAC" w:rsidRDefault="005D2EAC">
          <w:pPr>
            <w:rPr>
              <w:b/>
              <w:bCs/>
            </w:rPr>
          </w:pPr>
        </w:p>
        <w:p w14:paraId="66B1F974" w14:textId="458DBBD8" w:rsidR="00320071" w:rsidRDefault="00000000"/>
      </w:sdtContent>
    </w:sdt>
    <w:p w14:paraId="65585A8A" w14:textId="7934352A" w:rsidR="00BB53C3" w:rsidRDefault="00BB53C3" w:rsidP="009213BA">
      <w:pPr>
        <w:pStyle w:val="Heading1"/>
        <w:numPr>
          <w:ilvl w:val="0"/>
          <w:numId w:val="2"/>
        </w:numPr>
        <w:ind w:left="0" w:firstLine="0"/>
        <w:rPr>
          <w:b/>
          <w:bCs/>
          <w:color w:val="auto"/>
        </w:rPr>
      </w:pPr>
      <w:bookmarkStart w:id="0" w:name="_Toc211172183"/>
      <w:r w:rsidRPr="00BB53C3">
        <w:rPr>
          <w:b/>
          <w:bCs/>
          <w:color w:val="auto"/>
        </w:rPr>
        <w:lastRenderedPageBreak/>
        <w:t>Introduction</w:t>
      </w:r>
      <w:bookmarkEnd w:id="0"/>
      <w:r w:rsidR="00382AC1">
        <w:rPr>
          <w:b/>
          <w:bCs/>
          <w:color w:val="auto"/>
        </w:rPr>
        <w:t xml:space="preserve"> </w:t>
      </w:r>
    </w:p>
    <w:p w14:paraId="76CFFABB" w14:textId="180231E1" w:rsidR="00AD3B7E" w:rsidRDefault="00AD3B7E" w:rsidP="00AD3B7E">
      <w:pPr>
        <w:pStyle w:val="NormalWeb"/>
        <w:jc w:val="both"/>
        <w:rPr>
          <w:b/>
          <w:bCs/>
        </w:rPr>
      </w:pPr>
      <w:r w:rsidRPr="00AD3B7E">
        <w:t xml:space="preserve">The launch of the Apple iPhone 15 in 2023 represents a significant advancement in mobile technology, featuring components such as the A17 Bionic chip, produced by Taiwan Semiconductor Manufacturing Company (TSMC) </w:t>
      </w:r>
      <w:r w:rsidRPr="00AD3B7E">
        <w:rPr>
          <w:b/>
          <w:bCs/>
        </w:rPr>
        <w:t>(Lin, 2025)</w:t>
      </w:r>
      <w:r w:rsidRPr="00AD3B7E">
        <w:t xml:space="preserve">. Apple has established a complex international supply chain that spans multiple continents and includes various key suppliers. The assembly operations are primarily executed by Foxconn and Pegatron in China, while component contributions include camera modules from Sony in Japan and semiconductor supplies from Broadcom and Skyworks in the USA </w:t>
      </w:r>
      <w:r w:rsidRPr="00AD3B7E">
        <w:rPr>
          <w:b/>
          <w:bCs/>
        </w:rPr>
        <w:t>(Lin, 2025).</w:t>
      </w:r>
    </w:p>
    <w:p w14:paraId="709F13FF" w14:textId="3CFEBD85" w:rsidR="00482A47" w:rsidRDefault="00482A47" w:rsidP="00AD3B7E">
      <w:pPr>
        <w:pStyle w:val="NormalWeb"/>
        <w:jc w:val="both"/>
      </w:pPr>
      <w:r w:rsidRPr="00482A47">
        <w:t>The supply chain mapping for the Apple iPhone 15 from its Tier 2 suppliers to final delivery in the UK involves various critical components, suppliers, and logistics processes that ensure efficient operations</w:t>
      </w:r>
      <w:r>
        <w:t xml:space="preserve">. </w:t>
      </w:r>
      <w:r w:rsidR="00D57E84">
        <w:t>This can be shown in Figure 1.</w:t>
      </w:r>
    </w:p>
    <w:p w14:paraId="6ADEFC58" w14:textId="5A951BCE" w:rsidR="00482A47" w:rsidRDefault="00D57E84" w:rsidP="00AD3B7E">
      <w:pPr>
        <w:pStyle w:val="NormalWeb"/>
        <w:jc w:val="both"/>
      </w:pPr>
      <w:r w:rsidRPr="00D57E84">
        <w:rPr>
          <w:noProof/>
        </w:rPr>
        <w:drawing>
          <wp:inline distT="0" distB="0" distL="0" distR="0" wp14:anchorId="255897DD" wp14:editId="2ED31008">
            <wp:extent cx="8863330" cy="926465"/>
            <wp:effectExtent l="0" t="0" r="0" b="6985"/>
            <wp:docPr id="86659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597888" name=""/>
                    <pic:cNvPicPr/>
                  </pic:nvPicPr>
                  <pic:blipFill>
                    <a:blip r:embed="rId9"/>
                    <a:stretch>
                      <a:fillRect/>
                    </a:stretch>
                  </pic:blipFill>
                  <pic:spPr>
                    <a:xfrm>
                      <a:off x="0" y="0"/>
                      <a:ext cx="8863330" cy="926465"/>
                    </a:xfrm>
                    <a:prstGeom prst="rect">
                      <a:avLst/>
                    </a:prstGeom>
                  </pic:spPr>
                </pic:pic>
              </a:graphicData>
            </a:graphic>
          </wp:inline>
        </w:drawing>
      </w:r>
    </w:p>
    <w:p w14:paraId="3742193A" w14:textId="43E6802C" w:rsidR="00D57E84" w:rsidRDefault="00D57E84" w:rsidP="00D57E84">
      <w:pPr>
        <w:pStyle w:val="NormalWeb"/>
        <w:jc w:val="center"/>
        <w:rPr>
          <w:b/>
          <w:bCs/>
        </w:rPr>
      </w:pPr>
      <w:r w:rsidRPr="00D57E84">
        <w:rPr>
          <w:b/>
          <w:bCs/>
        </w:rPr>
        <w:t>Figure 1 – Supply Chain Mapping</w:t>
      </w:r>
    </w:p>
    <w:p w14:paraId="4BACE369" w14:textId="1E0E6579" w:rsidR="00D57E84" w:rsidRPr="00D57E84" w:rsidRDefault="00D57E84" w:rsidP="00D57E84">
      <w:pPr>
        <w:pStyle w:val="NormalWeb"/>
        <w:jc w:val="both"/>
      </w:pPr>
      <w:r>
        <w:t>Table 1 capture’s the flow in more detail of each step of the mapping from Tier 2 suppliers to the end user and shows the key players and components supported by references.</w:t>
      </w:r>
    </w:p>
    <w:tbl>
      <w:tblPr>
        <w:tblW w:w="14029" w:type="dxa"/>
        <w:tblLook w:val="04A0" w:firstRow="1" w:lastRow="0" w:firstColumn="1" w:lastColumn="0" w:noHBand="0" w:noVBand="1"/>
      </w:tblPr>
      <w:tblGrid>
        <w:gridCol w:w="2100"/>
        <w:gridCol w:w="4132"/>
        <w:gridCol w:w="4678"/>
        <w:gridCol w:w="3119"/>
      </w:tblGrid>
      <w:tr w:rsidR="00D57E84" w:rsidRPr="00D57E84" w14:paraId="2269483D" w14:textId="77777777" w:rsidTr="00D57E84">
        <w:trPr>
          <w:trHeight w:val="290"/>
        </w:trPr>
        <w:tc>
          <w:tcPr>
            <w:tcW w:w="210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13FE9F77" w14:textId="77777777" w:rsidR="00D57E84" w:rsidRPr="00D57E84" w:rsidRDefault="00D57E84" w:rsidP="00D57E84">
            <w:pPr>
              <w:spacing w:after="0" w:line="240" w:lineRule="auto"/>
              <w:jc w:val="center"/>
              <w:rPr>
                <w:rFonts w:ascii="Arial" w:eastAsia="Times New Roman" w:hAnsi="Arial" w:cs="Arial"/>
                <w:b/>
                <w:bCs/>
                <w:color w:val="FFFFFF"/>
                <w:kern w:val="0"/>
                <w:sz w:val="16"/>
                <w:szCs w:val="16"/>
                <w:lang w:eastAsia="en-GB"/>
                <w14:ligatures w14:val="none"/>
              </w:rPr>
            </w:pPr>
            <w:r w:rsidRPr="00D57E84">
              <w:rPr>
                <w:rFonts w:ascii="Arial" w:eastAsia="Times New Roman" w:hAnsi="Arial" w:cs="Arial"/>
                <w:b/>
                <w:bCs/>
                <w:color w:val="FFFFFF"/>
                <w:kern w:val="0"/>
                <w:sz w:val="16"/>
                <w:szCs w:val="16"/>
                <w:lang w:eastAsia="en-GB"/>
                <w14:ligatures w14:val="none"/>
              </w:rPr>
              <w:t>Level</w:t>
            </w:r>
          </w:p>
        </w:tc>
        <w:tc>
          <w:tcPr>
            <w:tcW w:w="4132" w:type="dxa"/>
            <w:tcBorders>
              <w:top w:val="single" w:sz="4" w:space="0" w:color="auto"/>
              <w:left w:val="nil"/>
              <w:bottom w:val="single" w:sz="4" w:space="0" w:color="auto"/>
              <w:right w:val="single" w:sz="4" w:space="0" w:color="auto"/>
            </w:tcBorders>
            <w:shd w:val="clear" w:color="000000" w:fill="002060"/>
            <w:vAlign w:val="center"/>
            <w:hideMark/>
          </w:tcPr>
          <w:p w14:paraId="2A38439E" w14:textId="77777777" w:rsidR="00D57E84" w:rsidRPr="00D57E84" w:rsidRDefault="00D57E84" w:rsidP="00D57E84">
            <w:pPr>
              <w:spacing w:after="0" w:line="240" w:lineRule="auto"/>
              <w:jc w:val="center"/>
              <w:rPr>
                <w:rFonts w:ascii="Arial" w:eastAsia="Times New Roman" w:hAnsi="Arial" w:cs="Arial"/>
                <w:b/>
                <w:bCs/>
                <w:color w:val="FFFFFF"/>
                <w:kern w:val="0"/>
                <w:sz w:val="16"/>
                <w:szCs w:val="16"/>
                <w:lang w:eastAsia="en-GB"/>
                <w14:ligatures w14:val="none"/>
              </w:rPr>
            </w:pPr>
            <w:r w:rsidRPr="00D57E84">
              <w:rPr>
                <w:rFonts w:ascii="Arial" w:eastAsia="Times New Roman" w:hAnsi="Arial" w:cs="Arial"/>
                <w:b/>
                <w:bCs/>
                <w:color w:val="FFFFFF"/>
                <w:kern w:val="0"/>
                <w:sz w:val="16"/>
                <w:szCs w:val="16"/>
                <w:lang w:eastAsia="en-GB"/>
                <w14:ligatures w14:val="none"/>
              </w:rPr>
              <w:t>Description</w:t>
            </w:r>
          </w:p>
        </w:tc>
        <w:tc>
          <w:tcPr>
            <w:tcW w:w="4678" w:type="dxa"/>
            <w:tcBorders>
              <w:top w:val="single" w:sz="4" w:space="0" w:color="auto"/>
              <w:left w:val="nil"/>
              <w:bottom w:val="single" w:sz="4" w:space="0" w:color="auto"/>
              <w:right w:val="single" w:sz="4" w:space="0" w:color="auto"/>
            </w:tcBorders>
            <w:shd w:val="clear" w:color="000000" w:fill="002060"/>
            <w:vAlign w:val="center"/>
            <w:hideMark/>
          </w:tcPr>
          <w:p w14:paraId="4B86BE64" w14:textId="77777777" w:rsidR="00D57E84" w:rsidRPr="00D57E84" w:rsidRDefault="00D57E84" w:rsidP="00D57E84">
            <w:pPr>
              <w:spacing w:after="0" w:line="240" w:lineRule="auto"/>
              <w:jc w:val="center"/>
              <w:rPr>
                <w:rFonts w:ascii="Arial" w:eastAsia="Times New Roman" w:hAnsi="Arial" w:cs="Arial"/>
                <w:b/>
                <w:bCs/>
                <w:color w:val="FFFFFF"/>
                <w:kern w:val="0"/>
                <w:sz w:val="16"/>
                <w:szCs w:val="16"/>
                <w:lang w:eastAsia="en-GB"/>
                <w14:ligatures w14:val="none"/>
              </w:rPr>
            </w:pPr>
            <w:r w:rsidRPr="00D57E84">
              <w:rPr>
                <w:rFonts w:ascii="Arial" w:eastAsia="Times New Roman" w:hAnsi="Arial" w:cs="Arial"/>
                <w:b/>
                <w:bCs/>
                <w:color w:val="FFFFFF"/>
                <w:kern w:val="0"/>
                <w:sz w:val="16"/>
                <w:szCs w:val="16"/>
                <w:lang w:eastAsia="en-GB"/>
                <w14:ligatures w14:val="none"/>
              </w:rPr>
              <w:t>Key Players/Components</w:t>
            </w:r>
          </w:p>
        </w:tc>
        <w:tc>
          <w:tcPr>
            <w:tcW w:w="3119" w:type="dxa"/>
            <w:tcBorders>
              <w:top w:val="single" w:sz="4" w:space="0" w:color="auto"/>
              <w:left w:val="nil"/>
              <w:bottom w:val="single" w:sz="4" w:space="0" w:color="auto"/>
              <w:right w:val="single" w:sz="4" w:space="0" w:color="auto"/>
            </w:tcBorders>
            <w:shd w:val="clear" w:color="000000" w:fill="002060"/>
            <w:vAlign w:val="center"/>
            <w:hideMark/>
          </w:tcPr>
          <w:p w14:paraId="0B42F2CD" w14:textId="77777777" w:rsidR="00D57E84" w:rsidRPr="00D57E84" w:rsidRDefault="00D57E84" w:rsidP="00D57E84">
            <w:pPr>
              <w:spacing w:after="0" w:line="240" w:lineRule="auto"/>
              <w:jc w:val="center"/>
              <w:rPr>
                <w:rFonts w:ascii="Arial" w:eastAsia="Times New Roman" w:hAnsi="Arial" w:cs="Arial"/>
                <w:b/>
                <w:bCs/>
                <w:color w:val="FFFFFF"/>
                <w:kern w:val="0"/>
                <w:sz w:val="16"/>
                <w:szCs w:val="16"/>
                <w:lang w:eastAsia="en-GB"/>
                <w14:ligatures w14:val="none"/>
              </w:rPr>
            </w:pPr>
            <w:r w:rsidRPr="00D57E84">
              <w:rPr>
                <w:rFonts w:ascii="Arial" w:eastAsia="Times New Roman" w:hAnsi="Arial" w:cs="Arial"/>
                <w:b/>
                <w:bCs/>
                <w:color w:val="FFFFFF"/>
                <w:kern w:val="0"/>
                <w:sz w:val="16"/>
                <w:szCs w:val="16"/>
                <w:lang w:eastAsia="en-GB"/>
                <w14:ligatures w14:val="none"/>
              </w:rPr>
              <w:t>Reference</w:t>
            </w:r>
          </w:p>
        </w:tc>
      </w:tr>
      <w:tr w:rsidR="00D57E84" w:rsidRPr="009C4B58" w14:paraId="710F2717" w14:textId="77777777" w:rsidTr="00D57E84">
        <w:trPr>
          <w:trHeight w:val="562"/>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3C05149E" w14:textId="77777777" w:rsidR="00D57E84" w:rsidRPr="009C4B58" w:rsidRDefault="00D57E84" w:rsidP="00D57E84">
            <w:pPr>
              <w:spacing w:after="0" w:line="240" w:lineRule="auto"/>
              <w:jc w:val="center"/>
              <w:rPr>
                <w:rFonts w:ascii="Times New Roman" w:eastAsia="Times New Roman" w:hAnsi="Times New Roman"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Tier 2 Suppliers</w:t>
            </w:r>
          </w:p>
        </w:tc>
        <w:tc>
          <w:tcPr>
            <w:tcW w:w="4132" w:type="dxa"/>
            <w:tcBorders>
              <w:top w:val="nil"/>
              <w:left w:val="nil"/>
              <w:bottom w:val="single" w:sz="4" w:space="0" w:color="auto"/>
              <w:right w:val="single" w:sz="4" w:space="0" w:color="auto"/>
            </w:tcBorders>
            <w:shd w:val="clear" w:color="000000" w:fill="FFFFFF"/>
            <w:vAlign w:val="center"/>
            <w:hideMark/>
          </w:tcPr>
          <w:p w14:paraId="29F4BDAD" w14:textId="06B34D92" w:rsidR="00D57E84" w:rsidRPr="009C4B58" w:rsidRDefault="00D57E84" w:rsidP="00D57E84">
            <w:pPr>
              <w:spacing w:after="0" w:line="240" w:lineRule="auto"/>
              <w:rPr>
                <w:rFonts w:ascii="Aptos Narrow" w:eastAsia="Times New Roman" w:hAnsi="Aptos Narrow" w:cs="Times New Roman"/>
                <w:color w:val="333A3F"/>
                <w:kern w:val="0"/>
                <w:sz w:val="20"/>
                <w:szCs w:val="20"/>
                <w:lang w:eastAsia="en-GB"/>
                <w14:ligatures w14:val="none"/>
              </w:rPr>
            </w:pPr>
            <w:r w:rsidRPr="009C4B58">
              <w:rPr>
                <w:rFonts w:ascii="Times New Roman" w:eastAsia="Times New Roman" w:hAnsi="Times New Roman" w:cs="Times New Roman"/>
                <w:kern w:val="0"/>
                <w:sz w:val="20"/>
                <w:szCs w:val="20"/>
                <w:lang w:eastAsia="en-GB"/>
                <w14:ligatures w14:val="none"/>
              </w:rPr>
              <w:t xml:space="preserve">Suppliers of </w:t>
            </w:r>
            <w:r w:rsidR="009C4B58" w:rsidRPr="009C4B58">
              <w:rPr>
                <w:rFonts w:ascii="Times New Roman" w:eastAsia="Times New Roman" w:hAnsi="Times New Roman" w:cs="Times New Roman"/>
                <w:kern w:val="0"/>
                <w:sz w:val="20"/>
                <w:szCs w:val="20"/>
                <w:lang w:eastAsia="en-GB"/>
                <w14:ligatures w14:val="none"/>
              </w:rPr>
              <w:t xml:space="preserve">critical </w:t>
            </w:r>
            <w:r w:rsidRPr="009C4B58">
              <w:rPr>
                <w:rFonts w:ascii="Times New Roman" w:eastAsia="Times New Roman" w:hAnsi="Times New Roman" w:cs="Times New Roman"/>
                <w:kern w:val="0"/>
                <w:sz w:val="20"/>
                <w:szCs w:val="20"/>
                <w:lang w:eastAsia="en-GB"/>
                <w14:ligatures w14:val="none"/>
              </w:rPr>
              <w:t>raw materials for components like chips, displays, and metals.</w:t>
            </w:r>
            <w:r w:rsidR="009C4B58" w:rsidRPr="009C4B58">
              <w:rPr>
                <w:rFonts w:ascii="Times New Roman" w:eastAsia="Times New Roman" w:hAnsi="Times New Roman" w:cs="Times New Roman"/>
                <w:kern w:val="0"/>
                <w:sz w:val="20"/>
                <w:szCs w:val="20"/>
                <w:lang w:eastAsia="en-GB"/>
                <w14:ligatures w14:val="none"/>
              </w:rPr>
              <w:t xml:space="preserve"> These suppliers operate globally.</w:t>
            </w:r>
          </w:p>
        </w:tc>
        <w:tc>
          <w:tcPr>
            <w:tcW w:w="4678" w:type="dxa"/>
            <w:tcBorders>
              <w:top w:val="nil"/>
              <w:left w:val="nil"/>
              <w:bottom w:val="single" w:sz="4" w:space="0" w:color="auto"/>
              <w:right w:val="single" w:sz="4" w:space="0" w:color="auto"/>
            </w:tcBorders>
            <w:shd w:val="clear" w:color="000000" w:fill="FFFFFF"/>
            <w:vAlign w:val="center"/>
            <w:hideMark/>
          </w:tcPr>
          <w:p w14:paraId="2D1D6C3E" w14:textId="3F103690" w:rsidR="00D57E84" w:rsidRPr="00D57E84" w:rsidRDefault="00A10F4E" w:rsidP="00A10F4E">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R</w:t>
            </w:r>
            <w:r w:rsidR="00D57E84" w:rsidRPr="009C4B58">
              <w:rPr>
                <w:rFonts w:ascii="Times New Roman" w:eastAsia="Times New Roman" w:hAnsi="Times New Roman" w:cs="Times New Roman"/>
                <w:kern w:val="0"/>
                <w:sz w:val="20"/>
                <w:szCs w:val="20"/>
                <w:lang w:eastAsia="en-GB"/>
                <w14:ligatures w14:val="none"/>
              </w:rPr>
              <w:t>aw material suppliers (e.g., aluminium, glass</w:t>
            </w:r>
            <w:r w:rsidRPr="009C4B58">
              <w:rPr>
                <w:rFonts w:ascii="Times New Roman" w:eastAsia="Times New Roman" w:hAnsi="Times New Roman" w:cs="Times New Roman"/>
                <w:kern w:val="0"/>
                <w:sz w:val="20"/>
                <w:szCs w:val="20"/>
                <w:lang w:eastAsia="en-GB"/>
                <w14:ligatures w14:val="none"/>
              </w:rPr>
              <w:t>, PCB’s</w:t>
            </w:r>
            <w:r w:rsidR="00D57E84" w:rsidRPr="009C4B58">
              <w:rPr>
                <w:rFonts w:ascii="Times New Roman" w:eastAsia="Times New Roman" w:hAnsi="Times New Roman" w:cs="Times New Roman"/>
                <w:kern w:val="0"/>
                <w:sz w:val="20"/>
                <w:szCs w:val="20"/>
                <w:lang w:eastAsia="en-GB"/>
                <w14:ligatures w14:val="none"/>
              </w:rPr>
              <w:t>).</w:t>
            </w:r>
            <w:r w:rsidR="009C4B58" w:rsidRPr="009C4B58">
              <w:rPr>
                <w:rFonts w:ascii="Times New Roman" w:eastAsia="Times New Roman" w:hAnsi="Times New Roman" w:cs="Times New Roman"/>
                <w:kern w:val="0"/>
                <w:sz w:val="20"/>
                <w:szCs w:val="20"/>
                <w:lang w:eastAsia="en-GB"/>
                <w14:ligatures w14:val="none"/>
              </w:rPr>
              <w:t xml:space="preserve"> Companies like Corning provide glass for screens, and various chemical companies supply the compounds necessary for semiconductor fabrication.</w:t>
            </w:r>
          </w:p>
        </w:tc>
        <w:tc>
          <w:tcPr>
            <w:tcW w:w="3119" w:type="dxa"/>
            <w:tcBorders>
              <w:top w:val="nil"/>
              <w:left w:val="nil"/>
              <w:bottom w:val="single" w:sz="4" w:space="0" w:color="auto"/>
              <w:right w:val="single" w:sz="4" w:space="0" w:color="auto"/>
            </w:tcBorders>
            <w:shd w:val="clear" w:color="000000" w:fill="FFFFFF"/>
            <w:vAlign w:val="center"/>
            <w:hideMark/>
          </w:tcPr>
          <w:p w14:paraId="5CCE4A8F" w14:textId="77777777" w:rsidR="00D57E84" w:rsidRPr="009C4B58" w:rsidRDefault="00D57E84" w:rsidP="009C4B58">
            <w:pPr>
              <w:spacing w:after="0" w:line="240" w:lineRule="auto"/>
              <w:jc w:val="center"/>
              <w:rPr>
                <w:rFonts w:ascii="Times New Roman" w:eastAsia="Times New Roman" w:hAnsi="Times New Roman"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Andry et al. (2022), (Lin, 2025)</w:t>
            </w:r>
          </w:p>
        </w:tc>
      </w:tr>
      <w:tr w:rsidR="00D57E84" w:rsidRPr="00D57E84" w14:paraId="22DF9EAE" w14:textId="77777777" w:rsidTr="00D57E84">
        <w:trPr>
          <w:trHeight w:val="87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6D5B80B5" w14:textId="77777777" w:rsidR="00D57E84" w:rsidRPr="00D57E84" w:rsidRDefault="00D57E84" w:rsidP="00D57E84">
            <w:pPr>
              <w:spacing w:after="0" w:line="240" w:lineRule="auto"/>
              <w:jc w:val="center"/>
              <w:rPr>
                <w:rFonts w:ascii="Aptos Narrow" w:eastAsia="Times New Roman" w:hAnsi="Aptos Narrow"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Tier 1 Suppliers</w:t>
            </w:r>
          </w:p>
        </w:tc>
        <w:tc>
          <w:tcPr>
            <w:tcW w:w="4132" w:type="dxa"/>
            <w:tcBorders>
              <w:top w:val="nil"/>
              <w:left w:val="nil"/>
              <w:bottom w:val="single" w:sz="4" w:space="0" w:color="auto"/>
              <w:right w:val="single" w:sz="4" w:space="0" w:color="auto"/>
            </w:tcBorders>
            <w:shd w:val="clear" w:color="000000" w:fill="FFFFFF"/>
            <w:vAlign w:val="center"/>
            <w:hideMark/>
          </w:tcPr>
          <w:p w14:paraId="6A659A8F"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Direct suppliers providing key components for the iPhone, including chips, camera modules, and batteries.</w:t>
            </w:r>
          </w:p>
        </w:tc>
        <w:tc>
          <w:tcPr>
            <w:tcW w:w="4678" w:type="dxa"/>
            <w:tcBorders>
              <w:top w:val="nil"/>
              <w:left w:val="nil"/>
              <w:bottom w:val="single" w:sz="4" w:space="0" w:color="auto"/>
              <w:right w:val="single" w:sz="4" w:space="0" w:color="auto"/>
            </w:tcBorders>
            <w:shd w:val="clear" w:color="000000" w:fill="FFFFFF"/>
            <w:vAlign w:val="center"/>
            <w:hideMark/>
          </w:tcPr>
          <w:p w14:paraId="56E75510" w14:textId="5EB1BC53" w:rsidR="00D57E84" w:rsidRPr="00D57E84" w:rsidRDefault="00A10F4E"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 xml:space="preserve">TSMC (semiconductor manufacturing), </w:t>
            </w:r>
            <w:r w:rsidR="00D57E84" w:rsidRPr="009C4B58">
              <w:rPr>
                <w:rFonts w:ascii="Times New Roman" w:eastAsia="Times New Roman" w:hAnsi="Times New Roman" w:cs="Times New Roman"/>
                <w:kern w:val="0"/>
                <w:sz w:val="20"/>
                <w:szCs w:val="20"/>
                <w:lang w:eastAsia="en-GB"/>
                <w14:ligatures w14:val="none"/>
              </w:rPr>
              <w:t>Sony (camera modules), Broadcom (Other semiconductors).</w:t>
            </w:r>
          </w:p>
        </w:tc>
        <w:tc>
          <w:tcPr>
            <w:tcW w:w="3119" w:type="dxa"/>
            <w:tcBorders>
              <w:top w:val="nil"/>
              <w:left w:val="nil"/>
              <w:bottom w:val="single" w:sz="4" w:space="0" w:color="auto"/>
              <w:right w:val="single" w:sz="4" w:space="0" w:color="auto"/>
            </w:tcBorders>
            <w:shd w:val="clear" w:color="000000" w:fill="FFFFFF"/>
            <w:vAlign w:val="center"/>
            <w:hideMark/>
          </w:tcPr>
          <w:p w14:paraId="03B71CFC" w14:textId="77777777" w:rsidR="00D57E84" w:rsidRPr="00D57E84" w:rsidRDefault="00D57E84" w:rsidP="009C4B58">
            <w:pPr>
              <w:spacing w:after="0" w:line="240" w:lineRule="auto"/>
              <w:jc w:val="center"/>
              <w:rPr>
                <w:rFonts w:ascii="Aptos Narrow" w:eastAsia="Times New Roman" w:hAnsi="Aptos Narrow" w:cs="Times New Roman"/>
                <w:b/>
                <w:bCs/>
                <w:color w:val="1F1F1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(We, 2024)</w:t>
            </w:r>
          </w:p>
        </w:tc>
      </w:tr>
      <w:tr w:rsidR="00D57E84" w:rsidRPr="00D57E84" w14:paraId="3D4D8AE0" w14:textId="77777777" w:rsidTr="00D57E84">
        <w:trPr>
          <w:trHeight w:val="87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77D73659" w14:textId="77777777" w:rsidR="00D57E84" w:rsidRPr="00D57E84" w:rsidRDefault="00D57E84" w:rsidP="00D57E84">
            <w:pPr>
              <w:spacing w:after="0" w:line="240" w:lineRule="auto"/>
              <w:jc w:val="center"/>
              <w:rPr>
                <w:rFonts w:ascii="Aptos Narrow" w:eastAsia="Times New Roman" w:hAnsi="Aptos Narrow"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lastRenderedPageBreak/>
              <w:t>Final Assembly</w:t>
            </w:r>
          </w:p>
        </w:tc>
        <w:tc>
          <w:tcPr>
            <w:tcW w:w="4132" w:type="dxa"/>
            <w:tcBorders>
              <w:top w:val="nil"/>
              <w:left w:val="nil"/>
              <w:bottom w:val="single" w:sz="4" w:space="0" w:color="auto"/>
              <w:right w:val="single" w:sz="4" w:space="0" w:color="auto"/>
            </w:tcBorders>
            <w:shd w:val="clear" w:color="000000" w:fill="FFFFFF"/>
            <w:vAlign w:val="center"/>
            <w:hideMark/>
          </w:tcPr>
          <w:p w14:paraId="164CFCEE"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The location where all components from Tier 1 suppliers are assembled into the final iPhone product.</w:t>
            </w:r>
          </w:p>
        </w:tc>
        <w:tc>
          <w:tcPr>
            <w:tcW w:w="4678" w:type="dxa"/>
            <w:tcBorders>
              <w:top w:val="nil"/>
              <w:left w:val="nil"/>
              <w:bottom w:val="single" w:sz="4" w:space="0" w:color="auto"/>
              <w:right w:val="single" w:sz="4" w:space="0" w:color="auto"/>
            </w:tcBorders>
            <w:shd w:val="clear" w:color="000000" w:fill="FFFFFF"/>
            <w:vAlign w:val="center"/>
            <w:hideMark/>
          </w:tcPr>
          <w:p w14:paraId="228FEF09"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Primary assembly by Foxconn and Pegatron in China.</w:t>
            </w:r>
          </w:p>
        </w:tc>
        <w:tc>
          <w:tcPr>
            <w:tcW w:w="3119" w:type="dxa"/>
            <w:tcBorders>
              <w:top w:val="nil"/>
              <w:left w:val="nil"/>
              <w:bottom w:val="single" w:sz="4" w:space="0" w:color="auto"/>
              <w:right w:val="single" w:sz="4" w:space="0" w:color="auto"/>
            </w:tcBorders>
            <w:shd w:val="clear" w:color="000000" w:fill="FFFFFF"/>
            <w:vAlign w:val="center"/>
            <w:hideMark/>
          </w:tcPr>
          <w:p w14:paraId="06D1E512" w14:textId="6096CAD6" w:rsidR="00D57E84" w:rsidRPr="00D57E84" w:rsidRDefault="00D57E84" w:rsidP="009C4B58">
            <w:pPr>
              <w:spacing w:after="0" w:line="240" w:lineRule="auto"/>
              <w:jc w:val="center"/>
              <w:rPr>
                <w:rFonts w:ascii="Aptos Narrow" w:eastAsia="Times New Roman" w:hAnsi="Aptos Narrow" w:cs="Times New Roman"/>
                <w:b/>
                <w:bCs/>
                <w:color w:val="1F1F1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(We, 2024), (Chen, 2023</w:t>
            </w:r>
            <w:r w:rsidR="00A10F4E" w:rsidRPr="009C4B58">
              <w:rPr>
                <w:rFonts w:ascii="Times New Roman" w:eastAsia="Times New Roman" w:hAnsi="Times New Roman" w:cs="Times New Roman"/>
                <w:b/>
                <w:bCs/>
                <w:color w:val="333A3F"/>
                <w:kern w:val="0"/>
                <w:sz w:val="22"/>
                <w:szCs w:val="22"/>
                <w:lang w:eastAsia="en-GB"/>
                <w14:ligatures w14:val="none"/>
              </w:rPr>
              <w:t>)</w:t>
            </w:r>
          </w:p>
        </w:tc>
      </w:tr>
      <w:tr w:rsidR="00D57E84" w:rsidRPr="00D57E84" w14:paraId="71195CDD" w14:textId="77777777" w:rsidTr="00D57E84">
        <w:trPr>
          <w:trHeight w:val="87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62D59B13" w14:textId="77777777" w:rsidR="00D57E84" w:rsidRPr="009C4B58" w:rsidRDefault="00D57E84" w:rsidP="00D57E84">
            <w:pPr>
              <w:spacing w:after="0" w:line="240" w:lineRule="auto"/>
              <w:jc w:val="center"/>
              <w:rPr>
                <w:rFonts w:ascii="Times New Roman" w:eastAsia="Times New Roman" w:hAnsi="Times New Roman"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Transportation</w:t>
            </w:r>
          </w:p>
        </w:tc>
        <w:tc>
          <w:tcPr>
            <w:tcW w:w="4132" w:type="dxa"/>
            <w:tcBorders>
              <w:top w:val="nil"/>
              <w:left w:val="nil"/>
              <w:bottom w:val="single" w:sz="4" w:space="0" w:color="auto"/>
              <w:right w:val="single" w:sz="4" w:space="0" w:color="auto"/>
            </w:tcBorders>
            <w:shd w:val="clear" w:color="000000" w:fill="FFFFFF"/>
            <w:vAlign w:val="center"/>
            <w:hideMark/>
          </w:tcPr>
          <w:p w14:paraId="37AB10BA" w14:textId="093E2C5E"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 xml:space="preserve">Transports finished products from assembly plants to distribution </w:t>
            </w:r>
            <w:r w:rsidR="00A10F4E" w:rsidRPr="009C4B58">
              <w:rPr>
                <w:rFonts w:ascii="Times New Roman" w:eastAsia="Times New Roman" w:hAnsi="Times New Roman" w:cs="Times New Roman"/>
                <w:kern w:val="0"/>
                <w:sz w:val="20"/>
                <w:szCs w:val="20"/>
                <w:lang w:eastAsia="en-GB"/>
                <w14:ligatures w14:val="none"/>
              </w:rPr>
              <w:t>centres</w:t>
            </w:r>
            <w:r w:rsidRPr="009C4B58">
              <w:rPr>
                <w:rFonts w:ascii="Times New Roman" w:eastAsia="Times New Roman" w:hAnsi="Times New Roman" w:cs="Times New Roman"/>
                <w:kern w:val="0"/>
                <w:sz w:val="20"/>
                <w:szCs w:val="20"/>
                <w:lang w:eastAsia="en-GB"/>
                <w14:ligatures w14:val="none"/>
              </w:rPr>
              <w:t xml:space="preserve"> in the UK.</w:t>
            </w:r>
          </w:p>
        </w:tc>
        <w:tc>
          <w:tcPr>
            <w:tcW w:w="4678" w:type="dxa"/>
            <w:tcBorders>
              <w:top w:val="nil"/>
              <w:left w:val="nil"/>
              <w:bottom w:val="single" w:sz="4" w:space="0" w:color="auto"/>
              <w:right w:val="single" w:sz="4" w:space="0" w:color="auto"/>
            </w:tcBorders>
            <w:shd w:val="clear" w:color="000000" w:fill="FFFFFF"/>
            <w:vAlign w:val="center"/>
            <w:hideMark/>
          </w:tcPr>
          <w:p w14:paraId="38AD8DD5"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Shipping (sea and air freight), route optimisation</w:t>
            </w:r>
            <w:r w:rsidRPr="00D57E84">
              <w:rPr>
                <w:rFonts w:ascii="Aptos Narrow" w:eastAsia="Times New Roman" w:hAnsi="Aptos Narrow" w:cs="Times New Roman"/>
                <w:color w:val="333A3F"/>
                <w:kern w:val="0"/>
                <w:sz w:val="22"/>
                <w:szCs w:val="22"/>
                <w:lang w:eastAsia="en-GB"/>
                <w14:ligatures w14:val="none"/>
              </w:rPr>
              <w:t>.</w:t>
            </w:r>
          </w:p>
        </w:tc>
        <w:tc>
          <w:tcPr>
            <w:tcW w:w="3119" w:type="dxa"/>
            <w:tcBorders>
              <w:top w:val="nil"/>
              <w:left w:val="nil"/>
              <w:bottom w:val="single" w:sz="4" w:space="0" w:color="auto"/>
              <w:right w:val="single" w:sz="4" w:space="0" w:color="auto"/>
            </w:tcBorders>
            <w:shd w:val="clear" w:color="000000" w:fill="FFFFFF"/>
            <w:vAlign w:val="center"/>
            <w:hideMark/>
          </w:tcPr>
          <w:p w14:paraId="7526EB2F" w14:textId="77777777" w:rsidR="00D57E84" w:rsidRPr="00D57E84" w:rsidRDefault="00D57E84" w:rsidP="009C4B58">
            <w:pPr>
              <w:spacing w:after="0" w:line="240" w:lineRule="auto"/>
              <w:jc w:val="center"/>
              <w:rPr>
                <w:rFonts w:ascii="Aptos Narrow" w:eastAsia="Times New Roman" w:hAnsi="Aptos Narrow" w:cs="Times New Roman"/>
                <w:b/>
                <w:bCs/>
                <w:color w:val="1F1F1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(Johnson &amp; Haug, 2021)</w:t>
            </w:r>
          </w:p>
        </w:tc>
      </w:tr>
      <w:tr w:rsidR="00D57E84" w:rsidRPr="00D57E84" w14:paraId="51464E72" w14:textId="77777777" w:rsidTr="00D57E84">
        <w:trPr>
          <w:trHeight w:val="58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750C6E9C" w14:textId="2F3F46F2" w:rsidR="00D57E84" w:rsidRPr="00D57E84" w:rsidRDefault="00D57E84" w:rsidP="00D57E84">
            <w:pPr>
              <w:spacing w:after="0" w:line="240" w:lineRule="auto"/>
              <w:jc w:val="center"/>
              <w:rPr>
                <w:rFonts w:ascii="Aptos Narrow" w:eastAsia="Times New Roman" w:hAnsi="Aptos Narrow"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 xml:space="preserve">Distribution </w:t>
            </w:r>
            <w:r w:rsidR="00A10F4E" w:rsidRPr="009C4B58">
              <w:rPr>
                <w:rFonts w:ascii="Times New Roman" w:eastAsia="Times New Roman" w:hAnsi="Times New Roman" w:cs="Times New Roman"/>
                <w:b/>
                <w:bCs/>
                <w:color w:val="333A3F"/>
                <w:kern w:val="0"/>
                <w:sz w:val="22"/>
                <w:szCs w:val="22"/>
                <w:lang w:eastAsia="en-GB"/>
                <w14:ligatures w14:val="none"/>
              </w:rPr>
              <w:t>Centres</w:t>
            </w:r>
          </w:p>
        </w:tc>
        <w:tc>
          <w:tcPr>
            <w:tcW w:w="4132" w:type="dxa"/>
            <w:tcBorders>
              <w:top w:val="nil"/>
              <w:left w:val="nil"/>
              <w:bottom w:val="single" w:sz="4" w:space="0" w:color="auto"/>
              <w:right w:val="single" w:sz="4" w:space="0" w:color="auto"/>
            </w:tcBorders>
            <w:shd w:val="clear" w:color="000000" w:fill="FFFFFF"/>
            <w:vAlign w:val="center"/>
            <w:hideMark/>
          </w:tcPr>
          <w:p w14:paraId="78FC5F43"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Warehouses that store iPhones before they reach retail outlets or customers.</w:t>
            </w:r>
          </w:p>
        </w:tc>
        <w:tc>
          <w:tcPr>
            <w:tcW w:w="4678" w:type="dxa"/>
            <w:tcBorders>
              <w:top w:val="nil"/>
              <w:left w:val="nil"/>
              <w:bottom w:val="single" w:sz="4" w:space="0" w:color="auto"/>
              <w:right w:val="single" w:sz="4" w:space="0" w:color="auto"/>
            </w:tcBorders>
            <w:shd w:val="clear" w:color="000000" w:fill="FFFFFF"/>
            <w:vAlign w:val="center"/>
            <w:hideMark/>
          </w:tcPr>
          <w:p w14:paraId="04DF92A4" w14:textId="0A4EBA6A"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 xml:space="preserve">Apple distribution </w:t>
            </w:r>
            <w:r w:rsidR="00A10F4E" w:rsidRPr="009C4B58">
              <w:rPr>
                <w:rFonts w:ascii="Times New Roman" w:eastAsia="Times New Roman" w:hAnsi="Times New Roman" w:cs="Times New Roman"/>
                <w:kern w:val="0"/>
                <w:sz w:val="20"/>
                <w:szCs w:val="20"/>
                <w:lang w:eastAsia="en-GB"/>
                <w14:ligatures w14:val="none"/>
              </w:rPr>
              <w:t>centres</w:t>
            </w:r>
            <w:r w:rsidRPr="009C4B58">
              <w:rPr>
                <w:rFonts w:ascii="Times New Roman" w:eastAsia="Times New Roman" w:hAnsi="Times New Roman" w:cs="Times New Roman"/>
                <w:kern w:val="0"/>
                <w:sz w:val="20"/>
                <w:szCs w:val="20"/>
                <w:lang w:eastAsia="en-GB"/>
                <w14:ligatures w14:val="none"/>
              </w:rPr>
              <w:t xml:space="preserve"> in the UK and Europe.</w:t>
            </w:r>
          </w:p>
        </w:tc>
        <w:tc>
          <w:tcPr>
            <w:tcW w:w="3119" w:type="dxa"/>
            <w:tcBorders>
              <w:top w:val="nil"/>
              <w:left w:val="nil"/>
              <w:bottom w:val="single" w:sz="4" w:space="0" w:color="auto"/>
              <w:right w:val="single" w:sz="4" w:space="0" w:color="auto"/>
            </w:tcBorders>
            <w:shd w:val="clear" w:color="000000" w:fill="FFFFFF"/>
            <w:vAlign w:val="center"/>
            <w:hideMark/>
          </w:tcPr>
          <w:p w14:paraId="10095674" w14:textId="77777777" w:rsidR="00D57E84" w:rsidRPr="00D57E84" w:rsidRDefault="00D57E84" w:rsidP="009C4B58">
            <w:pPr>
              <w:spacing w:after="0" w:line="240" w:lineRule="auto"/>
              <w:jc w:val="center"/>
              <w:rPr>
                <w:rFonts w:ascii="Aptos Narrow" w:eastAsia="Times New Roman" w:hAnsi="Aptos Narrow" w:cs="Times New Roman"/>
                <w:b/>
                <w:bCs/>
                <w:color w:val="1F1F1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 xml:space="preserve">(Choudhary et al., 2022), </w:t>
            </w:r>
            <w:proofErr w:type="spellStart"/>
            <w:r w:rsidRPr="009C4B58">
              <w:rPr>
                <w:rFonts w:ascii="Times New Roman" w:eastAsia="Times New Roman" w:hAnsi="Times New Roman" w:cs="Times New Roman"/>
                <w:b/>
                <w:bCs/>
                <w:color w:val="333A3F"/>
                <w:kern w:val="0"/>
                <w:sz w:val="22"/>
                <w:szCs w:val="22"/>
                <w:lang w:eastAsia="en-GB"/>
                <w14:ligatures w14:val="none"/>
              </w:rPr>
              <w:t>Arowosegbe</w:t>
            </w:r>
            <w:proofErr w:type="spellEnd"/>
            <w:r w:rsidRPr="009C4B58">
              <w:rPr>
                <w:rFonts w:ascii="Times New Roman" w:eastAsia="Times New Roman" w:hAnsi="Times New Roman" w:cs="Times New Roman"/>
                <w:b/>
                <w:bCs/>
                <w:color w:val="333A3F"/>
                <w:kern w:val="0"/>
                <w:sz w:val="22"/>
                <w:szCs w:val="22"/>
                <w:lang w:eastAsia="en-GB"/>
                <w14:ligatures w14:val="none"/>
              </w:rPr>
              <w:t xml:space="preserve"> et al., 2024)</w:t>
            </w:r>
          </w:p>
        </w:tc>
      </w:tr>
      <w:tr w:rsidR="00D57E84" w:rsidRPr="00D57E84" w14:paraId="30B35DBC" w14:textId="77777777" w:rsidTr="00D57E84">
        <w:trPr>
          <w:trHeight w:val="58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113C4EFF" w14:textId="77777777" w:rsidR="00D57E84" w:rsidRPr="00D57E84" w:rsidRDefault="00D57E84" w:rsidP="00D57E84">
            <w:pPr>
              <w:spacing w:after="0" w:line="240" w:lineRule="auto"/>
              <w:jc w:val="center"/>
              <w:rPr>
                <w:rFonts w:ascii="Aptos Narrow" w:eastAsia="Times New Roman" w:hAnsi="Aptos Narrow"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Retail Stores</w:t>
            </w:r>
          </w:p>
        </w:tc>
        <w:tc>
          <w:tcPr>
            <w:tcW w:w="4132" w:type="dxa"/>
            <w:tcBorders>
              <w:top w:val="nil"/>
              <w:left w:val="nil"/>
              <w:bottom w:val="single" w:sz="4" w:space="0" w:color="auto"/>
              <w:right w:val="single" w:sz="4" w:space="0" w:color="auto"/>
            </w:tcBorders>
            <w:shd w:val="clear" w:color="000000" w:fill="FFFFFF"/>
            <w:vAlign w:val="center"/>
            <w:hideMark/>
          </w:tcPr>
          <w:p w14:paraId="51AF4F79"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Locations where customers can purchase the iPhone directly.</w:t>
            </w:r>
          </w:p>
        </w:tc>
        <w:tc>
          <w:tcPr>
            <w:tcW w:w="4678" w:type="dxa"/>
            <w:tcBorders>
              <w:top w:val="nil"/>
              <w:left w:val="nil"/>
              <w:bottom w:val="single" w:sz="4" w:space="0" w:color="auto"/>
              <w:right w:val="single" w:sz="4" w:space="0" w:color="auto"/>
            </w:tcBorders>
            <w:shd w:val="clear" w:color="000000" w:fill="FFFFFF"/>
            <w:vAlign w:val="center"/>
            <w:hideMark/>
          </w:tcPr>
          <w:p w14:paraId="4D88AFB2"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Apple Stores, authorised retailers, and online platforms in the UK.</w:t>
            </w:r>
          </w:p>
        </w:tc>
        <w:tc>
          <w:tcPr>
            <w:tcW w:w="3119" w:type="dxa"/>
            <w:tcBorders>
              <w:top w:val="nil"/>
              <w:left w:val="nil"/>
              <w:bottom w:val="single" w:sz="4" w:space="0" w:color="auto"/>
              <w:right w:val="single" w:sz="4" w:space="0" w:color="auto"/>
            </w:tcBorders>
            <w:shd w:val="clear" w:color="000000" w:fill="FFFFFF"/>
            <w:vAlign w:val="center"/>
            <w:hideMark/>
          </w:tcPr>
          <w:p w14:paraId="0FC9183C" w14:textId="77777777" w:rsidR="00D57E84" w:rsidRPr="009C4B58" w:rsidRDefault="00D57E84" w:rsidP="009C4B58">
            <w:pPr>
              <w:spacing w:after="0" w:line="240" w:lineRule="auto"/>
              <w:jc w:val="center"/>
              <w:rPr>
                <w:rFonts w:ascii="Times New Roman" w:eastAsia="Times New Roman" w:hAnsi="Times New Roman"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(Chen, 2023) (Ramanathan et al., 2021)</w:t>
            </w:r>
          </w:p>
        </w:tc>
      </w:tr>
      <w:tr w:rsidR="00D57E84" w:rsidRPr="00D57E84" w14:paraId="6919FD1B" w14:textId="77777777" w:rsidTr="00D57E84">
        <w:trPr>
          <w:trHeight w:val="58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6C1FC804" w14:textId="77777777" w:rsidR="00D57E84" w:rsidRPr="00D57E84" w:rsidRDefault="00D57E84" w:rsidP="00D57E84">
            <w:pPr>
              <w:spacing w:after="0" w:line="240" w:lineRule="auto"/>
              <w:jc w:val="center"/>
              <w:rPr>
                <w:rFonts w:ascii="Aptos Narrow" w:eastAsia="Times New Roman" w:hAnsi="Aptos Narrow" w:cs="Times New Roman"/>
                <w:b/>
                <w:bCs/>
                <w:color w:val="333A3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End Users</w:t>
            </w:r>
          </w:p>
        </w:tc>
        <w:tc>
          <w:tcPr>
            <w:tcW w:w="4132" w:type="dxa"/>
            <w:tcBorders>
              <w:top w:val="nil"/>
              <w:left w:val="nil"/>
              <w:bottom w:val="single" w:sz="4" w:space="0" w:color="auto"/>
              <w:right w:val="single" w:sz="4" w:space="0" w:color="auto"/>
            </w:tcBorders>
            <w:shd w:val="clear" w:color="000000" w:fill="FFFFFF"/>
            <w:vAlign w:val="center"/>
            <w:hideMark/>
          </w:tcPr>
          <w:p w14:paraId="1A492FAD"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Final consumers who purchase and use the iPhone 15 in the UK market.</w:t>
            </w:r>
          </w:p>
        </w:tc>
        <w:tc>
          <w:tcPr>
            <w:tcW w:w="4678" w:type="dxa"/>
            <w:tcBorders>
              <w:top w:val="nil"/>
              <w:left w:val="nil"/>
              <w:bottom w:val="single" w:sz="4" w:space="0" w:color="auto"/>
              <w:right w:val="single" w:sz="4" w:space="0" w:color="auto"/>
            </w:tcBorders>
            <w:shd w:val="clear" w:color="000000" w:fill="FFFFFF"/>
            <w:vAlign w:val="center"/>
            <w:hideMark/>
          </w:tcPr>
          <w:p w14:paraId="04B6BAD2" w14:textId="77777777" w:rsidR="00D57E84" w:rsidRPr="00D57E84" w:rsidRDefault="00D57E84" w:rsidP="00D57E84">
            <w:pPr>
              <w:spacing w:after="0" w:line="240" w:lineRule="auto"/>
              <w:rPr>
                <w:rFonts w:ascii="Aptos Narrow" w:eastAsia="Times New Roman" w:hAnsi="Aptos Narrow" w:cs="Times New Roman"/>
                <w:color w:val="333A3F"/>
                <w:kern w:val="0"/>
                <w:sz w:val="22"/>
                <w:szCs w:val="22"/>
                <w:lang w:eastAsia="en-GB"/>
                <w14:ligatures w14:val="none"/>
              </w:rPr>
            </w:pPr>
            <w:r w:rsidRPr="009C4B58">
              <w:rPr>
                <w:rFonts w:ascii="Times New Roman" w:eastAsia="Times New Roman" w:hAnsi="Times New Roman" w:cs="Times New Roman"/>
                <w:kern w:val="0"/>
                <w:sz w:val="20"/>
                <w:szCs w:val="20"/>
                <w:lang w:eastAsia="en-GB"/>
                <w14:ligatures w14:val="none"/>
              </w:rPr>
              <w:t>Individual consumers, businesses, and educational institutions.</w:t>
            </w:r>
          </w:p>
        </w:tc>
        <w:tc>
          <w:tcPr>
            <w:tcW w:w="3119" w:type="dxa"/>
            <w:tcBorders>
              <w:top w:val="nil"/>
              <w:left w:val="nil"/>
              <w:bottom w:val="single" w:sz="4" w:space="0" w:color="auto"/>
              <w:right w:val="single" w:sz="4" w:space="0" w:color="auto"/>
            </w:tcBorders>
            <w:shd w:val="clear" w:color="000000" w:fill="FFFFFF"/>
            <w:vAlign w:val="center"/>
            <w:hideMark/>
          </w:tcPr>
          <w:p w14:paraId="7129BBE4" w14:textId="77777777" w:rsidR="00D57E84" w:rsidRPr="00D57E84" w:rsidRDefault="00D57E84" w:rsidP="009C4B58">
            <w:pPr>
              <w:spacing w:after="0" w:line="240" w:lineRule="auto"/>
              <w:jc w:val="center"/>
              <w:rPr>
                <w:rFonts w:ascii="Aptos Narrow" w:eastAsia="Times New Roman" w:hAnsi="Aptos Narrow" w:cs="Times New Roman"/>
                <w:b/>
                <w:bCs/>
                <w:color w:val="1F1F1F"/>
                <w:kern w:val="0"/>
                <w:sz w:val="22"/>
                <w:szCs w:val="22"/>
                <w:lang w:eastAsia="en-GB"/>
                <w14:ligatures w14:val="none"/>
              </w:rPr>
            </w:pPr>
            <w:r w:rsidRPr="009C4B58">
              <w:rPr>
                <w:rFonts w:ascii="Times New Roman" w:eastAsia="Times New Roman" w:hAnsi="Times New Roman" w:cs="Times New Roman"/>
                <w:b/>
                <w:bCs/>
                <w:color w:val="333A3F"/>
                <w:kern w:val="0"/>
                <w:sz w:val="22"/>
                <w:szCs w:val="22"/>
                <w:lang w:eastAsia="en-GB"/>
                <w14:ligatures w14:val="none"/>
              </w:rPr>
              <w:t>(Fontana et al., 2024)</w:t>
            </w:r>
          </w:p>
        </w:tc>
      </w:tr>
    </w:tbl>
    <w:p w14:paraId="4D7D7FDB" w14:textId="15B44677" w:rsidR="00D57E84" w:rsidRPr="00D57E84" w:rsidRDefault="00D57E84" w:rsidP="00D57E84">
      <w:pPr>
        <w:pStyle w:val="NormalWeb"/>
        <w:jc w:val="center"/>
        <w:rPr>
          <w:b/>
          <w:bCs/>
        </w:rPr>
      </w:pPr>
      <w:r w:rsidRPr="00D57E84">
        <w:rPr>
          <w:b/>
          <w:bCs/>
        </w:rPr>
        <w:t>Table 1</w:t>
      </w:r>
    </w:p>
    <w:p w14:paraId="23D2C927" w14:textId="484A722B" w:rsidR="00AD3B7E" w:rsidRPr="00AD3B7E" w:rsidRDefault="00AD3B7E" w:rsidP="00AD3B7E">
      <w:pPr>
        <w:pStyle w:val="NormalWeb"/>
        <w:jc w:val="both"/>
      </w:pPr>
      <w:r w:rsidRPr="00AD3B7E">
        <w:t xml:space="preserve">The logistics framework supporting the distribution of the iPhone 15 is intricate, leveraging a global network that includes air freight, </w:t>
      </w:r>
      <w:r w:rsidR="00A10F4E">
        <w:t>sea</w:t>
      </w:r>
      <w:r w:rsidRPr="00AD3B7E">
        <w:t xml:space="preserve"> shipping, and strategically placed regional distribution centres </w:t>
      </w:r>
      <w:r w:rsidRPr="00AD3B7E">
        <w:rPr>
          <w:b/>
          <w:bCs/>
        </w:rPr>
        <w:t>(Karl et al., 2018).</w:t>
      </w:r>
      <w:r w:rsidRPr="00AD3B7E">
        <w:t xml:space="preserve"> The complexity of this supply chain poses vulnerabilities due to various risks. For instance, geopolitical tensions, particularly regarding the China-Taiwan relationship, exacerbate potential disruptions </w:t>
      </w:r>
      <w:r w:rsidRPr="00AD3B7E">
        <w:rPr>
          <w:b/>
          <w:bCs/>
        </w:rPr>
        <w:t>(Johnson &amp; Haug, 2021</w:t>
      </w:r>
      <w:r>
        <w:rPr>
          <w:b/>
          <w:bCs/>
        </w:rPr>
        <w:t>)(</w:t>
      </w:r>
      <w:r w:rsidRPr="00AD3B7E">
        <w:t xml:space="preserve"> </w:t>
      </w:r>
      <w:proofErr w:type="spellStart"/>
      <w:r w:rsidRPr="00AD3B7E">
        <w:rPr>
          <w:b/>
          <w:bCs/>
        </w:rPr>
        <w:t>Paché</w:t>
      </w:r>
      <w:proofErr w:type="spellEnd"/>
      <w:r w:rsidRPr="00AD3B7E">
        <w:rPr>
          <w:b/>
          <w:bCs/>
        </w:rPr>
        <w:t>, 2024).</w:t>
      </w:r>
      <w:r w:rsidRPr="00AD3B7E">
        <w:t xml:space="preserve"> The supply chain is also susceptible to disruptions from components shortages, port congestion, labour disputes, and natural disasters, necessitating comprehensive risk management strategies </w:t>
      </w:r>
      <w:r w:rsidRPr="00AD3B7E">
        <w:rPr>
          <w:b/>
          <w:bCs/>
        </w:rPr>
        <w:t>(Roscoe et al., 2022</w:t>
      </w:r>
      <w:r w:rsidRPr="00AD3B7E">
        <w:t>).</w:t>
      </w:r>
    </w:p>
    <w:p w14:paraId="687BA253" w14:textId="06DE0581" w:rsidR="00AD3B7E" w:rsidRPr="00AD3B7E" w:rsidRDefault="00AD3B7E" w:rsidP="00AD3B7E">
      <w:pPr>
        <w:pStyle w:val="NormalWeb"/>
        <w:jc w:val="both"/>
      </w:pPr>
      <w:r w:rsidRPr="00AD3B7E">
        <w:t xml:space="preserve">Approximately 60% of the world's semiconductor manufacturing capacity is located in Taiwan, underscoring the critical nature of this region amidst intensifying geopolitical rivalries </w:t>
      </w:r>
      <w:r w:rsidRPr="00AD3B7E">
        <w:rPr>
          <w:b/>
          <w:bCs/>
        </w:rPr>
        <w:t>(Lin, 2025)</w:t>
      </w:r>
      <w:r w:rsidRPr="00AD3B7E">
        <w:t xml:space="preserve">. In response to these intricate supply chain dynamics, effective risk management and resilience strategies are essential. Building resilience within supply chains has emerged as a strategic response to unforeseen disruptions and is crucial for maintaining competitive advantage in today's volatile global market </w:t>
      </w:r>
      <w:r w:rsidRPr="00AD3B7E">
        <w:rPr>
          <w:b/>
          <w:bCs/>
        </w:rPr>
        <w:t>(Karl et al., 2018)</w:t>
      </w:r>
      <w:r w:rsidRPr="00AD3B7E">
        <w:t>. Developing capabilities to anticipate, adapt, respond, recover, and learn from disruptive events is vital for organi</w:t>
      </w:r>
      <w:r w:rsidR="005A67E8">
        <w:t>s</w:t>
      </w:r>
      <w:r w:rsidRPr="00AD3B7E">
        <w:t xml:space="preserve">ations to effectively navigate uncertain environments </w:t>
      </w:r>
      <w:r w:rsidRPr="00AD3B7E">
        <w:rPr>
          <w:b/>
          <w:bCs/>
        </w:rPr>
        <w:t>(Hsieh et al., 2023).</w:t>
      </w:r>
    </w:p>
    <w:p w14:paraId="6A0F3D17" w14:textId="182A9DB2" w:rsidR="00AD3B7E" w:rsidRDefault="00AD3B7E" w:rsidP="00AD3B7E">
      <w:pPr>
        <w:pStyle w:val="NormalWeb"/>
        <w:jc w:val="both"/>
        <w:rPr>
          <w:b/>
          <w:bCs/>
        </w:rPr>
      </w:pPr>
      <w:r w:rsidRPr="00AD3B7E">
        <w:t>Recent crises, such as the COVID-19 pandemic and geopolitical conflicts, have prompted organi</w:t>
      </w:r>
      <w:r>
        <w:t>s</w:t>
      </w:r>
      <w:r w:rsidRPr="00AD3B7E">
        <w:t xml:space="preserve">ations to adopt diversification strategies within their supply chains to mitigate risks </w:t>
      </w:r>
      <w:r w:rsidRPr="00AD3B7E">
        <w:rPr>
          <w:b/>
          <w:bCs/>
        </w:rPr>
        <w:t>(Araz et al., 2020).</w:t>
      </w:r>
      <w:r w:rsidRPr="00AD3B7E">
        <w:t xml:space="preserve"> The importance of risk management cannot be overstated, as it empowers organi</w:t>
      </w:r>
      <w:r w:rsidR="00923A2E">
        <w:t>s</w:t>
      </w:r>
      <w:r w:rsidRPr="00AD3B7E">
        <w:t xml:space="preserve">ations to maintain delivery capabilities despite significant challenges </w:t>
      </w:r>
      <w:r w:rsidRPr="00AD3B7E">
        <w:rPr>
          <w:b/>
          <w:bCs/>
        </w:rPr>
        <w:t>(Johnson &amp; Haug, 2021</w:t>
      </w:r>
      <w:r w:rsidR="005A67E8">
        <w:rPr>
          <w:b/>
          <w:bCs/>
        </w:rPr>
        <w:t>), (</w:t>
      </w:r>
      <w:r w:rsidRPr="00AD3B7E">
        <w:rPr>
          <w:b/>
          <w:bCs/>
        </w:rPr>
        <w:t>Roscoe et al., 2022).</w:t>
      </w:r>
    </w:p>
    <w:p w14:paraId="65A78D9E" w14:textId="77777777" w:rsidR="00AD3B7E" w:rsidRPr="00AD3B7E" w:rsidRDefault="00AD3B7E" w:rsidP="00AD3B7E">
      <w:pPr>
        <w:pStyle w:val="NormalWeb"/>
        <w:jc w:val="both"/>
      </w:pPr>
      <w:r w:rsidRPr="00AD3B7E">
        <w:lastRenderedPageBreak/>
        <w:t>In summary, the international supply chain of the Apple iPhone 15 is a complex, multi-layered framework relying on numerous suppliers and logistics channels. In light of geopolitical tensions and operational risks, comprehensive supply chain risk management and resilience strategies are increasingly critical for ensuring steady market delivery, particularly in the UK.</w:t>
      </w:r>
    </w:p>
    <w:p w14:paraId="28050EDD" w14:textId="6DEE3E30" w:rsidR="00E82C86" w:rsidRDefault="009A1298" w:rsidP="009213BA">
      <w:pPr>
        <w:pStyle w:val="NormalWeb"/>
        <w:jc w:val="both"/>
      </w:pPr>
      <w:r w:rsidRPr="004E485F">
        <w:t xml:space="preserve">This </w:t>
      </w:r>
      <w:r w:rsidR="003B0A34">
        <w:t xml:space="preserve">report </w:t>
      </w:r>
      <w:r w:rsidR="00C06F89" w:rsidRPr="00C06F89">
        <w:t>critically analy</w:t>
      </w:r>
      <w:r w:rsidR="00C06F89">
        <w:t>s</w:t>
      </w:r>
      <w:r w:rsidR="00C06F89" w:rsidRPr="00C06F89">
        <w:t xml:space="preserve">e </w:t>
      </w:r>
      <w:r w:rsidR="00C06F89">
        <w:t xml:space="preserve">the </w:t>
      </w:r>
      <w:r w:rsidR="00C06F89" w:rsidRPr="00C06F89">
        <w:t xml:space="preserve">supply chain risks </w:t>
      </w:r>
      <w:r w:rsidR="00C06F89">
        <w:t xml:space="preserve">of the Apple iPhone 15 </w:t>
      </w:r>
      <w:r w:rsidR="00C06F89" w:rsidRPr="00C06F89">
        <w:t>using FMEA and propose</w:t>
      </w:r>
      <w:r w:rsidR="005A5A66">
        <w:t>s</w:t>
      </w:r>
      <w:r w:rsidR="00C06F89" w:rsidRPr="00C06F89">
        <w:t xml:space="preserve"> </w:t>
      </w:r>
      <w:r w:rsidR="00C06F89">
        <w:t xml:space="preserve">six </w:t>
      </w:r>
      <w:r w:rsidR="00C06F89" w:rsidRPr="00C06F89">
        <w:t>resilience strategies for UK delivery</w:t>
      </w:r>
      <w:r w:rsidR="00923A2E">
        <w:t>.</w:t>
      </w:r>
    </w:p>
    <w:p w14:paraId="099656AD" w14:textId="2754BF1B" w:rsidR="00BB53C3" w:rsidRDefault="00880C29" w:rsidP="007D088B">
      <w:pPr>
        <w:pStyle w:val="Heading1"/>
        <w:numPr>
          <w:ilvl w:val="0"/>
          <w:numId w:val="2"/>
        </w:numPr>
        <w:ind w:left="0" w:firstLine="0"/>
        <w:rPr>
          <w:b/>
          <w:bCs/>
          <w:color w:val="auto"/>
        </w:rPr>
      </w:pPr>
      <w:bookmarkStart w:id="1" w:name="_Toc211172184"/>
      <w:r>
        <w:rPr>
          <w:b/>
          <w:bCs/>
          <w:color w:val="auto"/>
        </w:rPr>
        <w:t>FMEA Analysis</w:t>
      </w:r>
      <w:bookmarkEnd w:id="1"/>
    </w:p>
    <w:p w14:paraId="780EDF38" w14:textId="7166B65A" w:rsidR="006C233A" w:rsidRDefault="00D23378" w:rsidP="006C233A">
      <w:pPr>
        <w:spacing w:after="0" w:line="240" w:lineRule="auto"/>
        <w:jc w:val="both"/>
        <w:rPr>
          <w:rFonts w:ascii="Times New Roman" w:hAnsi="Times New Roman" w:cs="Times New Roman"/>
        </w:rPr>
      </w:pPr>
      <w:r w:rsidRPr="00D23378">
        <w:rPr>
          <w:rFonts w:ascii="Times New Roman" w:hAnsi="Times New Roman" w:cs="Times New Roman"/>
        </w:rPr>
        <w:t>The following Failure Mode and Effects Analysis (FMEA)</w:t>
      </w:r>
      <w:r w:rsidR="00D57E84">
        <w:rPr>
          <w:rFonts w:ascii="Times New Roman" w:hAnsi="Times New Roman" w:cs="Times New Roman"/>
        </w:rPr>
        <w:t xml:space="preserve"> in table 2</w:t>
      </w:r>
      <w:r w:rsidR="00AD41D7">
        <w:rPr>
          <w:rFonts w:ascii="Times New Roman" w:hAnsi="Times New Roman" w:cs="Times New Roman"/>
        </w:rPr>
        <w:t xml:space="preserve"> critically </w:t>
      </w:r>
      <w:r w:rsidRPr="00D23378">
        <w:rPr>
          <w:rFonts w:ascii="Times New Roman" w:hAnsi="Times New Roman" w:cs="Times New Roman"/>
        </w:rPr>
        <w:t>address</w:t>
      </w:r>
      <w:r>
        <w:rPr>
          <w:rFonts w:ascii="Times New Roman" w:hAnsi="Times New Roman" w:cs="Times New Roman"/>
        </w:rPr>
        <w:t>es</w:t>
      </w:r>
      <w:r w:rsidRPr="00D23378">
        <w:rPr>
          <w:rFonts w:ascii="Times New Roman" w:hAnsi="Times New Roman" w:cs="Times New Roman"/>
        </w:rPr>
        <w:t xml:space="preserve"> supply chain risks in the international supply chain of the Apple iPhone 15 </w:t>
      </w:r>
      <w:r w:rsidR="00A10F4E">
        <w:rPr>
          <w:rFonts w:ascii="Times New Roman" w:hAnsi="Times New Roman" w:cs="Times New Roman"/>
        </w:rPr>
        <w:t>relevant</w:t>
      </w:r>
      <w:r w:rsidRPr="00D23378">
        <w:rPr>
          <w:rFonts w:ascii="Times New Roman" w:hAnsi="Times New Roman" w:cs="Times New Roman"/>
        </w:rPr>
        <w:t xml:space="preserve"> to the UK market. This assessment identifies various potential failure modes, causes, effects, and corresponding mitigation strategies, reflecting the unique challenges faced by suppliers, logistics, and operations.</w:t>
      </w:r>
    </w:p>
    <w:p w14:paraId="3E093091" w14:textId="77777777" w:rsidR="00BC7F97" w:rsidRDefault="00BC7F97" w:rsidP="006C233A">
      <w:pPr>
        <w:spacing w:after="0" w:line="240" w:lineRule="auto"/>
        <w:jc w:val="both"/>
        <w:rPr>
          <w:rFonts w:ascii="Times New Roman" w:hAnsi="Times New Roman" w:cs="Times New Roman"/>
        </w:rPr>
      </w:pPr>
    </w:p>
    <w:p w14:paraId="346301F8" w14:textId="77777777" w:rsidR="00D23378" w:rsidRDefault="00D23378" w:rsidP="006C233A">
      <w:pPr>
        <w:spacing w:after="0" w:line="240" w:lineRule="auto"/>
        <w:jc w:val="both"/>
        <w:rPr>
          <w:rFonts w:ascii="Times New Roman" w:hAnsi="Times New Roman" w:cs="Times New Roman"/>
        </w:rPr>
      </w:pPr>
    </w:p>
    <w:tbl>
      <w:tblPr>
        <w:tblW w:w="14885" w:type="dxa"/>
        <w:tblInd w:w="-431" w:type="dxa"/>
        <w:tblLook w:val="04A0" w:firstRow="1" w:lastRow="0" w:firstColumn="1" w:lastColumn="0" w:noHBand="0" w:noVBand="1"/>
      </w:tblPr>
      <w:tblGrid>
        <w:gridCol w:w="568"/>
        <w:gridCol w:w="2392"/>
        <w:gridCol w:w="2233"/>
        <w:gridCol w:w="2368"/>
        <w:gridCol w:w="566"/>
        <w:gridCol w:w="600"/>
        <w:gridCol w:w="566"/>
        <w:gridCol w:w="628"/>
        <w:gridCol w:w="2741"/>
        <w:gridCol w:w="2223"/>
      </w:tblGrid>
      <w:tr w:rsidR="00233AAC" w:rsidRPr="00233AAC" w14:paraId="320B67D6" w14:textId="77777777" w:rsidTr="00233AAC">
        <w:trPr>
          <w:trHeight w:val="520"/>
        </w:trPr>
        <w:tc>
          <w:tcPr>
            <w:tcW w:w="568"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0E3EF591"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No</w:t>
            </w:r>
          </w:p>
        </w:tc>
        <w:tc>
          <w:tcPr>
            <w:tcW w:w="2392" w:type="dxa"/>
            <w:tcBorders>
              <w:top w:val="single" w:sz="4" w:space="0" w:color="auto"/>
              <w:left w:val="nil"/>
              <w:bottom w:val="single" w:sz="4" w:space="0" w:color="auto"/>
              <w:right w:val="single" w:sz="4" w:space="0" w:color="auto"/>
            </w:tcBorders>
            <w:shd w:val="clear" w:color="000000" w:fill="002060"/>
            <w:vAlign w:val="center"/>
            <w:hideMark/>
          </w:tcPr>
          <w:p w14:paraId="205F8422"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Failure Mode</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0B5CD8A2"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Potential Cause</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03EF6EE2"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Potential Effect</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137D9824"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Sev.</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54424DDB"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Occ.</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0EB1ADEB"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Det.</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5169BE4D"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RPN</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60B67713"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Mitigation</w:t>
            </w:r>
          </w:p>
        </w:tc>
        <w:tc>
          <w:tcPr>
            <w:tcW w:w="2223" w:type="dxa"/>
            <w:tcBorders>
              <w:top w:val="single" w:sz="4" w:space="0" w:color="auto"/>
              <w:left w:val="nil"/>
              <w:bottom w:val="single" w:sz="4" w:space="0" w:color="auto"/>
              <w:right w:val="single" w:sz="4" w:space="0" w:color="auto"/>
            </w:tcBorders>
            <w:shd w:val="clear" w:color="000000" w:fill="002060"/>
            <w:vAlign w:val="center"/>
            <w:hideMark/>
          </w:tcPr>
          <w:p w14:paraId="5302EB58" w14:textId="77777777" w:rsidR="00233AAC" w:rsidRPr="00233AAC" w:rsidRDefault="00233AAC" w:rsidP="00233AAC">
            <w:pPr>
              <w:spacing w:after="0" w:line="240" w:lineRule="auto"/>
              <w:jc w:val="center"/>
              <w:rPr>
                <w:rFonts w:ascii="Times New Roman" w:eastAsia="Times New Roman" w:hAnsi="Times New Roman" w:cs="Times New Roman"/>
                <w:b/>
                <w:bCs/>
                <w:color w:val="FFFFFF"/>
                <w:kern w:val="0"/>
                <w:sz w:val="20"/>
                <w:szCs w:val="20"/>
                <w:lang w:eastAsia="en-GB"/>
                <w14:ligatures w14:val="none"/>
              </w:rPr>
            </w:pPr>
            <w:r w:rsidRPr="00233AAC">
              <w:rPr>
                <w:rFonts w:ascii="Times New Roman" w:eastAsia="Times New Roman" w:hAnsi="Times New Roman" w:cs="Times New Roman"/>
                <w:b/>
                <w:bCs/>
                <w:color w:val="FFFFFF"/>
                <w:kern w:val="0"/>
                <w:sz w:val="20"/>
                <w:szCs w:val="20"/>
                <w:lang w:eastAsia="en-GB"/>
                <w14:ligatures w14:val="none"/>
              </w:rPr>
              <w:t>Source</w:t>
            </w:r>
          </w:p>
        </w:tc>
      </w:tr>
      <w:tr w:rsidR="00233AAC" w:rsidRPr="00233AAC" w14:paraId="0355555A"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7A9B408D"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w:t>
            </w:r>
          </w:p>
        </w:tc>
        <w:tc>
          <w:tcPr>
            <w:tcW w:w="2392" w:type="dxa"/>
            <w:tcBorders>
              <w:top w:val="nil"/>
              <w:left w:val="nil"/>
              <w:bottom w:val="single" w:sz="4" w:space="0" w:color="auto"/>
              <w:right w:val="single" w:sz="4" w:space="0" w:color="auto"/>
            </w:tcBorders>
            <w:vAlign w:val="center"/>
            <w:hideMark/>
          </w:tcPr>
          <w:p w14:paraId="310849D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Component Shortage</w:t>
            </w:r>
          </w:p>
        </w:tc>
        <w:tc>
          <w:tcPr>
            <w:tcW w:w="0" w:type="auto"/>
            <w:tcBorders>
              <w:top w:val="nil"/>
              <w:left w:val="nil"/>
              <w:bottom w:val="single" w:sz="4" w:space="0" w:color="auto"/>
              <w:right w:val="single" w:sz="4" w:space="0" w:color="auto"/>
            </w:tcBorders>
            <w:vAlign w:val="center"/>
            <w:hideMark/>
          </w:tcPr>
          <w:p w14:paraId="2604ED02"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Supplier failure or assembly delays</w:t>
            </w:r>
          </w:p>
        </w:tc>
        <w:tc>
          <w:tcPr>
            <w:tcW w:w="0" w:type="auto"/>
            <w:tcBorders>
              <w:top w:val="nil"/>
              <w:left w:val="nil"/>
              <w:bottom w:val="single" w:sz="4" w:space="0" w:color="auto"/>
              <w:right w:val="single" w:sz="4" w:space="0" w:color="auto"/>
            </w:tcBorders>
            <w:vAlign w:val="center"/>
            <w:hideMark/>
          </w:tcPr>
          <w:p w14:paraId="260538E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Production delays, inability to meet demand</w:t>
            </w:r>
          </w:p>
        </w:tc>
        <w:tc>
          <w:tcPr>
            <w:tcW w:w="0" w:type="auto"/>
            <w:tcBorders>
              <w:top w:val="nil"/>
              <w:left w:val="nil"/>
              <w:bottom w:val="single" w:sz="4" w:space="0" w:color="auto"/>
              <w:right w:val="single" w:sz="4" w:space="0" w:color="auto"/>
            </w:tcBorders>
            <w:vAlign w:val="center"/>
            <w:hideMark/>
          </w:tcPr>
          <w:p w14:paraId="31649AD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7B95B27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38EBDF6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4BE5AB50"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224</w:t>
            </w:r>
          </w:p>
        </w:tc>
        <w:tc>
          <w:tcPr>
            <w:tcW w:w="0" w:type="auto"/>
            <w:tcBorders>
              <w:top w:val="nil"/>
              <w:left w:val="nil"/>
              <w:bottom w:val="single" w:sz="4" w:space="0" w:color="auto"/>
              <w:right w:val="single" w:sz="4" w:space="0" w:color="auto"/>
            </w:tcBorders>
            <w:vAlign w:val="center"/>
            <w:hideMark/>
          </w:tcPr>
          <w:p w14:paraId="44E9E771"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Diversify suppliers and inventory strategies</w:t>
            </w:r>
          </w:p>
        </w:tc>
        <w:tc>
          <w:tcPr>
            <w:tcW w:w="2223" w:type="dxa"/>
            <w:tcBorders>
              <w:top w:val="nil"/>
              <w:left w:val="nil"/>
              <w:bottom w:val="single" w:sz="4" w:space="0" w:color="auto"/>
              <w:right w:val="single" w:sz="4" w:space="0" w:color="auto"/>
            </w:tcBorders>
            <w:vAlign w:val="center"/>
            <w:hideMark/>
          </w:tcPr>
          <w:p w14:paraId="5C60A98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Andry et al., 2022</w:t>
            </w:r>
          </w:p>
        </w:tc>
      </w:tr>
      <w:tr w:rsidR="00233AAC" w:rsidRPr="00233AAC" w14:paraId="16123307" w14:textId="77777777" w:rsidTr="00233AAC">
        <w:trPr>
          <w:trHeight w:val="520"/>
        </w:trPr>
        <w:tc>
          <w:tcPr>
            <w:tcW w:w="568" w:type="dxa"/>
            <w:tcBorders>
              <w:top w:val="nil"/>
              <w:left w:val="single" w:sz="4" w:space="0" w:color="auto"/>
              <w:bottom w:val="single" w:sz="4" w:space="0" w:color="auto"/>
              <w:right w:val="single" w:sz="4" w:space="0" w:color="auto"/>
            </w:tcBorders>
            <w:vAlign w:val="center"/>
            <w:hideMark/>
          </w:tcPr>
          <w:p w14:paraId="7BB809FA"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2</w:t>
            </w:r>
          </w:p>
        </w:tc>
        <w:tc>
          <w:tcPr>
            <w:tcW w:w="2392" w:type="dxa"/>
            <w:tcBorders>
              <w:top w:val="nil"/>
              <w:left w:val="nil"/>
              <w:bottom w:val="single" w:sz="4" w:space="0" w:color="auto"/>
              <w:right w:val="single" w:sz="4" w:space="0" w:color="auto"/>
            </w:tcBorders>
            <w:vAlign w:val="center"/>
            <w:hideMark/>
          </w:tcPr>
          <w:p w14:paraId="5E63A31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Geopolitical Tensions</w:t>
            </w:r>
          </w:p>
        </w:tc>
        <w:tc>
          <w:tcPr>
            <w:tcW w:w="0" w:type="auto"/>
            <w:tcBorders>
              <w:top w:val="nil"/>
              <w:left w:val="nil"/>
              <w:bottom w:val="single" w:sz="4" w:space="0" w:color="auto"/>
              <w:right w:val="single" w:sz="4" w:space="0" w:color="auto"/>
            </w:tcBorders>
            <w:vAlign w:val="center"/>
            <w:hideMark/>
          </w:tcPr>
          <w:p w14:paraId="2F73E5FF"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Conflicts (China-Taiwan, trade wars)</w:t>
            </w:r>
          </w:p>
        </w:tc>
        <w:tc>
          <w:tcPr>
            <w:tcW w:w="0" w:type="auto"/>
            <w:tcBorders>
              <w:top w:val="nil"/>
              <w:left w:val="nil"/>
              <w:bottom w:val="single" w:sz="4" w:space="0" w:color="auto"/>
              <w:right w:val="single" w:sz="4" w:space="0" w:color="auto"/>
            </w:tcBorders>
            <w:vAlign w:val="center"/>
            <w:hideMark/>
          </w:tcPr>
          <w:p w14:paraId="0C4B362A"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Disruptions to supply and delivery routes</w:t>
            </w:r>
          </w:p>
        </w:tc>
        <w:tc>
          <w:tcPr>
            <w:tcW w:w="0" w:type="auto"/>
            <w:tcBorders>
              <w:top w:val="nil"/>
              <w:left w:val="nil"/>
              <w:bottom w:val="single" w:sz="4" w:space="0" w:color="auto"/>
              <w:right w:val="single" w:sz="4" w:space="0" w:color="auto"/>
            </w:tcBorders>
            <w:vAlign w:val="center"/>
            <w:hideMark/>
          </w:tcPr>
          <w:p w14:paraId="3C69AA85"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9</w:t>
            </w:r>
          </w:p>
        </w:tc>
        <w:tc>
          <w:tcPr>
            <w:tcW w:w="0" w:type="auto"/>
            <w:tcBorders>
              <w:top w:val="nil"/>
              <w:left w:val="nil"/>
              <w:bottom w:val="single" w:sz="4" w:space="0" w:color="auto"/>
              <w:right w:val="single" w:sz="4" w:space="0" w:color="auto"/>
            </w:tcBorders>
            <w:vAlign w:val="center"/>
            <w:hideMark/>
          </w:tcPr>
          <w:p w14:paraId="3CBF922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1C57845E"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3</w:t>
            </w:r>
          </w:p>
        </w:tc>
        <w:tc>
          <w:tcPr>
            <w:tcW w:w="0" w:type="auto"/>
            <w:tcBorders>
              <w:top w:val="nil"/>
              <w:left w:val="nil"/>
              <w:bottom w:val="single" w:sz="4" w:space="0" w:color="auto"/>
              <w:right w:val="single" w:sz="4" w:space="0" w:color="auto"/>
            </w:tcBorders>
            <w:vAlign w:val="center"/>
            <w:hideMark/>
          </w:tcPr>
          <w:p w14:paraId="647DD09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135</w:t>
            </w:r>
          </w:p>
        </w:tc>
        <w:tc>
          <w:tcPr>
            <w:tcW w:w="0" w:type="auto"/>
            <w:tcBorders>
              <w:top w:val="nil"/>
              <w:left w:val="nil"/>
              <w:bottom w:val="single" w:sz="4" w:space="0" w:color="auto"/>
              <w:right w:val="single" w:sz="4" w:space="0" w:color="auto"/>
            </w:tcBorders>
            <w:vAlign w:val="center"/>
            <w:hideMark/>
          </w:tcPr>
          <w:p w14:paraId="49B7B414"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Establish alternative supply routes and regional sourcing</w:t>
            </w:r>
          </w:p>
        </w:tc>
        <w:tc>
          <w:tcPr>
            <w:tcW w:w="2223" w:type="dxa"/>
            <w:tcBorders>
              <w:top w:val="nil"/>
              <w:left w:val="nil"/>
              <w:bottom w:val="single" w:sz="4" w:space="0" w:color="auto"/>
              <w:right w:val="single" w:sz="4" w:space="0" w:color="auto"/>
            </w:tcBorders>
            <w:vAlign w:val="center"/>
            <w:hideMark/>
          </w:tcPr>
          <w:p w14:paraId="278435D7"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proofErr w:type="spellStart"/>
            <w:r w:rsidRPr="00233AAC">
              <w:rPr>
                <w:rFonts w:ascii="Times New Roman" w:eastAsia="Times New Roman" w:hAnsi="Times New Roman" w:cs="Times New Roman"/>
                <w:b/>
                <w:bCs/>
                <w:color w:val="000000"/>
                <w:kern w:val="0"/>
                <w:sz w:val="20"/>
                <w:szCs w:val="20"/>
                <w:lang w:eastAsia="en-GB"/>
                <w14:ligatures w14:val="none"/>
              </w:rPr>
              <w:t>Arowosegbe</w:t>
            </w:r>
            <w:proofErr w:type="spellEnd"/>
            <w:r w:rsidRPr="00233AAC">
              <w:rPr>
                <w:rFonts w:ascii="Times New Roman" w:eastAsia="Times New Roman" w:hAnsi="Times New Roman" w:cs="Times New Roman"/>
                <w:b/>
                <w:bCs/>
                <w:color w:val="000000"/>
                <w:kern w:val="0"/>
                <w:sz w:val="20"/>
                <w:szCs w:val="20"/>
                <w:lang w:eastAsia="en-GB"/>
                <w14:ligatures w14:val="none"/>
              </w:rPr>
              <w:t xml:space="preserve"> et al., 24</w:t>
            </w:r>
          </w:p>
        </w:tc>
      </w:tr>
      <w:tr w:rsidR="00233AAC" w:rsidRPr="00233AAC" w14:paraId="76A9D52B"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533C56AE"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3</w:t>
            </w:r>
          </w:p>
        </w:tc>
        <w:tc>
          <w:tcPr>
            <w:tcW w:w="2392" w:type="dxa"/>
            <w:tcBorders>
              <w:top w:val="nil"/>
              <w:left w:val="nil"/>
              <w:bottom w:val="single" w:sz="4" w:space="0" w:color="auto"/>
              <w:right w:val="single" w:sz="4" w:space="0" w:color="auto"/>
            </w:tcBorders>
            <w:vAlign w:val="center"/>
            <w:hideMark/>
          </w:tcPr>
          <w:p w14:paraId="4CD62175"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Port Congestion</w:t>
            </w:r>
          </w:p>
        </w:tc>
        <w:tc>
          <w:tcPr>
            <w:tcW w:w="0" w:type="auto"/>
            <w:tcBorders>
              <w:top w:val="nil"/>
              <w:left w:val="nil"/>
              <w:bottom w:val="single" w:sz="4" w:space="0" w:color="auto"/>
              <w:right w:val="single" w:sz="4" w:space="0" w:color="auto"/>
            </w:tcBorders>
            <w:vAlign w:val="center"/>
            <w:hideMark/>
          </w:tcPr>
          <w:p w14:paraId="4DCE73F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Increase in shipping volume</w:t>
            </w:r>
          </w:p>
        </w:tc>
        <w:tc>
          <w:tcPr>
            <w:tcW w:w="0" w:type="auto"/>
            <w:tcBorders>
              <w:top w:val="nil"/>
              <w:left w:val="nil"/>
              <w:bottom w:val="single" w:sz="4" w:space="0" w:color="auto"/>
              <w:right w:val="single" w:sz="4" w:space="0" w:color="auto"/>
            </w:tcBorders>
            <w:vAlign w:val="center"/>
            <w:hideMark/>
          </w:tcPr>
          <w:p w14:paraId="0443011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Delays in product arrival</w:t>
            </w:r>
          </w:p>
        </w:tc>
        <w:tc>
          <w:tcPr>
            <w:tcW w:w="0" w:type="auto"/>
            <w:tcBorders>
              <w:top w:val="nil"/>
              <w:left w:val="nil"/>
              <w:bottom w:val="single" w:sz="4" w:space="0" w:color="auto"/>
              <w:right w:val="single" w:sz="4" w:space="0" w:color="auto"/>
            </w:tcBorders>
            <w:vAlign w:val="center"/>
            <w:hideMark/>
          </w:tcPr>
          <w:p w14:paraId="198D20E7"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5634001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23F3E80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5F18B8BE"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240</w:t>
            </w:r>
          </w:p>
        </w:tc>
        <w:tc>
          <w:tcPr>
            <w:tcW w:w="0" w:type="auto"/>
            <w:tcBorders>
              <w:top w:val="nil"/>
              <w:left w:val="nil"/>
              <w:bottom w:val="single" w:sz="4" w:space="0" w:color="auto"/>
              <w:right w:val="single" w:sz="4" w:space="0" w:color="auto"/>
            </w:tcBorders>
            <w:vAlign w:val="center"/>
            <w:hideMark/>
          </w:tcPr>
          <w:p w14:paraId="52744250"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Use predictive analytics to manage logistics</w:t>
            </w:r>
          </w:p>
        </w:tc>
        <w:tc>
          <w:tcPr>
            <w:tcW w:w="2223" w:type="dxa"/>
            <w:tcBorders>
              <w:top w:val="nil"/>
              <w:left w:val="nil"/>
              <w:bottom w:val="single" w:sz="4" w:space="0" w:color="auto"/>
              <w:right w:val="single" w:sz="4" w:space="0" w:color="auto"/>
            </w:tcBorders>
            <w:vAlign w:val="center"/>
            <w:hideMark/>
          </w:tcPr>
          <w:p w14:paraId="5120E97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Zheng et al., 2023</w:t>
            </w:r>
          </w:p>
        </w:tc>
      </w:tr>
      <w:tr w:rsidR="00233AAC" w:rsidRPr="00233AAC" w14:paraId="7A721E33"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6C63C961"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4</w:t>
            </w:r>
          </w:p>
        </w:tc>
        <w:tc>
          <w:tcPr>
            <w:tcW w:w="2392" w:type="dxa"/>
            <w:tcBorders>
              <w:top w:val="nil"/>
              <w:left w:val="nil"/>
              <w:bottom w:val="single" w:sz="4" w:space="0" w:color="auto"/>
              <w:right w:val="single" w:sz="4" w:space="0" w:color="auto"/>
            </w:tcBorders>
            <w:vAlign w:val="center"/>
            <w:hideMark/>
          </w:tcPr>
          <w:p w14:paraId="4B318AB2"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Labour Disputes</w:t>
            </w:r>
          </w:p>
        </w:tc>
        <w:tc>
          <w:tcPr>
            <w:tcW w:w="0" w:type="auto"/>
            <w:tcBorders>
              <w:top w:val="nil"/>
              <w:left w:val="nil"/>
              <w:bottom w:val="single" w:sz="4" w:space="0" w:color="auto"/>
              <w:right w:val="single" w:sz="4" w:space="0" w:color="auto"/>
            </w:tcBorders>
            <w:vAlign w:val="center"/>
            <w:hideMark/>
          </w:tcPr>
          <w:p w14:paraId="46A29D4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Strikes or contractual issue</w:t>
            </w:r>
          </w:p>
        </w:tc>
        <w:tc>
          <w:tcPr>
            <w:tcW w:w="0" w:type="auto"/>
            <w:tcBorders>
              <w:top w:val="nil"/>
              <w:left w:val="nil"/>
              <w:bottom w:val="single" w:sz="4" w:space="0" w:color="auto"/>
              <w:right w:val="single" w:sz="4" w:space="0" w:color="auto"/>
            </w:tcBorders>
            <w:vAlign w:val="center"/>
            <w:hideMark/>
          </w:tcPr>
          <w:p w14:paraId="677801EF"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Reduced output, potential shutdown</w:t>
            </w:r>
          </w:p>
        </w:tc>
        <w:tc>
          <w:tcPr>
            <w:tcW w:w="0" w:type="auto"/>
            <w:tcBorders>
              <w:top w:val="nil"/>
              <w:left w:val="nil"/>
              <w:bottom w:val="single" w:sz="4" w:space="0" w:color="auto"/>
              <w:right w:val="single" w:sz="4" w:space="0" w:color="auto"/>
            </w:tcBorders>
            <w:vAlign w:val="center"/>
            <w:hideMark/>
          </w:tcPr>
          <w:p w14:paraId="01EF0B90"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4A9B4FB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434D95AB"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1273937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168</w:t>
            </w:r>
          </w:p>
        </w:tc>
        <w:tc>
          <w:tcPr>
            <w:tcW w:w="0" w:type="auto"/>
            <w:tcBorders>
              <w:top w:val="nil"/>
              <w:left w:val="nil"/>
              <w:bottom w:val="single" w:sz="4" w:space="0" w:color="auto"/>
              <w:right w:val="single" w:sz="4" w:space="0" w:color="auto"/>
            </w:tcBorders>
            <w:vAlign w:val="center"/>
            <w:hideMark/>
          </w:tcPr>
          <w:p w14:paraId="76ED2DF8" w14:textId="4E9B6D30"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Engage in collaborative labour relations strategies</w:t>
            </w:r>
          </w:p>
        </w:tc>
        <w:tc>
          <w:tcPr>
            <w:tcW w:w="2223" w:type="dxa"/>
            <w:tcBorders>
              <w:top w:val="nil"/>
              <w:left w:val="nil"/>
              <w:bottom w:val="single" w:sz="4" w:space="0" w:color="auto"/>
              <w:right w:val="single" w:sz="4" w:space="0" w:color="auto"/>
            </w:tcBorders>
            <w:vAlign w:val="center"/>
            <w:hideMark/>
          </w:tcPr>
          <w:p w14:paraId="040978F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 xml:space="preserve">Umar &amp; Wilson, 2023 </w:t>
            </w:r>
          </w:p>
        </w:tc>
      </w:tr>
      <w:tr w:rsidR="00233AAC" w:rsidRPr="00233AAC" w14:paraId="796022ED"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06FD8A82"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5</w:t>
            </w:r>
          </w:p>
        </w:tc>
        <w:tc>
          <w:tcPr>
            <w:tcW w:w="2392" w:type="dxa"/>
            <w:tcBorders>
              <w:top w:val="nil"/>
              <w:left w:val="nil"/>
              <w:bottom w:val="single" w:sz="4" w:space="0" w:color="auto"/>
              <w:right w:val="single" w:sz="4" w:space="0" w:color="auto"/>
            </w:tcBorders>
            <w:vAlign w:val="center"/>
            <w:hideMark/>
          </w:tcPr>
          <w:p w14:paraId="47B759FE"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Natural Disasters</w:t>
            </w:r>
          </w:p>
        </w:tc>
        <w:tc>
          <w:tcPr>
            <w:tcW w:w="0" w:type="auto"/>
            <w:tcBorders>
              <w:top w:val="nil"/>
              <w:left w:val="nil"/>
              <w:bottom w:val="single" w:sz="4" w:space="0" w:color="auto"/>
              <w:right w:val="single" w:sz="4" w:space="0" w:color="auto"/>
            </w:tcBorders>
            <w:vAlign w:val="center"/>
            <w:hideMark/>
          </w:tcPr>
          <w:p w14:paraId="60044B0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Weather events (earthquakes, floods)</w:t>
            </w:r>
          </w:p>
        </w:tc>
        <w:tc>
          <w:tcPr>
            <w:tcW w:w="0" w:type="auto"/>
            <w:tcBorders>
              <w:top w:val="nil"/>
              <w:left w:val="nil"/>
              <w:bottom w:val="single" w:sz="4" w:space="0" w:color="auto"/>
              <w:right w:val="single" w:sz="4" w:space="0" w:color="auto"/>
            </w:tcBorders>
            <w:vAlign w:val="center"/>
            <w:hideMark/>
          </w:tcPr>
          <w:p w14:paraId="1FBF18A5"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Damage to infrastructure</w:t>
            </w:r>
          </w:p>
        </w:tc>
        <w:tc>
          <w:tcPr>
            <w:tcW w:w="0" w:type="auto"/>
            <w:tcBorders>
              <w:top w:val="nil"/>
              <w:left w:val="nil"/>
              <w:bottom w:val="single" w:sz="4" w:space="0" w:color="auto"/>
              <w:right w:val="single" w:sz="4" w:space="0" w:color="auto"/>
            </w:tcBorders>
            <w:vAlign w:val="center"/>
            <w:hideMark/>
          </w:tcPr>
          <w:p w14:paraId="0121484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10</w:t>
            </w:r>
          </w:p>
        </w:tc>
        <w:tc>
          <w:tcPr>
            <w:tcW w:w="0" w:type="auto"/>
            <w:tcBorders>
              <w:top w:val="nil"/>
              <w:left w:val="nil"/>
              <w:bottom w:val="single" w:sz="4" w:space="0" w:color="auto"/>
              <w:right w:val="single" w:sz="4" w:space="0" w:color="auto"/>
            </w:tcBorders>
            <w:vAlign w:val="center"/>
            <w:hideMark/>
          </w:tcPr>
          <w:p w14:paraId="74DDEF67"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0136440D"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3</w:t>
            </w:r>
          </w:p>
        </w:tc>
        <w:tc>
          <w:tcPr>
            <w:tcW w:w="0" w:type="auto"/>
            <w:tcBorders>
              <w:top w:val="nil"/>
              <w:left w:val="nil"/>
              <w:bottom w:val="single" w:sz="4" w:space="0" w:color="auto"/>
              <w:right w:val="single" w:sz="4" w:space="0" w:color="auto"/>
            </w:tcBorders>
            <w:vAlign w:val="center"/>
            <w:hideMark/>
          </w:tcPr>
          <w:p w14:paraId="19DD4885"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120</w:t>
            </w:r>
          </w:p>
        </w:tc>
        <w:tc>
          <w:tcPr>
            <w:tcW w:w="0" w:type="auto"/>
            <w:tcBorders>
              <w:top w:val="nil"/>
              <w:left w:val="nil"/>
              <w:bottom w:val="single" w:sz="4" w:space="0" w:color="auto"/>
              <w:right w:val="single" w:sz="4" w:space="0" w:color="auto"/>
            </w:tcBorders>
            <w:vAlign w:val="center"/>
            <w:hideMark/>
          </w:tcPr>
          <w:p w14:paraId="5933C6B8"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Create disaster recovery plans and invest in resilience</w:t>
            </w:r>
          </w:p>
        </w:tc>
        <w:tc>
          <w:tcPr>
            <w:tcW w:w="2223" w:type="dxa"/>
            <w:tcBorders>
              <w:top w:val="nil"/>
              <w:left w:val="nil"/>
              <w:bottom w:val="single" w:sz="4" w:space="0" w:color="auto"/>
              <w:right w:val="single" w:sz="4" w:space="0" w:color="auto"/>
            </w:tcBorders>
            <w:vAlign w:val="center"/>
            <w:hideMark/>
          </w:tcPr>
          <w:p w14:paraId="325B7339"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proofErr w:type="spellStart"/>
            <w:r w:rsidRPr="00233AAC">
              <w:rPr>
                <w:rFonts w:ascii="Times New Roman" w:eastAsia="Times New Roman" w:hAnsi="Times New Roman" w:cs="Times New Roman"/>
                <w:b/>
                <w:bCs/>
                <w:color w:val="000000"/>
                <w:kern w:val="0"/>
                <w:sz w:val="20"/>
                <w:szCs w:val="20"/>
                <w:lang w:eastAsia="en-GB"/>
                <w14:ligatures w14:val="none"/>
              </w:rPr>
              <w:t>Arowosegbe</w:t>
            </w:r>
            <w:proofErr w:type="spellEnd"/>
            <w:r w:rsidRPr="00233AAC">
              <w:rPr>
                <w:rFonts w:ascii="Times New Roman" w:eastAsia="Times New Roman" w:hAnsi="Times New Roman" w:cs="Times New Roman"/>
                <w:b/>
                <w:bCs/>
                <w:color w:val="000000"/>
                <w:kern w:val="0"/>
                <w:sz w:val="20"/>
                <w:szCs w:val="20"/>
                <w:lang w:eastAsia="en-GB"/>
                <w14:ligatures w14:val="none"/>
              </w:rPr>
              <w:t xml:space="preserve"> et al., 24</w:t>
            </w:r>
          </w:p>
        </w:tc>
      </w:tr>
      <w:tr w:rsidR="00233AAC" w:rsidRPr="00233AAC" w14:paraId="3EEC2D5F"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7828DA67"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6</w:t>
            </w:r>
          </w:p>
        </w:tc>
        <w:tc>
          <w:tcPr>
            <w:tcW w:w="2392" w:type="dxa"/>
            <w:tcBorders>
              <w:top w:val="nil"/>
              <w:left w:val="nil"/>
              <w:bottom w:val="single" w:sz="4" w:space="0" w:color="auto"/>
              <w:right w:val="single" w:sz="4" w:space="0" w:color="auto"/>
            </w:tcBorders>
            <w:vAlign w:val="center"/>
            <w:hideMark/>
          </w:tcPr>
          <w:p w14:paraId="524F8872"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Quality Control Issues</w:t>
            </w:r>
          </w:p>
        </w:tc>
        <w:tc>
          <w:tcPr>
            <w:tcW w:w="0" w:type="auto"/>
            <w:tcBorders>
              <w:top w:val="nil"/>
              <w:left w:val="nil"/>
              <w:bottom w:val="single" w:sz="4" w:space="0" w:color="auto"/>
              <w:right w:val="single" w:sz="4" w:space="0" w:color="auto"/>
            </w:tcBorders>
            <w:vAlign w:val="center"/>
            <w:hideMark/>
          </w:tcPr>
          <w:p w14:paraId="50324DF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Inadequate supplier inspections</w:t>
            </w:r>
          </w:p>
        </w:tc>
        <w:tc>
          <w:tcPr>
            <w:tcW w:w="0" w:type="auto"/>
            <w:tcBorders>
              <w:top w:val="nil"/>
              <w:left w:val="nil"/>
              <w:bottom w:val="single" w:sz="4" w:space="0" w:color="auto"/>
              <w:right w:val="single" w:sz="4" w:space="0" w:color="auto"/>
            </w:tcBorders>
            <w:vAlign w:val="center"/>
            <w:hideMark/>
          </w:tcPr>
          <w:p w14:paraId="34E5BA5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High return rates, lost reputation</w:t>
            </w:r>
          </w:p>
        </w:tc>
        <w:tc>
          <w:tcPr>
            <w:tcW w:w="0" w:type="auto"/>
            <w:tcBorders>
              <w:top w:val="nil"/>
              <w:left w:val="nil"/>
              <w:bottom w:val="single" w:sz="4" w:space="0" w:color="auto"/>
              <w:right w:val="single" w:sz="4" w:space="0" w:color="auto"/>
            </w:tcBorders>
            <w:vAlign w:val="center"/>
            <w:hideMark/>
          </w:tcPr>
          <w:p w14:paraId="6C29C177"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18EFDEBB"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45406002"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51B00FC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240</w:t>
            </w:r>
          </w:p>
        </w:tc>
        <w:tc>
          <w:tcPr>
            <w:tcW w:w="0" w:type="auto"/>
            <w:tcBorders>
              <w:top w:val="nil"/>
              <w:left w:val="nil"/>
              <w:bottom w:val="single" w:sz="4" w:space="0" w:color="auto"/>
              <w:right w:val="single" w:sz="4" w:space="0" w:color="auto"/>
            </w:tcBorders>
            <w:vAlign w:val="center"/>
            <w:hideMark/>
          </w:tcPr>
          <w:p w14:paraId="6A5A4A70"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Implement rigorous supplier quality assurance programs</w:t>
            </w:r>
          </w:p>
        </w:tc>
        <w:tc>
          <w:tcPr>
            <w:tcW w:w="2223" w:type="dxa"/>
            <w:tcBorders>
              <w:top w:val="nil"/>
              <w:left w:val="nil"/>
              <w:bottom w:val="single" w:sz="4" w:space="0" w:color="auto"/>
              <w:right w:val="single" w:sz="4" w:space="0" w:color="auto"/>
            </w:tcBorders>
            <w:vAlign w:val="center"/>
            <w:hideMark/>
          </w:tcPr>
          <w:p w14:paraId="24E6A24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Arora &amp; Rajagopal, 2021</w:t>
            </w:r>
          </w:p>
        </w:tc>
      </w:tr>
      <w:tr w:rsidR="00233AAC" w:rsidRPr="00233AAC" w14:paraId="4FF6C2A3"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05957C78"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7</w:t>
            </w:r>
          </w:p>
        </w:tc>
        <w:tc>
          <w:tcPr>
            <w:tcW w:w="2392" w:type="dxa"/>
            <w:tcBorders>
              <w:top w:val="nil"/>
              <w:left w:val="nil"/>
              <w:bottom w:val="single" w:sz="4" w:space="0" w:color="auto"/>
              <w:right w:val="single" w:sz="4" w:space="0" w:color="auto"/>
            </w:tcBorders>
            <w:vAlign w:val="center"/>
            <w:hideMark/>
          </w:tcPr>
          <w:p w14:paraId="52D4AABC"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Information Delays</w:t>
            </w:r>
          </w:p>
        </w:tc>
        <w:tc>
          <w:tcPr>
            <w:tcW w:w="0" w:type="auto"/>
            <w:tcBorders>
              <w:top w:val="nil"/>
              <w:left w:val="nil"/>
              <w:bottom w:val="single" w:sz="4" w:space="0" w:color="auto"/>
              <w:right w:val="single" w:sz="4" w:space="0" w:color="auto"/>
            </w:tcBorders>
            <w:vAlign w:val="center"/>
            <w:hideMark/>
          </w:tcPr>
          <w:p w14:paraId="43A6CF67"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Poor communication systems</w:t>
            </w:r>
          </w:p>
        </w:tc>
        <w:tc>
          <w:tcPr>
            <w:tcW w:w="0" w:type="auto"/>
            <w:tcBorders>
              <w:top w:val="nil"/>
              <w:left w:val="nil"/>
              <w:bottom w:val="single" w:sz="4" w:space="0" w:color="auto"/>
              <w:right w:val="single" w:sz="4" w:space="0" w:color="auto"/>
            </w:tcBorders>
            <w:vAlign w:val="center"/>
            <w:hideMark/>
          </w:tcPr>
          <w:p w14:paraId="716F8BD7"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Misalignment between inventory and demand</w:t>
            </w:r>
          </w:p>
        </w:tc>
        <w:tc>
          <w:tcPr>
            <w:tcW w:w="0" w:type="auto"/>
            <w:tcBorders>
              <w:top w:val="nil"/>
              <w:left w:val="nil"/>
              <w:bottom w:val="single" w:sz="4" w:space="0" w:color="auto"/>
              <w:right w:val="single" w:sz="4" w:space="0" w:color="auto"/>
            </w:tcBorders>
            <w:vAlign w:val="center"/>
            <w:hideMark/>
          </w:tcPr>
          <w:p w14:paraId="5F54A6BF"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4D8DE01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56DB22CE"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2FD31F1D"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294</w:t>
            </w:r>
          </w:p>
        </w:tc>
        <w:tc>
          <w:tcPr>
            <w:tcW w:w="0" w:type="auto"/>
            <w:tcBorders>
              <w:top w:val="nil"/>
              <w:left w:val="nil"/>
              <w:bottom w:val="single" w:sz="4" w:space="0" w:color="auto"/>
              <w:right w:val="single" w:sz="4" w:space="0" w:color="auto"/>
            </w:tcBorders>
            <w:vAlign w:val="center"/>
            <w:hideMark/>
          </w:tcPr>
          <w:p w14:paraId="515D730D"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Leverage digital tools for real-time communication</w:t>
            </w:r>
          </w:p>
        </w:tc>
        <w:tc>
          <w:tcPr>
            <w:tcW w:w="2223" w:type="dxa"/>
            <w:tcBorders>
              <w:top w:val="nil"/>
              <w:left w:val="nil"/>
              <w:bottom w:val="single" w:sz="4" w:space="0" w:color="auto"/>
              <w:right w:val="single" w:sz="4" w:space="0" w:color="auto"/>
            </w:tcBorders>
            <w:vAlign w:val="center"/>
            <w:hideMark/>
          </w:tcPr>
          <w:p w14:paraId="0913998F"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Ferreira et al., 2023</w:t>
            </w:r>
          </w:p>
        </w:tc>
      </w:tr>
      <w:tr w:rsidR="00233AAC" w:rsidRPr="00233AAC" w14:paraId="5FE26B75"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4895D030"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8</w:t>
            </w:r>
          </w:p>
        </w:tc>
        <w:tc>
          <w:tcPr>
            <w:tcW w:w="2392" w:type="dxa"/>
            <w:tcBorders>
              <w:top w:val="nil"/>
              <w:left w:val="nil"/>
              <w:bottom w:val="single" w:sz="4" w:space="0" w:color="auto"/>
              <w:right w:val="single" w:sz="4" w:space="0" w:color="auto"/>
            </w:tcBorders>
            <w:vAlign w:val="center"/>
            <w:hideMark/>
          </w:tcPr>
          <w:p w14:paraId="3660ADA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Demand Variability</w:t>
            </w:r>
          </w:p>
        </w:tc>
        <w:tc>
          <w:tcPr>
            <w:tcW w:w="0" w:type="auto"/>
            <w:tcBorders>
              <w:top w:val="nil"/>
              <w:left w:val="nil"/>
              <w:bottom w:val="single" w:sz="4" w:space="0" w:color="auto"/>
              <w:right w:val="single" w:sz="4" w:space="0" w:color="auto"/>
            </w:tcBorders>
            <w:vAlign w:val="center"/>
            <w:hideMark/>
          </w:tcPr>
          <w:p w14:paraId="35F204C8"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Market fluctuations</w:t>
            </w:r>
          </w:p>
        </w:tc>
        <w:tc>
          <w:tcPr>
            <w:tcW w:w="0" w:type="auto"/>
            <w:tcBorders>
              <w:top w:val="nil"/>
              <w:left w:val="nil"/>
              <w:bottom w:val="single" w:sz="4" w:space="0" w:color="auto"/>
              <w:right w:val="single" w:sz="4" w:space="0" w:color="auto"/>
            </w:tcBorders>
            <w:vAlign w:val="center"/>
            <w:hideMark/>
          </w:tcPr>
          <w:p w14:paraId="20AE39D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Overproduction or stockouts</w:t>
            </w:r>
          </w:p>
        </w:tc>
        <w:tc>
          <w:tcPr>
            <w:tcW w:w="0" w:type="auto"/>
            <w:tcBorders>
              <w:top w:val="nil"/>
              <w:left w:val="nil"/>
              <w:bottom w:val="single" w:sz="4" w:space="0" w:color="auto"/>
              <w:right w:val="single" w:sz="4" w:space="0" w:color="auto"/>
            </w:tcBorders>
            <w:vAlign w:val="center"/>
            <w:hideMark/>
          </w:tcPr>
          <w:p w14:paraId="56ED7DA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6FFAC210"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01F3E1D1"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042AC81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192</w:t>
            </w:r>
          </w:p>
        </w:tc>
        <w:tc>
          <w:tcPr>
            <w:tcW w:w="0" w:type="auto"/>
            <w:tcBorders>
              <w:top w:val="nil"/>
              <w:left w:val="nil"/>
              <w:bottom w:val="single" w:sz="4" w:space="0" w:color="auto"/>
              <w:right w:val="single" w:sz="4" w:space="0" w:color="auto"/>
            </w:tcBorders>
            <w:vAlign w:val="center"/>
            <w:hideMark/>
          </w:tcPr>
          <w:p w14:paraId="784B3143"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Use advanced forecasting techniques</w:t>
            </w:r>
          </w:p>
        </w:tc>
        <w:tc>
          <w:tcPr>
            <w:tcW w:w="2223" w:type="dxa"/>
            <w:tcBorders>
              <w:top w:val="nil"/>
              <w:left w:val="nil"/>
              <w:bottom w:val="single" w:sz="4" w:space="0" w:color="auto"/>
              <w:right w:val="single" w:sz="4" w:space="0" w:color="auto"/>
            </w:tcBorders>
            <w:vAlign w:val="center"/>
            <w:hideMark/>
          </w:tcPr>
          <w:p w14:paraId="77ADC16D"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Andry et al., 2022</w:t>
            </w:r>
          </w:p>
        </w:tc>
      </w:tr>
      <w:tr w:rsidR="00233AAC" w:rsidRPr="00233AAC" w14:paraId="65E58C8B"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0C4140E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9</w:t>
            </w:r>
          </w:p>
        </w:tc>
        <w:tc>
          <w:tcPr>
            <w:tcW w:w="2392" w:type="dxa"/>
            <w:tcBorders>
              <w:top w:val="nil"/>
              <w:left w:val="nil"/>
              <w:bottom w:val="single" w:sz="4" w:space="0" w:color="auto"/>
              <w:right w:val="single" w:sz="4" w:space="0" w:color="auto"/>
            </w:tcBorders>
            <w:vAlign w:val="center"/>
            <w:hideMark/>
          </w:tcPr>
          <w:p w14:paraId="3E635F6B"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Regulatory Changes</w:t>
            </w:r>
          </w:p>
        </w:tc>
        <w:tc>
          <w:tcPr>
            <w:tcW w:w="0" w:type="auto"/>
            <w:tcBorders>
              <w:top w:val="nil"/>
              <w:left w:val="nil"/>
              <w:bottom w:val="single" w:sz="4" w:space="0" w:color="auto"/>
              <w:right w:val="single" w:sz="4" w:space="0" w:color="auto"/>
            </w:tcBorders>
            <w:vAlign w:val="center"/>
            <w:hideMark/>
          </w:tcPr>
          <w:p w14:paraId="055057A1"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New trade tariffs or compliance issues</w:t>
            </w:r>
          </w:p>
        </w:tc>
        <w:tc>
          <w:tcPr>
            <w:tcW w:w="0" w:type="auto"/>
            <w:tcBorders>
              <w:top w:val="nil"/>
              <w:left w:val="nil"/>
              <w:bottom w:val="single" w:sz="4" w:space="0" w:color="auto"/>
              <w:right w:val="single" w:sz="4" w:space="0" w:color="auto"/>
            </w:tcBorders>
            <w:vAlign w:val="center"/>
            <w:hideMark/>
          </w:tcPr>
          <w:p w14:paraId="763E6119"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Increased costs, legal challenges</w:t>
            </w:r>
          </w:p>
        </w:tc>
        <w:tc>
          <w:tcPr>
            <w:tcW w:w="0" w:type="auto"/>
            <w:tcBorders>
              <w:top w:val="nil"/>
              <w:left w:val="nil"/>
              <w:bottom w:val="single" w:sz="4" w:space="0" w:color="auto"/>
              <w:right w:val="single" w:sz="4" w:space="0" w:color="auto"/>
            </w:tcBorders>
            <w:vAlign w:val="center"/>
            <w:hideMark/>
          </w:tcPr>
          <w:p w14:paraId="5220035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312C821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138848C9"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6E5D0DF9"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140</w:t>
            </w:r>
          </w:p>
        </w:tc>
        <w:tc>
          <w:tcPr>
            <w:tcW w:w="0" w:type="auto"/>
            <w:tcBorders>
              <w:top w:val="nil"/>
              <w:left w:val="nil"/>
              <w:bottom w:val="single" w:sz="4" w:space="0" w:color="auto"/>
              <w:right w:val="single" w:sz="4" w:space="0" w:color="auto"/>
            </w:tcBorders>
            <w:vAlign w:val="center"/>
            <w:hideMark/>
          </w:tcPr>
          <w:p w14:paraId="02EE0A30"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Monitor regulatory landscapes closely</w:t>
            </w:r>
          </w:p>
        </w:tc>
        <w:tc>
          <w:tcPr>
            <w:tcW w:w="2223" w:type="dxa"/>
            <w:tcBorders>
              <w:top w:val="nil"/>
              <w:left w:val="nil"/>
              <w:bottom w:val="single" w:sz="4" w:space="0" w:color="auto"/>
              <w:right w:val="single" w:sz="4" w:space="0" w:color="auto"/>
            </w:tcBorders>
            <w:vAlign w:val="center"/>
            <w:hideMark/>
          </w:tcPr>
          <w:p w14:paraId="01098951"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proofErr w:type="spellStart"/>
            <w:r w:rsidRPr="00233AAC">
              <w:rPr>
                <w:rFonts w:ascii="Times New Roman" w:eastAsia="Times New Roman" w:hAnsi="Times New Roman" w:cs="Times New Roman"/>
                <w:b/>
                <w:bCs/>
                <w:color w:val="000000"/>
                <w:kern w:val="0"/>
                <w:sz w:val="20"/>
                <w:szCs w:val="20"/>
                <w:lang w:eastAsia="en-GB"/>
                <w14:ligatures w14:val="none"/>
              </w:rPr>
              <w:t>Arowosegbe</w:t>
            </w:r>
            <w:proofErr w:type="spellEnd"/>
            <w:r w:rsidRPr="00233AAC">
              <w:rPr>
                <w:rFonts w:ascii="Times New Roman" w:eastAsia="Times New Roman" w:hAnsi="Times New Roman" w:cs="Times New Roman"/>
                <w:b/>
                <w:bCs/>
                <w:color w:val="000000"/>
                <w:kern w:val="0"/>
                <w:sz w:val="20"/>
                <w:szCs w:val="20"/>
                <w:lang w:eastAsia="en-GB"/>
                <w14:ligatures w14:val="none"/>
              </w:rPr>
              <w:t xml:space="preserve"> et al., 24</w:t>
            </w:r>
          </w:p>
        </w:tc>
      </w:tr>
      <w:tr w:rsidR="00233AAC" w:rsidRPr="00233AAC" w14:paraId="10B8CEF2"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324D901A"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lastRenderedPageBreak/>
              <w:t>10</w:t>
            </w:r>
          </w:p>
        </w:tc>
        <w:tc>
          <w:tcPr>
            <w:tcW w:w="2392" w:type="dxa"/>
            <w:tcBorders>
              <w:top w:val="nil"/>
              <w:left w:val="nil"/>
              <w:bottom w:val="single" w:sz="4" w:space="0" w:color="auto"/>
              <w:right w:val="single" w:sz="4" w:space="0" w:color="auto"/>
            </w:tcBorders>
            <w:vAlign w:val="center"/>
            <w:hideMark/>
          </w:tcPr>
          <w:p w14:paraId="649DF37C"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Cybersecurity Threats</w:t>
            </w:r>
          </w:p>
        </w:tc>
        <w:tc>
          <w:tcPr>
            <w:tcW w:w="0" w:type="auto"/>
            <w:tcBorders>
              <w:top w:val="nil"/>
              <w:left w:val="nil"/>
              <w:bottom w:val="single" w:sz="4" w:space="0" w:color="auto"/>
              <w:right w:val="single" w:sz="4" w:space="0" w:color="auto"/>
            </w:tcBorders>
            <w:vAlign w:val="center"/>
            <w:hideMark/>
          </w:tcPr>
          <w:p w14:paraId="1A92C52D"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Data breaches and hacking attempts</w:t>
            </w:r>
          </w:p>
        </w:tc>
        <w:tc>
          <w:tcPr>
            <w:tcW w:w="0" w:type="auto"/>
            <w:tcBorders>
              <w:top w:val="nil"/>
              <w:left w:val="nil"/>
              <w:bottom w:val="single" w:sz="4" w:space="0" w:color="auto"/>
              <w:right w:val="single" w:sz="4" w:space="0" w:color="auto"/>
            </w:tcBorders>
            <w:vAlign w:val="center"/>
            <w:hideMark/>
          </w:tcPr>
          <w:p w14:paraId="0BA2FCC2"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Loss of sensitive data, operational disruptions</w:t>
            </w:r>
          </w:p>
        </w:tc>
        <w:tc>
          <w:tcPr>
            <w:tcW w:w="0" w:type="auto"/>
            <w:tcBorders>
              <w:top w:val="nil"/>
              <w:left w:val="nil"/>
              <w:bottom w:val="single" w:sz="4" w:space="0" w:color="auto"/>
              <w:right w:val="single" w:sz="4" w:space="0" w:color="auto"/>
            </w:tcBorders>
            <w:vAlign w:val="center"/>
            <w:hideMark/>
          </w:tcPr>
          <w:p w14:paraId="06C754CE"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9</w:t>
            </w:r>
          </w:p>
        </w:tc>
        <w:tc>
          <w:tcPr>
            <w:tcW w:w="0" w:type="auto"/>
            <w:tcBorders>
              <w:top w:val="nil"/>
              <w:left w:val="nil"/>
              <w:bottom w:val="single" w:sz="4" w:space="0" w:color="auto"/>
              <w:right w:val="single" w:sz="4" w:space="0" w:color="auto"/>
            </w:tcBorders>
            <w:vAlign w:val="center"/>
            <w:hideMark/>
          </w:tcPr>
          <w:p w14:paraId="280D0A6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3</w:t>
            </w:r>
          </w:p>
        </w:tc>
        <w:tc>
          <w:tcPr>
            <w:tcW w:w="0" w:type="auto"/>
            <w:tcBorders>
              <w:top w:val="nil"/>
              <w:left w:val="nil"/>
              <w:bottom w:val="single" w:sz="4" w:space="0" w:color="auto"/>
              <w:right w:val="single" w:sz="4" w:space="0" w:color="auto"/>
            </w:tcBorders>
            <w:vAlign w:val="center"/>
            <w:hideMark/>
          </w:tcPr>
          <w:p w14:paraId="1754C14D"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29885D1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135</w:t>
            </w:r>
          </w:p>
        </w:tc>
        <w:tc>
          <w:tcPr>
            <w:tcW w:w="0" w:type="auto"/>
            <w:tcBorders>
              <w:top w:val="nil"/>
              <w:left w:val="nil"/>
              <w:bottom w:val="single" w:sz="4" w:space="0" w:color="auto"/>
              <w:right w:val="single" w:sz="4" w:space="0" w:color="auto"/>
            </w:tcBorders>
            <w:vAlign w:val="center"/>
            <w:hideMark/>
          </w:tcPr>
          <w:p w14:paraId="6F675AEC"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Employ robust cybersecurity measures and training</w:t>
            </w:r>
          </w:p>
        </w:tc>
        <w:tc>
          <w:tcPr>
            <w:tcW w:w="2223" w:type="dxa"/>
            <w:tcBorders>
              <w:top w:val="nil"/>
              <w:left w:val="nil"/>
              <w:bottom w:val="single" w:sz="4" w:space="0" w:color="auto"/>
              <w:right w:val="single" w:sz="4" w:space="0" w:color="auto"/>
            </w:tcBorders>
            <w:vAlign w:val="center"/>
            <w:hideMark/>
          </w:tcPr>
          <w:p w14:paraId="6B17F25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Ramanathan et al., 2021</w:t>
            </w:r>
          </w:p>
        </w:tc>
      </w:tr>
      <w:tr w:rsidR="00233AAC" w:rsidRPr="00233AAC" w14:paraId="45ABDE62"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1CE7DD9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11</w:t>
            </w:r>
          </w:p>
        </w:tc>
        <w:tc>
          <w:tcPr>
            <w:tcW w:w="2392" w:type="dxa"/>
            <w:tcBorders>
              <w:top w:val="nil"/>
              <w:left w:val="nil"/>
              <w:bottom w:val="single" w:sz="4" w:space="0" w:color="auto"/>
              <w:right w:val="single" w:sz="4" w:space="0" w:color="auto"/>
            </w:tcBorders>
            <w:vAlign w:val="center"/>
            <w:hideMark/>
          </w:tcPr>
          <w:p w14:paraId="062C2B12"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Transportation Breakdown</w:t>
            </w:r>
          </w:p>
        </w:tc>
        <w:tc>
          <w:tcPr>
            <w:tcW w:w="0" w:type="auto"/>
            <w:tcBorders>
              <w:top w:val="nil"/>
              <w:left w:val="nil"/>
              <w:bottom w:val="single" w:sz="4" w:space="0" w:color="auto"/>
              <w:right w:val="single" w:sz="4" w:space="0" w:color="auto"/>
            </w:tcBorders>
            <w:vAlign w:val="center"/>
            <w:hideMark/>
          </w:tcPr>
          <w:p w14:paraId="677CFCC5"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Vehicle failure, accidents</w:t>
            </w:r>
          </w:p>
        </w:tc>
        <w:tc>
          <w:tcPr>
            <w:tcW w:w="0" w:type="auto"/>
            <w:tcBorders>
              <w:top w:val="nil"/>
              <w:left w:val="nil"/>
              <w:bottom w:val="single" w:sz="4" w:space="0" w:color="auto"/>
              <w:right w:val="single" w:sz="4" w:space="0" w:color="auto"/>
            </w:tcBorders>
            <w:vAlign w:val="center"/>
            <w:hideMark/>
          </w:tcPr>
          <w:p w14:paraId="40FA0A5A"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 xml:space="preserve">Distribution delays, increased costs </w:t>
            </w:r>
          </w:p>
        </w:tc>
        <w:tc>
          <w:tcPr>
            <w:tcW w:w="0" w:type="auto"/>
            <w:tcBorders>
              <w:top w:val="nil"/>
              <w:left w:val="nil"/>
              <w:bottom w:val="single" w:sz="4" w:space="0" w:color="auto"/>
              <w:right w:val="single" w:sz="4" w:space="0" w:color="auto"/>
            </w:tcBorders>
            <w:vAlign w:val="center"/>
            <w:hideMark/>
          </w:tcPr>
          <w:p w14:paraId="536BF10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6F0AFE5F"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13CD7860"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4C8FCA1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210</w:t>
            </w:r>
          </w:p>
        </w:tc>
        <w:tc>
          <w:tcPr>
            <w:tcW w:w="0" w:type="auto"/>
            <w:tcBorders>
              <w:top w:val="nil"/>
              <w:left w:val="nil"/>
              <w:bottom w:val="single" w:sz="4" w:space="0" w:color="auto"/>
              <w:right w:val="single" w:sz="4" w:space="0" w:color="auto"/>
            </w:tcBorders>
            <w:vAlign w:val="center"/>
            <w:hideMark/>
          </w:tcPr>
          <w:p w14:paraId="43481484"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Establish frequent vehicle maintenance schedules</w:t>
            </w:r>
          </w:p>
        </w:tc>
        <w:tc>
          <w:tcPr>
            <w:tcW w:w="2223" w:type="dxa"/>
            <w:tcBorders>
              <w:top w:val="nil"/>
              <w:left w:val="nil"/>
              <w:bottom w:val="single" w:sz="4" w:space="0" w:color="auto"/>
              <w:right w:val="single" w:sz="4" w:space="0" w:color="auto"/>
            </w:tcBorders>
            <w:vAlign w:val="center"/>
            <w:hideMark/>
          </w:tcPr>
          <w:p w14:paraId="3F47EF15"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Zheng et al., 2023</w:t>
            </w:r>
          </w:p>
        </w:tc>
      </w:tr>
      <w:tr w:rsidR="00233AAC" w:rsidRPr="00233AAC" w14:paraId="6D213857"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6D7F22B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12</w:t>
            </w:r>
          </w:p>
        </w:tc>
        <w:tc>
          <w:tcPr>
            <w:tcW w:w="2392" w:type="dxa"/>
            <w:tcBorders>
              <w:top w:val="nil"/>
              <w:left w:val="nil"/>
              <w:bottom w:val="single" w:sz="4" w:space="0" w:color="auto"/>
              <w:right w:val="single" w:sz="4" w:space="0" w:color="auto"/>
            </w:tcBorders>
            <w:vAlign w:val="center"/>
            <w:hideMark/>
          </w:tcPr>
          <w:p w14:paraId="416329B5"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Supplier Financial Instability</w:t>
            </w:r>
          </w:p>
        </w:tc>
        <w:tc>
          <w:tcPr>
            <w:tcW w:w="0" w:type="auto"/>
            <w:tcBorders>
              <w:top w:val="nil"/>
              <w:left w:val="nil"/>
              <w:bottom w:val="single" w:sz="4" w:space="0" w:color="auto"/>
              <w:right w:val="single" w:sz="4" w:space="0" w:color="auto"/>
            </w:tcBorders>
            <w:vAlign w:val="center"/>
            <w:hideMark/>
          </w:tcPr>
          <w:p w14:paraId="1443E830"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Economic downturn or mismanagement</w:t>
            </w:r>
          </w:p>
        </w:tc>
        <w:tc>
          <w:tcPr>
            <w:tcW w:w="0" w:type="auto"/>
            <w:tcBorders>
              <w:top w:val="nil"/>
              <w:left w:val="nil"/>
              <w:bottom w:val="single" w:sz="4" w:space="0" w:color="auto"/>
              <w:right w:val="single" w:sz="4" w:space="0" w:color="auto"/>
            </w:tcBorders>
            <w:vAlign w:val="center"/>
            <w:hideMark/>
          </w:tcPr>
          <w:p w14:paraId="0C2F2E57"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Supplier bankruptcy, disrupted supply</w:t>
            </w:r>
          </w:p>
        </w:tc>
        <w:tc>
          <w:tcPr>
            <w:tcW w:w="0" w:type="auto"/>
            <w:tcBorders>
              <w:top w:val="nil"/>
              <w:left w:val="nil"/>
              <w:bottom w:val="single" w:sz="4" w:space="0" w:color="auto"/>
              <w:right w:val="single" w:sz="4" w:space="0" w:color="auto"/>
            </w:tcBorders>
            <w:vAlign w:val="center"/>
            <w:hideMark/>
          </w:tcPr>
          <w:p w14:paraId="09117C3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7ED76E85"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29B7E00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0E1A1BD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128</w:t>
            </w:r>
          </w:p>
        </w:tc>
        <w:tc>
          <w:tcPr>
            <w:tcW w:w="0" w:type="auto"/>
            <w:tcBorders>
              <w:top w:val="nil"/>
              <w:left w:val="nil"/>
              <w:bottom w:val="single" w:sz="4" w:space="0" w:color="auto"/>
              <w:right w:val="single" w:sz="4" w:space="0" w:color="auto"/>
            </w:tcBorders>
            <w:vAlign w:val="center"/>
            <w:hideMark/>
          </w:tcPr>
          <w:p w14:paraId="1AAA38BC"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Financial auditing and assessment of supplier health</w:t>
            </w:r>
          </w:p>
        </w:tc>
        <w:tc>
          <w:tcPr>
            <w:tcW w:w="2223" w:type="dxa"/>
            <w:tcBorders>
              <w:top w:val="nil"/>
              <w:left w:val="nil"/>
              <w:bottom w:val="single" w:sz="4" w:space="0" w:color="auto"/>
              <w:right w:val="single" w:sz="4" w:space="0" w:color="auto"/>
            </w:tcBorders>
            <w:vAlign w:val="center"/>
            <w:hideMark/>
          </w:tcPr>
          <w:p w14:paraId="0F4F37ED"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Kwak et al., 2018</w:t>
            </w:r>
          </w:p>
        </w:tc>
      </w:tr>
      <w:tr w:rsidR="00233AAC" w:rsidRPr="00233AAC" w14:paraId="72AA1DA7"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2E7B591E"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13</w:t>
            </w:r>
          </w:p>
        </w:tc>
        <w:tc>
          <w:tcPr>
            <w:tcW w:w="2392" w:type="dxa"/>
            <w:tcBorders>
              <w:top w:val="nil"/>
              <w:left w:val="nil"/>
              <w:bottom w:val="single" w:sz="4" w:space="0" w:color="auto"/>
              <w:right w:val="single" w:sz="4" w:space="0" w:color="auto"/>
            </w:tcBorders>
            <w:vAlign w:val="center"/>
            <w:hideMark/>
          </w:tcPr>
          <w:p w14:paraId="4D16A2F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Technology Failures</w:t>
            </w:r>
          </w:p>
        </w:tc>
        <w:tc>
          <w:tcPr>
            <w:tcW w:w="0" w:type="auto"/>
            <w:tcBorders>
              <w:top w:val="nil"/>
              <w:left w:val="nil"/>
              <w:bottom w:val="single" w:sz="4" w:space="0" w:color="auto"/>
              <w:right w:val="single" w:sz="4" w:space="0" w:color="auto"/>
            </w:tcBorders>
            <w:vAlign w:val="center"/>
            <w:hideMark/>
          </w:tcPr>
          <w:p w14:paraId="78760FF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System outages or software bugs</w:t>
            </w:r>
          </w:p>
        </w:tc>
        <w:tc>
          <w:tcPr>
            <w:tcW w:w="0" w:type="auto"/>
            <w:tcBorders>
              <w:top w:val="nil"/>
              <w:left w:val="nil"/>
              <w:bottom w:val="single" w:sz="4" w:space="0" w:color="auto"/>
              <w:right w:val="single" w:sz="4" w:space="0" w:color="auto"/>
            </w:tcBorders>
            <w:vAlign w:val="center"/>
            <w:hideMark/>
          </w:tcPr>
          <w:p w14:paraId="644EEF03"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Disruptions in operations</w:t>
            </w:r>
          </w:p>
        </w:tc>
        <w:tc>
          <w:tcPr>
            <w:tcW w:w="0" w:type="auto"/>
            <w:tcBorders>
              <w:top w:val="nil"/>
              <w:left w:val="nil"/>
              <w:bottom w:val="single" w:sz="4" w:space="0" w:color="auto"/>
              <w:right w:val="single" w:sz="4" w:space="0" w:color="auto"/>
            </w:tcBorders>
            <w:vAlign w:val="center"/>
            <w:hideMark/>
          </w:tcPr>
          <w:p w14:paraId="43342B2B"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4368EBB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2B28605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4704C9A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240</w:t>
            </w:r>
          </w:p>
        </w:tc>
        <w:tc>
          <w:tcPr>
            <w:tcW w:w="0" w:type="auto"/>
            <w:tcBorders>
              <w:top w:val="nil"/>
              <w:left w:val="nil"/>
              <w:bottom w:val="single" w:sz="4" w:space="0" w:color="auto"/>
              <w:right w:val="single" w:sz="4" w:space="0" w:color="auto"/>
            </w:tcBorders>
            <w:vAlign w:val="center"/>
            <w:hideMark/>
          </w:tcPr>
          <w:p w14:paraId="1DB9535B"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Invest in reliable IT infrastructure and backup systems</w:t>
            </w:r>
          </w:p>
        </w:tc>
        <w:tc>
          <w:tcPr>
            <w:tcW w:w="2223" w:type="dxa"/>
            <w:tcBorders>
              <w:top w:val="nil"/>
              <w:left w:val="nil"/>
              <w:bottom w:val="single" w:sz="4" w:space="0" w:color="auto"/>
              <w:right w:val="single" w:sz="4" w:space="0" w:color="auto"/>
            </w:tcBorders>
            <w:vAlign w:val="center"/>
            <w:hideMark/>
          </w:tcPr>
          <w:p w14:paraId="69BF804E"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Zheng et al., 2023</w:t>
            </w:r>
          </w:p>
        </w:tc>
      </w:tr>
      <w:tr w:rsidR="00233AAC" w:rsidRPr="00233AAC" w14:paraId="314EB1E4"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0340906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14</w:t>
            </w:r>
          </w:p>
        </w:tc>
        <w:tc>
          <w:tcPr>
            <w:tcW w:w="2392" w:type="dxa"/>
            <w:tcBorders>
              <w:top w:val="nil"/>
              <w:left w:val="nil"/>
              <w:bottom w:val="single" w:sz="4" w:space="0" w:color="auto"/>
              <w:right w:val="single" w:sz="4" w:space="0" w:color="auto"/>
            </w:tcBorders>
            <w:vAlign w:val="center"/>
            <w:hideMark/>
          </w:tcPr>
          <w:p w14:paraId="5EF04EED"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Inventory Management Issues</w:t>
            </w:r>
          </w:p>
        </w:tc>
        <w:tc>
          <w:tcPr>
            <w:tcW w:w="0" w:type="auto"/>
            <w:tcBorders>
              <w:top w:val="nil"/>
              <w:left w:val="nil"/>
              <w:bottom w:val="single" w:sz="4" w:space="0" w:color="auto"/>
              <w:right w:val="single" w:sz="4" w:space="0" w:color="auto"/>
            </w:tcBorders>
            <w:vAlign w:val="center"/>
            <w:hideMark/>
          </w:tcPr>
          <w:p w14:paraId="4410CAF1"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Poor stock tracking systems</w:t>
            </w:r>
          </w:p>
        </w:tc>
        <w:tc>
          <w:tcPr>
            <w:tcW w:w="0" w:type="auto"/>
            <w:tcBorders>
              <w:top w:val="nil"/>
              <w:left w:val="nil"/>
              <w:bottom w:val="single" w:sz="4" w:space="0" w:color="auto"/>
              <w:right w:val="single" w:sz="4" w:space="0" w:color="auto"/>
            </w:tcBorders>
            <w:vAlign w:val="center"/>
            <w:hideMark/>
          </w:tcPr>
          <w:p w14:paraId="53465F29"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Inventory inaccuracies, lost sales opportunity</w:t>
            </w:r>
          </w:p>
        </w:tc>
        <w:tc>
          <w:tcPr>
            <w:tcW w:w="0" w:type="auto"/>
            <w:tcBorders>
              <w:top w:val="nil"/>
              <w:left w:val="nil"/>
              <w:bottom w:val="single" w:sz="4" w:space="0" w:color="auto"/>
              <w:right w:val="single" w:sz="4" w:space="0" w:color="auto"/>
            </w:tcBorders>
            <w:vAlign w:val="center"/>
            <w:hideMark/>
          </w:tcPr>
          <w:p w14:paraId="4DBD790B"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78D969F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47C33A2B"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279B4CD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280</w:t>
            </w:r>
          </w:p>
        </w:tc>
        <w:tc>
          <w:tcPr>
            <w:tcW w:w="0" w:type="auto"/>
            <w:tcBorders>
              <w:top w:val="nil"/>
              <w:left w:val="nil"/>
              <w:bottom w:val="single" w:sz="4" w:space="0" w:color="auto"/>
              <w:right w:val="single" w:sz="4" w:space="0" w:color="auto"/>
            </w:tcBorders>
            <w:vAlign w:val="center"/>
            <w:hideMark/>
          </w:tcPr>
          <w:p w14:paraId="0BDF2641"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Implement integrated inventory management systems</w:t>
            </w:r>
          </w:p>
        </w:tc>
        <w:tc>
          <w:tcPr>
            <w:tcW w:w="2223" w:type="dxa"/>
            <w:tcBorders>
              <w:top w:val="nil"/>
              <w:left w:val="nil"/>
              <w:bottom w:val="single" w:sz="4" w:space="0" w:color="auto"/>
              <w:right w:val="single" w:sz="4" w:space="0" w:color="auto"/>
            </w:tcBorders>
            <w:vAlign w:val="center"/>
            <w:hideMark/>
          </w:tcPr>
          <w:p w14:paraId="0ACB38C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Ali et al., 2024</w:t>
            </w:r>
          </w:p>
        </w:tc>
      </w:tr>
      <w:tr w:rsidR="00233AAC" w:rsidRPr="00233AAC" w14:paraId="0D161BCC"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330B521E"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15</w:t>
            </w:r>
          </w:p>
        </w:tc>
        <w:tc>
          <w:tcPr>
            <w:tcW w:w="2392" w:type="dxa"/>
            <w:tcBorders>
              <w:top w:val="nil"/>
              <w:left w:val="nil"/>
              <w:bottom w:val="single" w:sz="4" w:space="0" w:color="auto"/>
              <w:right w:val="single" w:sz="4" w:space="0" w:color="auto"/>
            </w:tcBorders>
            <w:vAlign w:val="center"/>
            <w:hideMark/>
          </w:tcPr>
          <w:p w14:paraId="545A1E0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Cultural Misunderstanding</w:t>
            </w:r>
          </w:p>
        </w:tc>
        <w:tc>
          <w:tcPr>
            <w:tcW w:w="0" w:type="auto"/>
            <w:tcBorders>
              <w:top w:val="nil"/>
              <w:left w:val="nil"/>
              <w:bottom w:val="single" w:sz="4" w:space="0" w:color="auto"/>
              <w:right w:val="single" w:sz="4" w:space="0" w:color="auto"/>
            </w:tcBorders>
            <w:vAlign w:val="center"/>
            <w:hideMark/>
          </w:tcPr>
          <w:p w14:paraId="203E667B"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Diverse supplier bases</w:t>
            </w:r>
          </w:p>
        </w:tc>
        <w:tc>
          <w:tcPr>
            <w:tcW w:w="0" w:type="auto"/>
            <w:tcBorders>
              <w:top w:val="nil"/>
              <w:left w:val="nil"/>
              <w:bottom w:val="single" w:sz="4" w:space="0" w:color="auto"/>
              <w:right w:val="single" w:sz="4" w:space="0" w:color="auto"/>
            </w:tcBorders>
            <w:vAlign w:val="center"/>
            <w:hideMark/>
          </w:tcPr>
          <w:p w14:paraId="14EE4D29"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Failed negotiations, delays in agreement</w:t>
            </w:r>
          </w:p>
        </w:tc>
        <w:tc>
          <w:tcPr>
            <w:tcW w:w="0" w:type="auto"/>
            <w:tcBorders>
              <w:top w:val="nil"/>
              <w:left w:val="nil"/>
              <w:bottom w:val="single" w:sz="4" w:space="0" w:color="auto"/>
              <w:right w:val="single" w:sz="4" w:space="0" w:color="auto"/>
            </w:tcBorders>
            <w:vAlign w:val="center"/>
            <w:hideMark/>
          </w:tcPr>
          <w:p w14:paraId="1512D485"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0E6FB5C1"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6E9C72DE"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2</w:t>
            </w:r>
          </w:p>
        </w:tc>
        <w:tc>
          <w:tcPr>
            <w:tcW w:w="0" w:type="auto"/>
            <w:tcBorders>
              <w:top w:val="nil"/>
              <w:left w:val="nil"/>
              <w:bottom w:val="single" w:sz="4" w:space="0" w:color="auto"/>
              <w:right w:val="single" w:sz="4" w:space="0" w:color="auto"/>
            </w:tcBorders>
            <w:vAlign w:val="center"/>
            <w:hideMark/>
          </w:tcPr>
          <w:p w14:paraId="02EFB2F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60</w:t>
            </w:r>
          </w:p>
        </w:tc>
        <w:tc>
          <w:tcPr>
            <w:tcW w:w="0" w:type="auto"/>
            <w:tcBorders>
              <w:top w:val="nil"/>
              <w:left w:val="nil"/>
              <w:bottom w:val="single" w:sz="4" w:space="0" w:color="auto"/>
              <w:right w:val="single" w:sz="4" w:space="0" w:color="auto"/>
            </w:tcBorders>
            <w:vAlign w:val="center"/>
            <w:hideMark/>
          </w:tcPr>
          <w:p w14:paraId="40B1CBE8"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Foster cultural competency training for supply chain teams</w:t>
            </w:r>
          </w:p>
        </w:tc>
        <w:tc>
          <w:tcPr>
            <w:tcW w:w="2223" w:type="dxa"/>
            <w:tcBorders>
              <w:top w:val="nil"/>
              <w:left w:val="nil"/>
              <w:bottom w:val="single" w:sz="4" w:space="0" w:color="auto"/>
              <w:right w:val="single" w:sz="4" w:space="0" w:color="auto"/>
            </w:tcBorders>
            <w:vAlign w:val="center"/>
            <w:hideMark/>
          </w:tcPr>
          <w:p w14:paraId="7FE847C4"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Ferreira et al., 2023</w:t>
            </w:r>
          </w:p>
        </w:tc>
      </w:tr>
      <w:tr w:rsidR="00233AAC" w:rsidRPr="00233AAC" w14:paraId="0C652851"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243522AC"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16</w:t>
            </w:r>
          </w:p>
        </w:tc>
        <w:tc>
          <w:tcPr>
            <w:tcW w:w="2392" w:type="dxa"/>
            <w:tcBorders>
              <w:top w:val="nil"/>
              <w:left w:val="nil"/>
              <w:bottom w:val="single" w:sz="4" w:space="0" w:color="auto"/>
              <w:right w:val="single" w:sz="4" w:space="0" w:color="auto"/>
            </w:tcBorders>
            <w:vAlign w:val="center"/>
            <w:hideMark/>
          </w:tcPr>
          <w:p w14:paraId="257FF7DA"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Currency Fluctuation</w:t>
            </w:r>
          </w:p>
        </w:tc>
        <w:tc>
          <w:tcPr>
            <w:tcW w:w="0" w:type="auto"/>
            <w:tcBorders>
              <w:top w:val="nil"/>
              <w:left w:val="nil"/>
              <w:bottom w:val="single" w:sz="4" w:space="0" w:color="auto"/>
              <w:right w:val="single" w:sz="4" w:space="0" w:color="auto"/>
            </w:tcBorders>
            <w:vAlign w:val="center"/>
            <w:hideMark/>
          </w:tcPr>
          <w:p w14:paraId="39543818"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USD/CNY/GBP changes</w:t>
            </w:r>
          </w:p>
        </w:tc>
        <w:tc>
          <w:tcPr>
            <w:tcW w:w="0" w:type="auto"/>
            <w:tcBorders>
              <w:top w:val="nil"/>
              <w:left w:val="nil"/>
              <w:bottom w:val="single" w:sz="4" w:space="0" w:color="auto"/>
              <w:right w:val="single" w:sz="4" w:space="0" w:color="auto"/>
            </w:tcBorders>
            <w:vAlign w:val="center"/>
            <w:hideMark/>
          </w:tcPr>
          <w:p w14:paraId="6EF8B8A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Increased cost of production</w:t>
            </w:r>
          </w:p>
        </w:tc>
        <w:tc>
          <w:tcPr>
            <w:tcW w:w="0" w:type="auto"/>
            <w:tcBorders>
              <w:top w:val="nil"/>
              <w:left w:val="nil"/>
              <w:bottom w:val="single" w:sz="4" w:space="0" w:color="auto"/>
              <w:right w:val="single" w:sz="4" w:space="0" w:color="auto"/>
            </w:tcBorders>
            <w:vAlign w:val="center"/>
            <w:hideMark/>
          </w:tcPr>
          <w:p w14:paraId="56D0A087"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1CAB4E5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6</w:t>
            </w:r>
          </w:p>
        </w:tc>
        <w:tc>
          <w:tcPr>
            <w:tcW w:w="0" w:type="auto"/>
            <w:tcBorders>
              <w:top w:val="nil"/>
              <w:left w:val="nil"/>
              <w:bottom w:val="single" w:sz="4" w:space="0" w:color="auto"/>
              <w:right w:val="single" w:sz="4" w:space="0" w:color="auto"/>
            </w:tcBorders>
            <w:vAlign w:val="center"/>
            <w:hideMark/>
          </w:tcPr>
          <w:p w14:paraId="72E9E7CD"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126E8F2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180</w:t>
            </w:r>
          </w:p>
        </w:tc>
        <w:tc>
          <w:tcPr>
            <w:tcW w:w="0" w:type="auto"/>
            <w:tcBorders>
              <w:top w:val="nil"/>
              <w:left w:val="nil"/>
              <w:bottom w:val="single" w:sz="4" w:space="0" w:color="auto"/>
              <w:right w:val="single" w:sz="4" w:space="0" w:color="auto"/>
            </w:tcBorders>
            <w:vAlign w:val="center"/>
            <w:hideMark/>
          </w:tcPr>
          <w:p w14:paraId="36765908"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Hedging strategies, long-term contracts</w:t>
            </w:r>
          </w:p>
        </w:tc>
        <w:tc>
          <w:tcPr>
            <w:tcW w:w="2223" w:type="dxa"/>
            <w:tcBorders>
              <w:top w:val="nil"/>
              <w:left w:val="nil"/>
              <w:bottom w:val="single" w:sz="4" w:space="0" w:color="auto"/>
              <w:right w:val="single" w:sz="4" w:space="0" w:color="auto"/>
            </w:tcBorders>
            <w:vAlign w:val="center"/>
            <w:hideMark/>
          </w:tcPr>
          <w:p w14:paraId="7542528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Li et al., 2021</w:t>
            </w:r>
          </w:p>
        </w:tc>
      </w:tr>
      <w:tr w:rsidR="00233AAC" w:rsidRPr="00233AAC" w14:paraId="0F01D677"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1FC8571C"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17</w:t>
            </w:r>
          </w:p>
        </w:tc>
        <w:tc>
          <w:tcPr>
            <w:tcW w:w="2392" w:type="dxa"/>
            <w:tcBorders>
              <w:top w:val="nil"/>
              <w:left w:val="nil"/>
              <w:bottom w:val="single" w:sz="4" w:space="0" w:color="auto"/>
              <w:right w:val="single" w:sz="4" w:space="0" w:color="auto"/>
            </w:tcBorders>
            <w:vAlign w:val="center"/>
            <w:hideMark/>
          </w:tcPr>
          <w:p w14:paraId="63C2A30A"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Environmental Social Pressures</w:t>
            </w:r>
          </w:p>
        </w:tc>
        <w:tc>
          <w:tcPr>
            <w:tcW w:w="0" w:type="auto"/>
            <w:tcBorders>
              <w:top w:val="nil"/>
              <w:left w:val="nil"/>
              <w:bottom w:val="single" w:sz="4" w:space="0" w:color="auto"/>
              <w:right w:val="single" w:sz="4" w:space="0" w:color="auto"/>
            </w:tcBorders>
            <w:vAlign w:val="center"/>
            <w:hideMark/>
          </w:tcPr>
          <w:p w14:paraId="3CF5969E"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Sustainability requirements</w:t>
            </w:r>
          </w:p>
        </w:tc>
        <w:tc>
          <w:tcPr>
            <w:tcW w:w="0" w:type="auto"/>
            <w:tcBorders>
              <w:top w:val="nil"/>
              <w:left w:val="nil"/>
              <w:bottom w:val="single" w:sz="4" w:space="0" w:color="auto"/>
              <w:right w:val="single" w:sz="4" w:space="0" w:color="auto"/>
            </w:tcBorders>
            <w:vAlign w:val="center"/>
            <w:hideMark/>
          </w:tcPr>
          <w:p w14:paraId="349FF906"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Supplier disruption if not compliant</w:t>
            </w:r>
          </w:p>
        </w:tc>
        <w:tc>
          <w:tcPr>
            <w:tcW w:w="0" w:type="auto"/>
            <w:tcBorders>
              <w:top w:val="nil"/>
              <w:left w:val="nil"/>
              <w:bottom w:val="single" w:sz="4" w:space="0" w:color="auto"/>
              <w:right w:val="single" w:sz="4" w:space="0" w:color="auto"/>
            </w:tcBorders>
            <w:vAlign w:val="center"/>
            <w:hideMark/>
          </w:tcPr>
          <w:p w14:paraId="78213BE9"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7</w:t>
            </w:r>
          </w:p>
        </w:tc>
        <w:tc>
          <w:tcPr>
            <w:tcW w:w="0" w:type="auto"/>
            <w:tcBorders>
              <w:top w:val="nil"/>
              <w:left w:val="nil"/>
              <w:bottom w:val="single" w:sz="4" w:space="0" w:color="auto"/>
              <w:right w:val="single" w:sz="4" w:space="0" w:color="auto"/>
            </w:tcBorders>
            <w:vAlign w:val="center"/>
            <w:hideMark/>
          </w:tcPr>
          <w:p w14:paraId="2E044697"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7514ECE3"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3ED0BF1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140</w:t>
            </w:r>
          </w:p>
        </w:tc>
        <w:tc>
          <w:tcPr>
            <w:tcW w:w="0" w:type="auto"/>
            <w:tcBorders>
              <w:top w:val="nil"/>
              <w:left w:val="nil"/>
              <w:bottom w:val="single" w:sz="4" w:space="0" w:color="auto"/>
              <w:right w:val="single" w:sz="4" w:space="0" w:color="auto"/>
            </w:tcBorders>
            <w:vAlign w:val="center"/>
            <w:hideMark/>
          </w:tcPr>
          <w:p w14:paraId="693FD4A8"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Supplier sustainability audits, green logistics</w:t>
            </w:r>
          </w:p>
        </w:tc>
        <w:tc>
          <w:tcPr>
            <w:tcW w:w="2223" w:type="dxa"/>
            <w:tcBorders>
              <w:top w:val="nil"/>
              <w:left w:val="nil"/>
              <w:bottom w:val="single" w:sz="4" w:space="0" w:color="auto"/>
              <w:right w:val="single" w:sz="4" w:space="0" w:color="auto"/>
            </w:tcBorders>
            <w:vAlign w:val="center"/>
            <w:hideMark/>
          </w:tcPr>
          <w:p w14:paraId="50CE222C"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Apple, 2023</w:t>
            </w:r>
          </w:p>
        </w:tc>
      </w:tr>
      <w:tr w:rsidR="00233AAC" w:rsidRPr="00233AAC" w14:paraId="6C03C6CA"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548D5CF5"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18</w:t>
            </w:r>
          </w:p>
        </w:tc>
        <w:tc>
          <w:tcPr>
            <w:tcW w:w="2392" w:type="dxa"/>
            <w:tcBorders>
              <w:top w:val="nil"/>
              <w:left w:val="nil"/>
              <w:bottom w:val="single" w:sz="4" w:space="0" w:color="auto"/>
              <w:right w:val="single" w:sz="4" w:space="0" w:color="auto"/>
            </w:tcBorders>
            <w:vAlign w:val="center"/>
            <w:hideMark/>
          </w:tcPr>
          <w:p w14:paraId="4E34190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Pandemic Outbreak</w:t>
            </w:r>
          </w:p>
        </w:tc>
        <w:tc>
          <w:tcPr>
            <w:tcW w:w="0" w:type="auto"/>
            <w:tcBorders>
              <w:top w:val="nil"/>
              <w:left w:val="nil"/>
              <w:bottom w:val="single" w:sz="4" w:space="0" w:color="auto"/>
              <w:right w:val="single" w:sz="4" w:space="0" w:color="auto"/>
            </w:tcBorders>
            <w:vAlign w:val="center"/>
            <w:hideMark/>
          </w:tcPr>
          <w:p w14:paraId="3FB08B8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COVID-19 type scenario</w:t>
            </w:r>
          </w:p>
        </w:tc>
        <w:tc>
          <w:tcPr>
            <w:tcW w:w="0" w:type="auto"/>
            <w:tcBorders>
              <w:top w:val="nil"/>
              <w:left w:val="nil"/>
              <w:bottom w:val="single" w:sz="4" w:space="0" w:color="auto"/>
              <w:right w:val="single" w:sz="4" w:space="0" w:color="auto"/>
            </w:tcBorders>
            <w:vAlign w:val="center"/>
            <w:hideMark/>
          </w:tcPr>
          <w:p w14:paraId="72E5115B"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Lockdowns, factory shutdowns</w:t>
            </w:r>
          </w:p>
        </w:tc>
        <w:tc>
          <w:tcPr>
            <w:tcW w:w="0" w:type="auto"/>
            <w:tcBorders>
              <w:top w:val="nil"/>
              <w:left w:val="nil"/>
              <w:bottom w:val="single" w:sz="4" w:space="0" w:color="auto"/>
              <w:right w:val="single" w:sz="4" w:space="0" w:color="auto"/>
            </w:tcBorders>
            <w:vAlign w:val="center"/>
            <w:hideMark/>
          </w:tcPr>
          <w:p w14:paraId="58D7B80F"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66BCF5C8"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7A2DEDCB"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3</w:t>
            </w:r>
          </w:p>
        </w:tc>
        <w:tc>
          <w:tcPr>
            <w:tcW w:w="0" w:type="auto"/>
            <w:tcBorders>
              <w:top w:val="nil"/>
              <w:left w:val="nil"/>
              <w:bottom w:val="single" w:sz="4" w:space="0" w:color="auto"/>
              <w:right w:val="single" w:sz="4" w:space="0" w:color="auto"/>
            </w:tcBorders>
            <w:vAlign w:val="center"/>
            <w:hideMark/>
          </w:tcPr>
          <w:p w14:paraId="4F08736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96</w:t>
            </w:r>
          </w:p>
        </w:tc>
        <w:tc>
          <w:tcPr>
            <w:tcW w:w="0" w:type="auto"/>
            <w:tcBorders>
              <w:top w:val="nil"/>
              <w:left w:val="nil"/>
              <w:bottom w:val="single" w:sz="4" w:space="0" w:color="auto"/>
              <w:right w:val="single" w:sz="4" w:space="0" w:color="auto"/>
            </w:tcBorders>
            <w:vAlign w:val="center"/>
            <w:hideMark/>
          </w:tcPr>
          <w:p w14:paraId="12408E4A"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Remote monitoring, diversified production</w:t>
            </w:r>
          </w:p>
        </w:tc>
        <w:tc>
          <w:tcPr>
            <w:tcW w:w="2223" w:type="dxa"/>
            <w:tcBorders>
              <w:top w:val="nil"/>
              <w:left w:val="nil"/>
              <w:bottom w:val="single" w:sz="4" w:space="0" w:color="auto"/>
              <w:right w:val="single" w:sz="4" w:space="0" w:color="auto"/>
            </w:tcBorders>
            <w:vAlign w:val="center"/>
            <w:hideMark/>
          </w:tcPr>
          <w:p w14:paraId="519F6C1F"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Christopher, 2016</w:t>
            </w:r>
          </w:p>
        </w:tc>
      </w:tr>
      <w:tr w:rsidR="00233AAC" w:rsidRPr="00233AAC" w14:paraId="07406676" w14:textId="77777777" w:rsidTr="00233AAC">
        <w:trPr>
          <w:trHeight w:val="290"/>
        </w:trPr>
        <w:tc>
          <w:tcPr>
            <w:tcW w:w="568" w:type="dxa"/>
            <w:tcBorders>
              <w:top w:val="nil"/>
              <w:left w:val="single" w:sz="4" w:space="0" w:color="auto"/>
              <w:bottom w:val="single" w:sz="4" w:space="0" w:color="auto"/>
              <w:right w:val="single" w:sz="4" w:space="0" w:color="auto"/>
            </w:tcBorders>
            <w:vAlign w:val="center"/>
            <w:hideMark/>
          </w:tcPr>
          <w:p w14:paraId="630C54F6" w14:textId="2605EA03" w:rsidR="00233AAC" w:rsidRPr="00233AAC" w:rsidRDefault="00753388"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Pr>
                <w:rFonts w:ascii="Times New Roman" w:eastAsia="Times New Roman" w:hAnsi="Times New Roman" w:cs="Times New Roman"/>
                <w:color w:val="000000"/>
                <w:kern w:val="0"/>
                <w:sz w:val="20"/>
                <w:szCs w:val="20"/>
                <w:lang w:eastAsia="en-GB"/>
                <w14:ligatures w14:val="none"/>
              </w:rPr>
              <w:t>19</w:t>
            </w:r>
          </w:p>
        </w:tc>
        <w:tc>
          <w:tcPr>
            <w:tcW w:w="2392" w:type="dxa"/>
            <w:tcBorders>
              <w:top w:val="nil"/>
              <w:left w:val="nil"/>
              <w:bottom w:val="single" w:sz="4" w:space="0" w:color="auto"/>
              <w:right w:val="single" w:sz="4" w:space="0" w:color="auto"/>
            </w:tcBorders>
            <w:vAlign w:val="center"/>
            <w:hideMark/>
          </w:tcPr>
          <w:p w14:paraId="6B243C41"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Transportation Damage</w:t>
            </w:r>
          </w:p>
        </w:tc>
        <w:tc>
          <w:tcPr>
            <w:tcW w:w="0" w:type="auto"/>
            <w:tcBorders>
              <w:top w:val="nil"/>
              <w:left w:val="nil"/>
              <w:bottom w:val="single" w:sz="4" w:space="0" w:color="auto"/>
              <w:right w:val="single" w:sz="4" w:space="0" w:color="auto"/>
            </w:tcBorders>
            <w:vAlign w:val="center"/>
            <w:hideMark/>
          </w:tcPr>
          <w:p w14:paraId="6828701D"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Goods damaged in transit</w:t>
            </w:r>
          </w:p>
        </w:tc>
        <w:tc>
          <w:tcPr>
            <w:tcW w:w="0" w:type="auto"/>
            <w:tcBorders>
              <w:top w:val="nil"/>
              <w:left w:val="nil"/>
              <w:bottom w:val="single" w:sz="4" w:space="0" w:color="auto"/>
              <w:right w:val="single" w:sz="4" w:space="0" w:color="auto"/>
            </w:tcBorders>
            <w:vAlign w:val="center"/>
            <w:hideMark/>
          </w:tcPr>
          <w:p w14:paraId="7261F4F4" w14:textId="77777777" w:rsidR="00233AAC" w:rsidRPr="00233AAC" w:rsidRDefault="00233AAC" w:rsidP="00233AA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Product loss, returns</w:t>
            </w:r>
          </w:p>
        </w:tc>
        <w:tc>
          <w:tcPr>
            <w:tcW w:w="0" w:type="auto"/>
            <w:tcBorders>
              <w:top w:val="nil"/>
              <w:left w:val="nil"/>
              <w:bottom w:val="single" w:sz="4" w:space="0" w:color="auto"/>
              <w:right w:val="single" w:sz="4" w:space="0" w:color="auto"/>
            </w:tcBorders>
            <w:vAlign w:val="center"/>
            <w:hideMark/>
          </w:tcPr>
          <w:p w14:paraId="32FF2E7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8</w:t>
            </w:r>
          </w:p>
        </w:tc>
        <w:tc>
          <w:tcPr>
            <w:tcW w:w="0" w:type="auto"/>
            <w:tcBorders>
              <w:top w:val="nil"/>
              <w:left w:val="nil"/>
              <w:bottom w:val="single" w:sz="4" w:space="0" w:color="auto"/>
              <w:right w:val="single" w:sz="4" w:space="0" w:color="auto"/>
            </w:tcBorders>
            <w:vAlign w:val="center"/>
            <w:hideMark/>
          </w:tcPr>
          <w:p w14:paraId="02A6BF4A"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5</w:t>
            </w:r>
          </w:p>
        </w:tc>
        <w:tc>
          <w:tcPr>
            <w:tcW w:w="0" w:type="auto"/>
            <w:tcBorders>
              <w:top w:val="nil"/>
              <w:left w:val="nil"/>
              <w:bottom w:val="single" w:sz="4" w:space="0" w:color="auto"/>
              <w:right w:val="single" w:sz="4" w:space="0" w:color="auto"/>
            </w:tcBorders>
            <w:vAlign w:val="center"/>
            <w:hideMark/>
          </w:tcPr>
          <w:p w14:paraId="52051980"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4</w:t>
            </w:r>
          </w:p>
        </w:tc>
        <w:tc>
          <w:tcPr>
            <w:tcW w:w="0" w:type="auto"/>
            <w:tcBorders>
              <w:top w:val="nil"/>
              <w:left w:val="nil"/>
              <w:bottom w:val="single" w:sz="4" w:space="0" w:color="auto"/>
              <w:right w:val="single" w:sz="4" w:space="0" w:color="auto"/>
            </w:tcBorders>
            <w:vAlign w:val="center"/>
            <w:hideMark/>
          </w:tcPr>
          <w:p w14:paraId="28B0365F"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160</w:t>
            </w:r>
          </w:p>
        </w:tc>
        <w:tc>
          <w:tcPr>
            <w:tcW w:w="0" w:type="auto"/>
            <w:tcBorders>
              <w:top w:val="nil"/>
              <w:left w:val="nil"/>
              <w:bottom w:val="single" w:sz="4" w:space="0" w:color="auto"/>
              <w:right w:val="single" w:sz="4" w:space="0" w:color="auto"/>
            </w:tcBorders>
            <w:vAlign w:val="center"/>
            <w:hideMark/>
          </w:tcPr>
          <w:p w14:paraId="0B229017" w14:textId="77777777" w:rsidR="00233AAC" w:rsidRPr="00233AAC" w:rsidRDefault="00233AAC" w:rsidP="00233AAC">
            <w:pPr>
              <w:spacing w:after="0" w:line="240" w:lineRule="auto"/>
              <w:rPr>
                <w:rFonts w:ascii="Times New Roman" w:eastAsia="Times New Roman" w:hAnsi="Times New Roman" w:cs="Times New Roman"/>
                <w:color w:val="000000"/>
                <w:kern w:val="0"/>
                <w:sz w:val="20"/>
                <w:szCs w:val="20"/>
                <w:lang w:eastAsia="en-GB"/>
                <w14:ligatures w14:val="none"/>
              </w:rPr>
            </w:pPr>
            <w:r w:rsidRPr="00233AAC">
              <w:rPr>
                <w:rFonts w:ascii="Times New Roman" w:eastAsia="Times New Roman" w:hAnsi="Times New Roman" w:cs="Times New Roman"/>
                <w:color w:val="000000"/>
                <w:kern w:val="0"/>
                <w:sz w:val="20"/>
                <w:szCs w:val="20"/>
                <w:lang w:eastAsia="en-GB"/>
                <w14:ligatures w14:val="none"/>
              </w:rPr>
              <w:t>Packaging improvements, insurance</w:t>
            </w:r>
          </w:p>
        </w:tc>
        <w:tc>
          <w:tcPr>
            <w:tcW w:w="2223" w:type="dxa"/>
            <w:tcBorders>
              <w:top w:val="nil"/>
              <w:left w:val="nil"/>
              <w:bottom w:val="single" w:sz="4" w:space="0" w:color="auto"/>
              <w:right w:val="single" w:sz="4" w:space="0" w:color="auto"/>
            </w:tcBorders>
            <w:vAlign w:val="center"/>
            <w:hideMark/>
          </w:tcPr>
          <w:p w14:paraId="47FE70F6" w14:textId="77777777" w:rsidR="00233AAC" w:rsidRPr="00233AAC" w:rsidRDefault="00233AAC" w:rsidP="00233AAC">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233AAC">
              <w:rPr>
                <w:rFonts w:ascii="Times New Roman" w:eastAsia="Times New Roman" w:hAnsi="Times New Roman" w:cs="Times New Roman"/>
                <w:b/>
                <w:bCs/>
                <w:color w:val="000000"/>
                <w:kern w:val="0"/>
                <w:sz w:val="20"/>
                <w:szCs w:val="20"/>
                <w:lang w:eastAsia="en-GB"/>
                <w14:ligatures w14:val="none"/>
              </w:rPr>
              <w:t>Li et al., 2021</w:t>
            </w:r>
          </w:p>
        </w:tc>
      </w:tr>
    </w:tbl>
    <w:p w14:paraId="7AE8DBBB" w14:textId="77777777" w:rsidR="00D23378" w:rsidRDefault="00D23378" w:rsidP="006C233A">
      <w:pPr>
        <w:spacing w:after="0" w:line="240" w:lineRule="auto"/>
        <w:jc w:val="both"/>
        <w:rPr>
          <w:rFonts w:ascii="Times New Roman" w:hAnsi="Times New Roman" w:cs="Times New Roman"/>
        </w:rPr>
      </w:pPr>
    </w:p>
    <w:p w14:paraId="2A75B9DB" w14:textId="154C305F" w:rsidR="00D57E84" w:rsidRPr="00D57E84" w:rsidRDefault="00D57E84" w:rsidP="00D57E84">
      <w:pPr>
        <w:spacing w:after="0" w:line="240" w:lineRule="auto"/>
        <w:jc w:val="center"/>
        <w:rPr>
          <w:rFonts w:ascii="Times New Roman" w:hAnsi="Times New Roman" w:cs="Times New Roman"/>
          <w:b/>
          <w:bCs/>
        </w:rPr>
      </w:pPr>
      <w:r w:rsidRPr="00D57E84">
        <w:rPr>
          <w:rFonts w:ascii="Times New Roman" w:hAnsi="Times New Roman" w:cs="Times New Roman"/>
          <w:b/>
          <w:bCs/>
        </w:rPr>
        <w:t>Table 2</w:t>
      </w:r>
    </w:p>
    <w:p w14:paraId="6787DC99" w14:textId="6008A18C" w:rsidR="00BB53C3" w:rsidRDefault="00880C29" w:rsidP="00017F20">
      <w:pPr>
        <w:pStyle w:val="Heading1"/>
        <w:numPr>
          <w:ilvl w:val="0"/>
          <w:numId w:val="2"/>
        </w:numPr>
        <w:ind w:left="0" w:firstLine="0"/>
        <w:rPr>
          <w:b/>
          <w:bCs/>
          <w:color w:val="auto"/>
        </w:rPr>
      </w:pPr>
      <w:bookmarkStart w:id="2" w:name="_Toc211172185"/>
      <w:r>
        <w:rPr>
          <w:b/>
          <w:bCs/>
          <w:color w:val="auto"/>
        </w:rPr>
        <w:t>Steps to make the supply chain more resilient</w:t>
      </w:r>
      <w:bookmarkEnd w:id="2"/>
    </w:p>
    <w:p w14:paraId="5B608AD4" w14:textId="21BADCC5" w:rsidR="00C93E8C" w:rsidRDefault="002E28B6" w:rsidP="002E28B6">
      <w:pPr>
        <w:jc w:val="both"/>
        <w:rPr>
          <w:rFonts w:ascii="Times New Roman" w:hAnsi="Times New Roman" w:cs="Times New Roman"/>
        </w:rPr>
      </w:pPr>
      <w:r w:rsidRPr="002E28B6">
        <w:rPr>
          <w:rFonts w:ascii="Times New Roman" w:hAnsi="Times New Roman" w:cs="Times New Roman"/>
        </w:rPr>
        <w:t xml:space="preserve">The increasing complexity and interdependence of global supply chains necessitate robust resilience strategies, especially for market leaders like Apple. </w:t>
      </w:r>
      <w:r w:rsidR="00C93E8C" w:rsidRPr="00C93E8C">
        <w:rPr>
          <w:rFonts w:ascii="Times New Roman" w:hAnsi="Times New Roman" w:cs="Times New Roman"/>
        </w:rPr>
        <w:t xml:space="preserve">In the modern era of business, effective supply chain management is crucial for maintaining competitive advantage. For a prominent company like Apple, resilience is not merely a desirable trait but a necessity to navigate a volatile global environment. The following </w:t>
      </w:r>
      <w:r w:rsidR="00C93E8C">
        <w:rPr>
          <w:rFonts w:ascii="Times New Roman" w:hAnsi="Times New Roman" w:cs="Times New Roman"/>
        </w:rPr>
        <w:t xml:space="preserve">six </w:t>
      </w:r>
      <w:r w:rsidR="00C93E8C" w:rsidRPr="00C93E8C">
        <w:rPr>
          <w:rFonts w:ascii="Times New Roman" w:hAnsi="Times New Roman" w:cs="Times New Roman"/>
        </w:rPr>
        <w:t xml:space="preserve">steps outline how Apple can improve supply chain resilience, </w:t>
      </w:r>
      <w:r w:rsidR="00C93E8C">
        <w:rPr>
          <w:rFonts w:ascii="Times New Roman" w:hAnsi="Times New Roman" w:cs="Times New Roman"/>
        </w:rPr>
        <w:t xml:space="preserve">supported by </w:t>
      </w:r>
      <w:r w:rsidR="00C93E8C" w:rsidRPr="00C93E8C">
        <w:rPr>
          <w:rFonts w:ascii="Times New Roman" w:hAnsi="Times New Roman" w:cs="Times New Roman"/>
        </w:rPr>
        <w:t>examples.</w:t>
      </w:r>
    </w:p>
    <w:p w14:paraId="1BB30FFD" w14:textId="77777777" w:rsidR="002E28B6" w:rsidRPr="002E28B6" w:rsidRDefault="002E28B6" w:rsidP="002E28B6">
      <w:pPr>
        <w:jc w:val="both"/>
        <w:rPr>
          <w:rFonts w:ascii="Times New Roman" w:hAnsi="Times New Roman" w:cs="Times New Roman"/>
          <w:b/>
          <w:bCs/>
        </w:rPr>
      </w:pPr>
      <w:r w:rsidRPr="002E28B6">
        <w:rPr>
          <w:rFonts w:ascii="Times New Roman" w:hAnsi="Times New Roman" w:cs="Times New Roman"/>
          <w:b/>
          <w:bCs/>
        </w:rPr>
        <w:t>1. Diversification of Suppliers</w:t>
      </w:r>
    </w:p>
    <w:p w14:paraId="3F792CC9" w14:textId="465A2B5E" w:rsidR="002E28B6" w:rsidRDefault="002E28B6" w:rsidP="002E28B6">
      <w:pPr>
        <w:jc w:val="both"/>
        <w:rPr>
          <w:rFonts w:ascii="Times New Roman" w:hAnsi="Times New Roman" w:cs="Times New Roman"/>
        </w:rPr>
      </w:pPr>
      <w:r w:rsidRPr="002E28B6">
        <w:rPr>
          <w:rFonts w:ascii="Times New Roman" w:hAnsi="Times New Roman" w:cs="Times New Roman"/>
        </w:rPr>
        <w:t xml:space="preserve">To mitigate risks associated with reliance on a single supplier, Apple has made significant progress in diversifying its supplier base, particularly for critical components such as semiconductors and assembly services. Traditionally, Apple has depended heavily on TSMC for its chips and </w:t>
      </w:r>
      <w:r w:rsidRPr="002E28B6">
        <w:rPr>
          <w:rFonts w:ascii="Times New Roman" w:hAnsi="Times New Roman" w:cs="Times New Roman"/>
        </w:rPr>
        <w:lastRenderedPageBreak/>
        <w:t xml:space="preserve">Foxconn for assembly. In light of geopolitical tensions, particularly the ongoing situation between China and Taiwan, Apple has taken proactive measures to explore additional semiconductor suppliers outside Taiwan </w:t>
      </w:r>
      <w:r w:rsidRPr="002E28B6">
        <w:rPr>
          <w:rFonts w:ascii="Times New Roman" w:hAnsi="Times New Roman" w:cs="Times New Roman"/>
          <w:b/>
          <w:bCs/>
        </w:rPr>
        <w:t>(Chen, 2023).</w:t>
      </w:r>
    </w:p>
    <w:p w14:paraId="26B7E6A0" w14:textId="31E24A57" w:rsidR="002E28B6" w:rsidRDefault="002E28B6" w:rsidP="002E28B6">
      <w:pPr>
        <w:jc w:val="both"/>
        <w:rPr>
          <w:rFonts w:ascii="Times New Roman" w:hAnsi="Times New Roman" w:cs="Times New Roman"/>
        </w:rPr>
      </w:pPr>
      <w:r w:rsidRPr="002E28B6">
        <w:rPr>
          <w:rFonts w:ascii="Times New Roman" w:hAnsi="Times New Roman" w:cs="Times New Roman"/>
        </w:rPr>
        <w:t xml:space="preserve">By initiating discussions with manufacturers such as AMD and Qualcomm, Apple aims to dilute its dependence on TSMC. This diversification enhances supply chain resilience by reducing the risk of disruption, thereby promoting competitive pricing and innovation through increased supplier competition </w:t>
      </w:r>
      <w:r w:rsidRPr="002E28B6">
        <w:rPr>
          <w:rFonts w:ascii="Times New Roman" w:hAnsi="Times New Roman" w:cs="Times New Roman"/>
          <w:b/>
          <w:bCs/>
        </w:rPr>
        <w:t>(Choudhary et al., 2022)</w:t>
      </w:r>
      <w:r w:rsidRPr="002E28B6">
        <w:rPr>
          <w:rFonts w:ascii="Times New Roman" w:hAnsi="Times New Roman" w:cs="Times New Roman"/>
        </w:rPr>
        <w:t>. Such strategies reflect an industry trend towards dual-sourcin</w:t>
      </w:r>
      <w:r w:rsidR="00C93E8C">
        <w:rPr>
          <w:rFonts w:ascii="Times New Roman" w:hAnsi="Times New Roman" w:cs="Times New Roman"/>
        </w:rPr>
        <w:t xml:space="preserve">g </w:t>
      </w:r>
      <w:r w:rsidRPr="002E28B6">
        <w:rPr>
          <w:rFonts w:ascii="Times New Roman" w:hAnsi="Times New Roman" w:cs="Times New Roman"/>
        </w:rPr>
        <w:t>utili</w:t>
      </w:r>
      <w:r w:rsidR="00C93E8C">
        <w:rPr>
          <w:rFonts w:ascii="Times New Roman" w:hAnsi="Times New Roman" w:cs="Times New Roman"/>
        </w:rPr>
        <w:t>s</w:t>
      </w:r>
      <w:r w:rsidRPr="002E28B6">
        <w:rPr>
          <w:rFonts w:ascii="Times New Roman" w:hAnsi="Times New Roman" w:cs="Times New Roman"/>
        </w:rPr>
        <w:t xml:space="preserve">ing multiple suppliers for the same </w:t>
      </w:r>
      <w:r w:rsidR="00C93E8C">
        <w:rPr>
          <w:rFonts w:ascii="Times New Roman" w:hAnsi="Times New Roman" w:cs="Times New Roman"/>
        </w:rPr>
        <w:t xml:space="preserve">component </w:t>
      </w:r>
      <w:r w:rsidRPr="002E28B6">
        <w:rPr>
          <w:rFonts w:ascii="Times New Roman" w:hAnsi="Times New Roman" w:cs="Times New Roman"/>
        </w:rPr>
        <w:t>to safeguard continuity of supply in times of crisis.</w:t>
      </w:r>
    </w:p>
    <w:p w14:paraId="1B295535" w14:textId="346C7EBB" w:rsidR="00C93E8C" w:rsidRPr="002E28B6" w:rsidRDefault="00C93E8C" w:rsidP="002E28B6">
      <w:pPr>
        <w:jc w:val="both"/>
        <w:rPr>
          <w:rFonts w:ascii="Times New Roman" w:hAnsi="Times New Roman" w:cs="Times New Roman"/>
        </w:rPr>
      </w:pPr>
      <w:r w:rsidRPr="00C93E8C">
        <w:rPr>
          <w:rFonts w:ascii="Times New Roman" w:hAnsi="Times New Roman" w:cs="Times New Roman"/>
        </w:rPr>
        <w:t>Apple's engagement with multiple assembly plants across different regions mitigates risks associated with single points of failure, allowing for adaptability in operations. By leveraging a diverse network of suppliers across various geographical locations, Apple safeguards its access to critical components and maintains operational efficiency.</w:t>
      </w:r>
    </w:p>
    <w:p w14:paraId="7817462A" w14:textId="77777777" w:rsidR="002E28B6" w:rsidRPr="002E28B6" w:rsidRDefault="002E28B6" w:rsidP="002E28B6">
      <w:pPr>
        <w:jc w:val="both"/>
        <w:rPr>
          <w:rFonts w:ascii="Times New Roman" w:hAnsi="Times New Roman" w:cs="Times New Roman"/>
          <w:b/>
          <w:bCs/>
        </w:rPr>
      </w:pPr>
      <w:r w:rsidRPr="002E28B6">
        <w:rPr>
          <w:rFonts w:ascii="Times New Roman" w:hAnsi="Times New Roman" w:cs="Times New Roman"/>
          <w:b/>
          <w:bCs/>
        </w:rPr>
        <w:t>2. Inventory &amp; Safety Stock Strategies</w:t>
      </w:r>
    </w:p>
    <w:p w14:paraId="2FEBA262" w14:textId="12A24F1C" w:rsidR="002E28B6" w:rsidRPr="002E28B6" w:rsidRDefault="002E28B6" w:rsidP="002E28B6">
      <w:pPr>
        <w:jc w:val="both"/>
        <w:rPr>
          <w:rFonts w:ascii="Times New Roman" w:hAnsi="Times New Roman" w:cs="Times New Roman"/>
        </w:rPr>
      </w:pPr>
      <w:r w:rsidRPr="002E28B6">
        <w:rPr>
          <w:rFonts w:ascii="Times New Roman" w:hAnsi="Times New Roman" w:cs="Times New Roman"/>
        </w:rPr>
        <w:t>Apple's approach to inventory management includes maintaining safety stock for critical components, which plays a vital role in supply chain resilience. By utili</w:t>
      </w:r>
      <w:r w:rsidR="00923A2E">
        <w:rPr>
          <w:rFonts w:ascii="Times New Roman" w:hAnsi="Times New Roman" w:cs="Times New Roman"/>
        </w:rPr>
        <w:t>s</w:t>
      </w:r>
      <w:r w:rsidRPr="002E28B6">
        <w:rPr>
          <w:rFonts w:ascii="Times New Roman" w:hAnsi="Times New Roman" w:cs="Times New Roman"/>
        </w:rPr>
        <w:t xml:space="preserve">ing regional warehouses for components, Apple ensures that potential disruptions do not result in immediate product shortages </w:t>
      </w:r>
      <w:r w:rsidRPr="002E28B6">
        <w:rPr>
          <w:rFonts w:ascii="Times New Roman" w:hAnsi="Times New Roman" w:cs="Times New Roman"/>
          <w:b/>
          <w:bCs/>
        </w:rPr>
        <w:t>(Henry-Kirk et al., 2012).</w:t>
      </w:r>
    </w:p>
    <w:p w14:paraId="7DC15D71" w14:textId="77777777" w:rsidR="002E28B6" w:rsidRDefault="002E28B6" w:rsidP="002E28B6">
      <w:pPr>
        <w:jc w:val="both"/>
        <w:rPr>
          <w:rFonts w:ascii="Times New Roman" w:hAnsi="Times New Roman" w:cs="Times New Roman"/>
        </w:rPr>
      </w:pPr>
      <w:r w:rsidRPr="002E28B6">
        <w:rPr>
          <w:rFonts w:ascii="Times New Roman" w:hAnsi="Times New Roman" w:cs="Times New Roman"/>
        </w:rPr>
        <w:t xml:space="preserve">The strategic positioning of inventory enables Apple to absorb supply shocks, such as those arising from sudden surges in demand or disruptions in manufacturing. For instance, the COVID-19 pandemic highlighted the significance of having adequate safety stock on hand, allowing Apple to continue fulfilling orders during factory closures or slowdowns </w:t>
      </w:r>
      <w:r w:rsidRPr="002E28B6">
        <w:rPr>
          <w:rFonts w:ascii="Times New Roman" w:hAnsi="Times New Roman" w:cs="Times New Roman"/>
          <w:b/>
          <w:bCs/>
        </w:rPr>
        <w:t>(Venkatesh et al., 2020)</w:t>
      </w:r>
      <w:r w:rsidRPr="002E28B6">
        <w:rPr>
          <w:rFonts w:ascii="Times New Roman" w:hAnsi="Times New Roman" w:cs="Times New Roman"/>
        </w:rPr>
        <w:t>. This inventory strategy mitigates risks associated with demand fluctuations and unexpected supply chain interruptions, thereby enhancing overall operational resilience.</w:t>
      </w:r>
    </w:p>
    <w:p w14:paraId="7E41AFA7" w14:textId="77777777" w:rsidR="00C93E8C" w:rsidRPr="002E28B6" w:rsidRDefault="00C93E8C" w:rsidP="00C93E8C">
      <w:pPr>
        <w:jc w:val="both"/>
        <w:rPr>
          <w:rFonts w:ascii="Times New Roman" w:hAnsi="Times New Roman" w:cs="Times New Roman"/>
        </w:rPr>
      </w:pPr>
      <w:r w:rsidRPr="00C93E8C">
        <w:rPr>
          <w:rFonts w:ascii="Times New Roman" w:hAnsi="Times New Roman" w:cs="Times New Roman"/>
        </w:rPr>
        <w:t xml:space="preserve">By analysing consumption patterns and integrating advanced data analytics, Apple can dynamically adjust safety stock levels to align with anticipated demand. For example, during peak seasons, Apple increases its inventory in preparation for the surge of iPhone purchases, ensuring that customers receive their products in a timely manner </w:t>
      </w:r>
      <w:r w:rsidRPr="00923A2E">
        <w:rPr>
          <w:rFonts w:ascii="Times New Roman" w:hAnsi="Times New Roman" w:cs="Times New Roman"/>
          <w:b/>
          <w:bCs/>
        </w:rPr>
        <w:t>(Zheng et al., 2023)</w:t>
      </w:r>
      <w:r w:rsidRPr="00C93E8C">
        <w:rPr>
          <w:rFonts w:ascii="Times New Roman" w:hAnsi="Times New Roman" w:cs="Times New Roman"/>
        </w:rPr>
        <w:t>. This not only enhances customer satisfaction but also reinforces Apple’s market position.</w:t>
      </w:r>
    </w:p>
    <w:p w14:paraId="1ED576F7" w14:textId="5B5A0F56" w:rsidR="00C93E8C" w:rsidRPr="002E28B6" w:rsidRDefault="00C93E8C" w:rsidP="002E28B6">
      <w:pPr>
        <w:jc w:val="both"/>
        <w:rPr>
          <w:rFonts w:ascii="Times New Roman" w:hAnsi="Times New Roman" w:cs="Times New Roman"/>
        </w:rPr>
      </w:pPr>
      <w:r w:rsidRPr="00C93E8C">
        <w:rPr>
          <w:rFonts w:ascii="Times New Roman" w:hAnsi="Times New Roman" w:cs="Times New Roman"/>
        </w:rPr>
        <w:t>Additionally, Apple’s move to improve inventory visibility through digital tools allows for a more tailored approach to inventory management. Optimi</w:t>
      </w:r>
      <w:r w:rsidR="00923A2E">
        <w:rPr>
          <w:rFonts w:ascii="Times New Roman" w:hAnsi="Times New Roman" w:cs="Times New Roman"/>
        </w:rPr>
        <w:t>s</w:t>
      </w:r>
      <w:r w:rsidRPr="00C93E8C">
        <w:rPr>
          <w:rFonts w:ascii="Times New Roman" w:hAnsi="Times New Roman" w:cs="Times New Roman"/>
        </w:rPr>
        <w:t>ing its supply chain with the right amount of stock on hand reduces the risk of stockouts or excess inventory, ensuring that supply meets customer demand effectively.</w:t>
      </w:r>
    </w:p>
    <w:p w14:paraId="7E2AC211" w14:textId="77777777" w:rsidR="002E28B6" w:rsidRPr="002E28B6" w:rsidRDefault="002E28B6" w:rsidP="002E28B6">
      <w:pPr>
        <w:jc w:val="both"/>
        <w:rPr>
          <w:rFonts w:ascii="Times New Roman" w:hAnsi="Times New Roman" w:cs="Times New Roman"/>
          <w:b/>
          <w:bCs/>
        </w:rPr>
      </w:pPr>
      <w:r w:rsidRPr="002E28B6">
        <w:rPr>
          <w:rFonts w:ascii="Times New Roman" w:hAnsi="Times New Roman" w:cs="Times New Roman"/>
          <w:b/>
          <w:bCs/>
        </w:rPr>
        <w:lastRenderedPageBreak/>
        <w:t>3. Digital Supply Chain Monitoring</w:t>
      </w:r>
    </w:p>
    <w:p w14:paraId="4963F67E" w14:textId="739B0F04" w:rsidR="002E28B6" w:rsidRDefault="002E28B6" w:rsidP="002E28B6">
      <w:pPr>
        <w:jc w:val="both"/>
        <w:rPr>
          <w:rFonts w:ascii="Times New Roman" w:hAnsi="Times New Roman" w:cs="Times New Roman"/>
        </w:rPr>
      </w:pPr>
      <w:r w:rsidRPr="002E28B6">
        <w:rPr>
          <w:rFonts w:ascii="Times New Roman" w:hAnsi="Times New Roman" w:cs="Times New Roman"/>
        </w:rPr>
        <w:t xml:space="preserve">In the current technological landscape, real-time data and analytics have become indispensable for effective supply chain management. Apple employs advanced digital solutions, including SAP-based systems for monitoring supplier performance in real time </w:t>
      </w:r>
      <w:r w:rsidRPr="002E28B6">
        <w:rPr>
          <w:rFonts w:ascii="Times New Roman" w:hAnsi="Times New Roman" w:cs="Times New Roman"/>
          <w:b/>
          <w:bCs/>
        </w:rPr>
        <w:t>(We, 2024)</w:t>
      </w:r>
      <w:r w:rsidRPr="002E28B6">
        <w:rPr>
          <w:rFonts w:ascii="Times New Roman" w:hAnsi="Times New Roman" w:cs="Times New Roman"/>
        </w:rPr>
        <w:t>. These systems support predictive analytics</w:t>
      </w:r>
      <w:r w:rsidR="00C93E8C">
        <w:rPr>
          <w:rFonts w:ascii="Times New Roman" w:hAnsi="Times New Roman" w:cs="Times New Roman"/>
        </w:rPr>
        <w:t xml:space="preserve"> to </w:t>
      </w:r>
      <w:r w:rsidR="00C93E8C" w:rsidRPr="00C93E8C">
        <w:rPr>
          <w:rFonts w:ascii="Times New Roman" w:hAnsi="Times New Roman" w:cs="Times New Roman"/>
        </w:rPr>
        <w:t>enable Apple to track inventory levels, shipment statuses, and supplier reliability while providing predictive insights into potential disruptions.</w:t>
      </w:r>
      <w:r w:rsidR="00C93E8C">
        <w:rPr>
          <w:rFonts w:ascii="Times New Roman" w:hAnsi="Times New Roman" w:cs="Times New Roman"/>
        </w:rPr>
        <w:t xml:space="preserve"> This </w:t>
      </w:r>
      <w:r w:rsidRPr="002E28B6">
        <w:rPr>
          <w:rFonts w:ascii="Times New Roman" w:hAnsi="Times New Roman" w:cs="Times New Roman"/>
        </w:rPr>
        <w:t>can identify potential disruptions before they escalate into significant issues.</w:t>
      </w:r>
    </w:p>
    <w:p w14:paraId="1AF42468" w14:textId="2C71709D" w:rsidR="002E28B6" w:rsidRDefault="002E28B6" w:rsidP="002E28B6">
      <w:pPr>
        <w:jc w:val="both"/>
        <w:rPr>
          <w:rFonts w:ascii="Times New Roman" w:hAnsi="Times New Roman" w:cs="Times New Roman"/>
        </w:rPr>
      </w:pPr>
      <w:r w:rsidRPr="002E28B6">
        <w:rPr>
          <w:rFonts w:ascii="Times New Roman" w:hAnsi="Times New Roman" w:cs="Times New Roman"/>
        </w:rPr>
        <w:t>Through digital supply chain monitoring, Apple can track everything from raw material availability to shipment statuses across its suppliers. This proactive monitoring provides visibility into the supply chain, allowing Apple to quickly adapt to changing conditions, such as production delays or quality control issues. If a supplier experiences a manufacturing delay, Apple's digital tools can quickly identify the impact on inventory levels and initiate contingency strategies, minimi</w:t>
      </w:r>
      <w:r w:rsidR="00923A2E">
        <w:rPr>
          <w:rFonts w:ascii="Times New Roman" w:hAnsi="Times New Roman" w:cs="Times New Roman"/>
        </w:rPr>
        <w:t>s</w:t>
      </w:r>
      <w:r w:rsidRPr="002E28B6">
        <w:rPr>
          <w:rFonts w:ascii="Times New Roman" w:hAnsi="Times New Roman" w:cs="Times New Roman"/>
        </w:rPr>
        <w:t xml:space="preserve">ing downtime and maintaining retail availability </w:t>
      </w:r>
      <w:r w:rsidRPr="002E28B6">
        <w:rPr>
          <w:rFonts w:ascii="Times New Roman" w:hAnsi="Times New Roman" w:cs="Times New Roman"/>
          <w:b/>
          <w:bCs/>
        </w:rPr>
        <w:t>(Grant, 2024).</w:t>
      </w:r>
    </w:p>
    <w:p w14:paraId="60C71B92" w14:textId="4A26D412" w:rsidR="00C93E8C" w:rsidRDefault="00C93E8C" w:rsidP="002E28B6">
      <w:pPr>
        <w:jc w:val="both"/>
        <w:rPr>
          <w:rFonts w:ascii="Times New Roman" w:hAnsi="Times New Roman" w:cs="Times New Roman"/>
        </w:rPr>
      </w:pPr>
      <w:r w:rsidRPr="00C93E8C">
        <w:rPr>
          <w:rFonts w:ascii="Times New Roman" w:hAnsi="Times New Roman" w:cs="Times New Roman"/>
        </w:rPr>
        <w:t>For example, when a supplier experiences production delays, Apple's monitoring systems can immediately provide alerts, enabling the company to implement contingency plans proactively instead of reactively. The integration of IoT devices further enhances this capability through real-time data collection and analysis, ensuring optimal logistics performance and timely decision-making in critical situations.</w:t>
      </w:r>
    </w:p>
    <w:p w14:paraId="4BAE4DB4" w14:textId="3EEC4C4A" w:rsidR="00C93E8C" w:rsidRDefault="00C93E8C" w:rsidP="002E28B6">
      <w:pPr>
        <w:jc w:val="both"/>
        <w:rPr>
          <w:rFonts w:ascii="Times New Roman" w:hAnsi="Times New Roman" w:cs="Times New Roman"/>
        </w:rPr>
      </w:pPr>
      <w:r w:rsidRPr="00C93E8C">
        <w:rPr>
          <w:rFonts w:ascii="Times New Roman" w:hAnsi="Times New Roman" w:cs="Times New Roman"/>
        </w:rPr>
        <w:t>Apple’s move to improve inventory visibility through digital tools allows for a more tailored approach to inventory management. Optimi</w:t>
      </w:r>
      <w:r w:rsidR="00201C39">
        <w:rPr>
          <w:rFonts w:ascii="Times New Roman" w:hAnsi="Times New Roman" w:cs="Times New Roman"/>
        </w:rPr>
        <w:t>s</w:t>
      </w:r>
      <w:r w:rsidRPr="00C93E8C">
        <w:rPr>
          <w:rFonts w:ascii="Times New Roman" w:hAnsi="Times New Roman" w:cs="Times New Roman"/>
        </w:rPr>
        <w:t>ing its supply chain with the right amount of stock on hand reduces the risk of stockouts or excess inventory, ensuring that supply meets customer demand effectively.</w:t>
      </w:r>
    </w:p>
    <w:p w14:paraId="57C292E5" w14:textId="08A8C78F" w:rsidR="003839C7" w:rsidRPr="002E28B6" w:rsidRDefault="003839C7" w:rsidP="002E28B6">
      <w:pPr>
        <w:jc w:val="both"/>
        <w:rPr>
          <w:rFonts w:ascii="Times New Roman" w:hAnsi="Times New Roman" w:cs="Times New Roman"/>
        </w:rPr>
      </w:pPr>
      <w:r w:rsidRPr="003839C7">
        <w:rPr>
          <w:rFonts w:ascii="Times New Roman" w:hAnsi="Times New Roman" w:cs="Times New Roman"/>
        </w:rPr>
        <w:t xml:space="preserve">Apple's investment in predictive analytics helps anticipate supply chain disruptions, allowing for timely interventions. This technological integration not only facilitates better risk management but also contributes to overall performance improvements, as indicated by various studies </w:t>
      </w:r>
      <w:r w:rsidRPr="006020E4">
        <w:rPr>
          <w:rFonts w:ascii="Times New Roman" w:hAnsi="Times New Roman" w:cs="Times New Roman"/>
          <w:b/>
          <w:bCs/>
        </w:rPr>
        <w:t>(Hsieh et al., 2023).</w:t>
      </w:r>
    </w:p>
    <w:p w14:paraId="23255B16" w14:textId="77777777" w:rsidR="002E28B6" w:rsidRPr="002E28B6" w:rsidRDefault="002E28B6" w:rsidP="002E28B6">
      <w:pPr>
        <w:jc w:val="both"/>
        <w:rPr>
          <w:rFonts w:ascii="Times New Roman" w:hAnsi="Times New Roman" w:cs="Times New Roman"/>
          <w:b/>
          <w:bCs/>
        </w:rPr>
      </w:pPr>
      <w:r w:rsidRPr="002E28B6">
        <w:rPr>
          <w:rFonts w:ascii="Times New Roman" w:hAnsi="Times New Roman" w:cs="Times New Roman"/>
          <w:b/>
          <w:bCs/>
        </w:rPr>
        <w:t>4. Logistics Flexibility &amp; Contingency Planning</w:t>
      </w:r>
    </w:p>
    <w:p w14:paraId="6B242266" w14:textId="6CD3FB77" w:rsidR="002E28B6" w:rsidRPr="002E28B6" w:rsidRDefault="00925959" w:rsidP="002E28B6">
      <w:pPr>
        <w:jc w:val="both"/>
        <w:rPr>
          <w:rFonts w:ascii="Times New Roman" w:hAnsi="Times New Roman" w:cs="Times New Roman"/>
        </w:rPr>
      </w:pPr>
      <w:r>
        <w:rPr>
          <w:rFonts w:ascii="Times New Roman" w:hAnsi="Times New Roman" w:cs="Times New Roman"/>
        </w:rPr>
        <w:t>Flexibility in l</w:t>
      </w:r>
      <w:r w:rsidR="002E28B6" w:rsidRPr="002E28B6">
        <w:rPr>
          <w:rFonts w:ascii="Times New Roman" w:hAnsi="Times New Roman" w:cs="Times New Roman"/>
        </w:rPr>
        <w:t>ogistics is crucial for maintaining supply chain continuity in the face of unforeseen disruptions. Apple's strategy includes diversifying shipping routes and utili</w:t>
      </w:r>
      <w:r w:rsidR="00923A2E">
        <w:rPr>
          <w:rFonts w:ascii="Times New Roman" w:hAnsi="Times New Roman" w:cs="Times New Roman"/>
        </w:rPr>
        <w:t>s</w:t>
      </w:r>
      <w:r w:rsidR="002E28B6" w:rsidRPr="002E28B6">
        <w:rPr>
          <w:rFonts w:ascii="Times New Roman" w:hAnsi="Times New Roman" w:cs="Times New Roman"/>
        </w:rPr>
        <w:t xml:space="preserve">ing alternative ports to mitigate risks associated with traditional logistics paths, such as the Suez Canal </w:t>
      </w:r>
      <w:r w:rsidR="002E28B6" w:rsidRPr="002E28B6">
        <w:rPr>
          <w:rFonts w:ascii="Times New Roman" w:hAnsi="Times New Roman" w:cs="Times New Roman"/>
          <w:b/>
          <w:bCs/>
        </w:rPr>
        <w:t>(Govindan et al., 2021).</w:t>
      </w:r>
    </w:p>
    <w:p w14:paraId="644880DD" w14:textId="77777777" w:rsidR="002E28B6" w:rsidRDefault="002E28B6" w:rsidP="002E28B6">
      <w:pPr>
        <w:jc w:val="both"/>
        <w:rPr>
          <w:rFonts w:ascii="Times New Roman" w:hAnsi="Times New Roman" w:cs="Times New Roman"/>
        </w:rPr>
      </w:pPr>
      <w:r w:rsidRPr="002E28B6">
        <w:rPr>
          <w:rFonts w:ascii="Times New Roman" w:hAnsi="Times New Roman" w:cs="Times New Roman"/>
        </w:rPr>
        <w:t xml:space="preserve">In response to shipping challenges experienced in recent years, including congestion at major ports and geopolitical instabilities, Apple has expanded its logistics capabilities. By developing relationships with multiple freight carriers and maintaining an agile transportation strategy, Apple </w:t>
      </w:r>
      <w:r w:rsidRPr="002E28B6">
        <w:rPr>
          <w:rFonts w:ascii="Times New Roman" w:hAnsi="Times New Roman" w:cs="Times New Roman"/>
        </w:rPr>
        <w:lastRenderedPageBreak/>
        <w:t xml:space="preserve">can quickly shift shipments from one port to another, ensuring that products reach their destinations without unnecessary delays. This adaptive ability is particularly evident when exploring expedited shipping options during peak demand periods, preserving Apple’s reputation for timely product launches and deliveries </w:t>
      </w:r>
      <w:r w:rsidRPr="002E28B6">
        <w:rPr>
          <w:rFonts w:ascii="Times New Roman" w:hAnsi="Times New Roman" w:cs="Times New Roman"/>
          <w:b/>
          <w:bCs/>
        </w:rPr>
        <w:t>(Fontana et al., 2024).</w:t>
      </w:r>
    </w:p>
    <w:p w14:paraId="2ECA4872" w14:textId="0EE7DBFA" w:rsidR="003839C7" w:rsidRPr="003839C7" w:rsidRDefault="003839C7" w:rsidP="003839C7">
      <w:pPr>
        <w:jc w:val="both"/>
        <w:rPr>
          <w:rFonts w:ascii="Times New Roman" w:hAnsi="Times New Roman" w:cs="Times New Roman"/>
        </w:rPr>
      </w:pPr>
      <w:r w:rsidRPr="003839C7">
        <w:rPr>
          <w:rFonts w:ascii="Times New Roman" w:hAnsi="Times New Roman" w:cs="Times New Roman"/>
        </w:rPr>
        <w:t xml:space="preserve">In addition to alternative shipping routes, Apple invests in air freight options to expedite deliveries when </w:t>
      </w:r>
      <w:r w:rsidR="00925959">
        <w:rPr>
          <w:rFonts w:ascii="Times New Roman" w:hAnsi="Times New Roman" w:cs="Times New Roman"/>
        </w:rPr>
        <w:t>sea</w:t>
      </w:r>
      <w:r w:rsidRPr="003839C7">
        <w:rPr>
          <w:rFonts w:ascii="Times New Roman" w:hAnsi="Times New Roman" w:cs="Times New Roman"/>
        </w:rPr>
        <w:t xml:space="preserve"> transport is hampered. This adaptability is vital during peak demand times or unforeseen events that can cause delays in conventional shipping methods. By having multiple logistics partners and ports of entry, Apple ensures that its products reach markets promptly and efficiently, regardless of external circumstances.</w:t>
      </w:r>
    </w:p>
    <w:p w14:paraId="214A1768" w14:textId="2A0F1C64" w:rsidR="003839C7" w:rsidRPr="003839C7" w:rsidRDefault="003839C7" w:rsidP="003839C7">
      <w:pPr>
        <w:jc w:val="both"/>
        <w:rPr>
          <w:rFonts w:ascii="Times New Roman" w:hAnsi="Times New Roman" w:cs="Times New Roman"/>
        </w:rPr>
      </w:pPr>
      <w:r w:rsidRPr="003839C7">
        <w:rPr>
          <w:rFonts w:ascii="Times New Roman" w:hAnsi="Times New Roman" w:cs="Times New Roman"/>
        </w:rPr>
        <w:t xml:space="preserve">Contingency planning has become an integral part of Apple’s logistics strategy, allowing the company to create alternative supply plans and maintain service levels during crises. For example, the identification of regional distribution centres facilitates a swift response to local disruptions, ensuring that essential inventory is available when needed </w:t>
      </w:r>
      <w:r w:rsidRPr="003839C7">
        <w:rPr>
          <w:rFonts w:ascii="Times New Roman" w:hAnsi="Times New Roman" w:cs="Times New Roman"/>
          <w:b/>
          <w:bCs/>
        </w:rPr>
        <w:t>(</w:t>
      </w:r>
      <w:proofErr w:type="spellStart"/>
      <w:r w:rsidRPr="003839C7">
        <w:rPr>
          <w:rFonts w:ascii="Times New Roman" w:hAnsi="Times New Roman" w:cs="Times New Roman"/>
          <w:b/>
          <w:bCs/>
        </w:rPr>
        <w:t>Arowosegbe</w:t>
      </w:r>
      <w:proofErr w:type="spellEnd"/>
      <w:r w:rsidRPr="003839C7">
        <w:rPr>
          <w:rFonts w:ascii="Times New Roman" w:hAnsi="Times New Roman" w:cs="Times New Roman"/>
          <w:b/>
          <w:bCs/>
        </w:rPr>
        <w:t xml:space="preserve"> et al., 2024).</w:t>
      </w:r>
    </w:p>
    <w:p w14:paraId="4C848802" w14:textId="77777777" w:rsidR="002E28B6" w:rsidRPr="002E28B6" w:rsidRDefault="002E28B6" w:rsidP="002E28B6">
      <w:pPr>
        <w:jc w:val="both"/>
        <w:rPr>
          <w:rFonts w:ascii="Times New Roman" w:hAnsi="Times New Roman" w:cs="Times New Roman"/>
          <w:b/>
          <w:bCs/>
        </w:rPr>
      </w:pPr>
      <w:r w:rsidRPr="002E28B6">
        <w:rPr>
          <w:rFonts w:ascii="Times New Roman" w:hAnsi="Times New Roman" w:cs="Times New Roman"/>
          <w:b/>
          <w:bCs/>
        </w:rPr>
        <w:t>5. Supplier Collaboration &amp; Development</w:t>
      </w:r>
    </w:p>
    <w:p w14:paraId="136299E2" w14:textId="3A8A132F" w:rsidR="002E28B6" w:rsidRPr="002E28B6" w:rsidRDefault="002E28B6" w:rsidP="002E28B6">
      <w:pPr>
        <w:jc w:val="both"/>
        <w:rPr>
          <w:rFonts w:ascii="Times New Roman" w:hAnsi="Times New Roman" w:cs="Times New Roman"/>
        </w:rPr>
      </w:pPr>
      <w:r w:rsidRPr="002E28B6">
        <w:rPr>
          <w:rFonts w:ascii="Times New Roman" w:hAnsi="Times New Roman" w:cs="Times New Roman"/>
        </w:rPr>
        <w:t>Apple emphasi</w:t>
      </w:r>
      <w:r w:rsidR="00923A2E">
        <w:rPr>
          <w:rFonts w:ascii="Times New Roman" w:hAnsi="Times New Roman" w:cs="Times New Roman"/>
        </w:rPr>
        <w:t>s</w:t>
      </w:r>
      <w:r w:rsidRPr="002E28B6">
        <w:rPr>
          <w:rFonts w:ascii="Times New Roman" w:hAnsi="Times New Roman" w:cs="Times New Roman"/>
        </w:rPr>
        <w:t xml:space="preserve">es a collaborative approach to supplier relationships, focusing on quality and sustainability standards. By working closely with suppliers, Apple ensures compliance with sustainability practices and addresses capacity issues </w:t>
      </w:r>
      <w:r w:rsidRPr="002E28B6">
        <w:rPr>
          <w:rFonts w:ascii="Times New Roman" w:hAnsi="Times New Roman" w:cs="Times New Roman"/>
          <w:b/>
          <w:bCs/>
        </w:rPr>
        <w:t>(Chen, 2023)</w:t>
      </w:r>
      <w:r w:rsidRPr="002E28B6">
        <w:rPr>
          <w:rFonts w:ascii="Times New Roman" w:hAnsi="Times New Roman" w:cs="Times New Roman"/>
        </w:rPr>
        <w:t>.</w:t>
      </w:r>
      <w:r w:rsidR="003839C7">
        <w:rPr>
          <w:rFonts w:ascii="Times New Roman" w:hAnsi="Times New Roman" w:cs="Times New Roman"/>
        </w:rPr>
        <w:t xml:space="preserve"> </w:t>
      </w:r>
      <w:r w:rsidR="003839C7" w:rsidRPr="003839C7">
        <w:rPr>
          <w:rFonts w:ascii="Times New Roman" w:hAnsi="Times New Roman" w:cs="Times New Roman"/>
        </w:rPr>
        <w:t>Apple actively invests in building strong relationships with suppliers. The company works closely with its suppliers to implement sustainable practices, ensure quality, and streamline operations. This partnership approach is beneficial, as it allows both parties to address potential issues and work toward common goals.</w:t>
      </w:r>
    </w:p>
    <w:p w14:paraId="48B62ED2" w14:textId="6B2F0D61" w:rsidR="002E28B6" w:rsidRDefault="002E28B6" w:rsidP="002E28B6">
      <w:pPr>
        <w:jc w:val="both"/>
        <w:rPr>
          <w:rFonts w:ascii="Times New Roman" w:hAnsi="Times New Roman" w:cs="Times New Roman"/>
        </w:rPr>
      </w:pPr>
      <w:r w:rsidRPr="002E28B6">
        <w:rPr>
          <w:rFonts w:ascii="Times New Roman" w:hAnsi="Times New Roman" w:cs="Times New Roman"/>
        </w:rPr>
        <w:t xml:space="preserve">The company provides training and support to suppliers, empowering them to meet stringent quality and sustainability benchmarks. For example, Apple's initiatives in supplier development equip suppliers with the knowledge and tools necessary to implement environmentally friendly practices, which not only reduces risks associated with non-compliance but also enhances their overall capabilities </w:t>
      </w:r>
      <w:r w:rsidRPr="002E28B6">
        <w:rPr>
          <w:rFonts w:ascii="Times New Roman" w:hAnsi="Times New Roman" w:cs="Times New Roman"/>
          <w:b/>
          <w:bCs/>
        </w:rPr>
        <w:t xml:space="preserve">(Huq &amp; Stevenson, 2018). </w:t>
      </w:r>
      <w:r w:rsidRPr="002E28B6">
        <w:rPr>
          <w:rFonts w:ascii="Times New Roman" w:hAnsi="Times New Roman" w:cs="Times New Roman"/>
        </w:rPr>
        <w:t xml:space="preserve">Such collaborative efforts </w:t>
      </w:r>
      <w:r w:rsidR="00BB2C44">
        <w:rPr>
          <w:rFonts w:ascii="Times New Roman" w:hAnsi="Times New Roman" w:cs="Times New Roman"/>
        </w:rPr>
        <w:t>build</w:t>
      </w:r>
      <w:r w:rsidRPr="002E28B6">
        <w:rPr>
          <w:rFonts w:ascii="Times New Roman" w:hAnsi="Times New Roman" w:cs="Times New Roman"/>
        </w:rPr>
        <w:t xml:space="preserve"> long-term partnerships that improve the resilience of the supply chain through shared goals and mutual success.</w:t>
      </w:r>
    </w:p>
    <w:p w14:paraId="6C15460B" w14:textId="6C570987" w:rsidR="003839C7" w:rsidRDefault="003839C7" w:rsidP="002E28B6">
      <w:pPr>
        <w:jc w:val="both"/>
        <w:rPr>
          <w:rFonts w:ascii="Times New Roman" w:hAnsi="Times New Roman" w:cs="Times New Roman"/>
          <w:b/>
          <w:bCs/>
        </w:rPr>
      </w:pPr>
      <w:r w:rsidRPr="003839C7">
        <w:rPr>
          <w:rFonts w:ascii="Times New Roman" w:hAnsi="Times New Roman" w:cs="Times New Roman"/>
        </w:rPr>
        <w:t xml:space="preserve">By </w:t>
      </w:r>
      <w:r w:rsidR="00F46BB6" w:rsidRPr="003839C7">
        <w:rPr>
          <w:rFonts w:ascii="Times New Roman" w:hAnsi="Times New Roman" w:cs="Times New Roman"/>
        </w:rPr>
        <w:t>adopting</w:t>
      </w:r>
      <w:r w:rsidRPr="003839C7">
        <w:rPr>
          <w:rFonts w:ascii="Times New Roman" w:hAnsi="Times New Roman" w:cs="Times New Roman"/>
        </w:rPr>
        <w:t xml:space="preserve"> open communication and ensuring alignment on objectives, Apple can effectively manage supply risks associated with multiple tiers of suppliers. This collaborative approach promotes transparency and responsiveness, enabling Apple to navigate the complexities of its supply chain more effectively </w:t>
      </w:r>
      <w:r w:rsidRPr="00923A2E">
        <w:rPr>
          <w:rFonts w:ascii="Times New Roman" w:hAnsi="Times New Roman" w:cs="Times New Roman"/>
          <w:b/>
          <w:bCs/>
        </w:rPr>
        <w:t>(Karl et al., 2018).</w:t>
      </w:r>
    </w:p>
    <w:p w14:paraId="3FBC5049" w14:textId="77777777" w:rsidR="00D57E84" w:rsidRDefault="00D57E84" w:rsidP="002E28B6">
      <w:pPr>
        <w:jc w:val="both"/>
        <w:rPr>
          <w:rFonts w:ascii="Times New Roman" w:hAnsi="Times New Roman" w:cs="Times New Roman"/>
          <w:b/>
          <w:bCs/>
        </w:rPr>
      </w:pPr>
    </w:p>
    <w:p w14:paraId="3E925D69" w14:textId="77777777" w:rsidR="00D57E84" w:rsidRPr="002E28B6" w:rsidRDefault="00D57E84" w:rsidP="002E28B6">
      <w:pPr>
        <w:jc w:val="both"/>
        <w:rPr>
          <w:rFonts w:ascii="Times New Roman" w:hAnsi="Times New Roman" w:cs="Times New Roman"/>
        </w:rPr>
      </w:pPr>
    </w:p>
    <w:p w14:paraId="102EFF37" w14:textId="77777777" w:rsidR="002E28B6" w:rsidRPr="002E28B6" w:rsidRDefault="002E28B6" w:rsidP="002E28B6">
      <w:pPr>
        <w:jc w:val="both"/>
        <w:rPr>
          <w:rFonts w:ascii="Times New Roman" w:hAnsi="Times New Roman" w:cs="Times New Roman"/>
          <w:b/>
          <w:bCs/>
        </w:rPr>
      </w:pPr>
      <w:r w:rsidRPr="002E28B6">
        <w:rPr>
          <w:rFonts w:ascii="Times New Roman" w:hAnsi="Times New Roman" w:cs="Times New Roman"/>
          <w:b/>
          <w:bCs/>
        </w:rPr>
        <w:lastRenderedPageBreak/>
        <w:t>6. Risk Financing &amp; Contractual Measures</w:t>
      </w:r>
    </w:p>
    <w:p w14:paraId="76019B0C" w14:textId="629C4F2D" w:rsidR="002E28B6" w:rsidRDefault="002E28B6" w:rsidP="002E28B6">
      <w:pPr>
        <w:jc w:val="both"/>
        <w:rPr>
          <w:rFonts w:ascii="Times New Roman" w:hAnsi="Times New Roman" w:cs="Times New Roman"/>
        </w:rPr>
      </w:pPr>
      <w:r w:rsidRPr="002E28B6">
        <w:rPr>
          <w:rFonts w:ascii="Times New Roman" w:hAnsi="Times New Roman" w:cs="Times New Roman"/>
        </w:rPr>
        <w:t xml:space="preserve">To further bolster supply chain resilience, Apple implements various risk financing strategies and contractual measures. This includes incorporating force majeure clauses </w:t>
      </w:r>
      <w:r w:rsidR="00ED5F83">
        <w:rPr>
          <w:rFonts w:ascii="Times New Roman" w:hAnsi="Times New Roman" w:cs="Times New Roman"/>
        </w:rPr>
        <w:t>(</w:t>
      </w:r>
      <w:r w:rsidR="00C121E9">
        <w:rPr>
          <w:rFonts w:ascii="Times New Roman" w:hAnsi="Times New Roman" w:cs="Times New Roman"/>
        </w:rPr>
        <w:t xml:space="preserve">excuses one or both parties due to extraordinary events </w:t>
      </w:r>
      <w:r w:rsidR="007D5CF1">
        <w:rPr>
          <w:rFonts w:ascii="Times New Roman" w:hAnsi="Times New Roman" w:cs="Times New Roman"/>
        </w:rPr>
        <w:t>beyond their control</w:t>
      </w:r>
      <w:r w:rsidR="00C121E9">
        <w:rPr>
          <w:rFonts w:ascii="Times New Roman" w:hAnsi="Times New Roman" w:cs="Times New Roman"/>
        </w:rPr>
        <w:t xml:space="preserve">) </w:t>
      </w:r>
      <w:r w:rsidRPr="002E28B6">
        <w:rPr>
          <w:rFonts w:ascii="Times New Roman" w:hAnsi="Times New Roman" w:cs="Times New Roman"/>
        </w:rPr>
        <w:t xml:space="preserve">in contracts with suppliers, which allows flexibility in response to unforeseen events </w:t>
      </w:r>
      <w:r w:rsidRPr="002E28B6">
        <w:rPr>
          <w:rFonts w:ascii="Times New Roman" w:hAnsi="Times New Roman" w:cs="Times New Roman"/>
          <w:b/>
          <w:bCs/>
        </w:rPr>
        <w:t>(Porter et al., 2022)</w:t>
      </w:r>
      <w:r w:rsidRPr="002E28B6">
        <w:rPr>
          <w:rFonts w:ascii="Times New Roman" w:hAnsi="Times New Roman" w:cs="Times New Roman"/>
        </w:rPr>
        <w:t>.</w:t>
      </w:r>
      <w:r w:rsidR="003839C7">
        <w:rPr>
          <w:rFonts w:ascii="Times New Roman" w:hAnsi="Times New Roman" w:cs="Times New Roman"/>
        </w:rPr>
        <w:t xml:space="preserve"> </w:t>
      </w:r>
      <w:r w:rsidR="003839C7" w:rsidRPr="003839C7">
        <w:rPr>
          <w:rFonts w:ascii="Times New Roman" w:hAnsi="Times New Roman" w:cs="Times New Roman"/>
        </w:rPr>
        <w:t>By incorporating force majeure clauses, Apple can safeguard itself against unforeseen disruptions without incurring significant financial losses.</w:t>
      </w:r>
    </w:p>
    <w:p w14:paraId="2F7E2266" w14:textId="11F67B5B" w:rsidR="003839C7" w:rsidRPr="003839C7" w:rsidRDefault="003839C7" w:rsidP="003839C7">
      <w:pPr>
        <w:jc w:val="both"/>
        <w:rPr>
          <w:rFonts w:ascii="Times New Roman" w:hAnsi="Times New Roman" w:cs="Times New Roman"/>
        </w:rPr>
      </w:pPr>
      <w:r w:rsidRPr="003839C7">
        <w:rPr>
          <w:rFonts w:ascii="Times New Roman" w:hAnsi="Times New Roman" w:cs="Times New Roman"/>
        </w:rPr>
        <w:t>Apple employs currency hedging strategies to mitigate the risks</w:t>
      </w:r>
      <w:r w:rsidR="00F2588E">
        <w:rPr>
          <w:rFonts w:ascii="Times New Roman" w:hAnsi="Times New Roman" w:cs="Times New Roman"/>
        </w:rPr>
        <w:t xml:space="preserve"> </w:t>
      </w:r>
      <w:r w:rsidR="005332E1">
        <w:rPr>
          <w:rFonts w:ascii="Times New Roman" w:hAnsi="Times New Roman" w:cs="Times New Roman"/>
        </w:rPr>
        <w:t xml:space="preserve">and offset the </w:t>
      </w:r>
      <w:r w:rsidR="00922AD7">
        <w:rPr>
          <w:rFonts w:ascii="Times New Roman" w:hAnsi="Times New Roman" w:cs="Times New Roman"/>
        </w:rPr>
        <w:t>loss</w:t>
      </w:r>
      <w:r w:rsidRPr="003839C7">
        <w:rPr>
          <w:rFonts w:ascii="Times New Roman" w:hAnsi="Times New Roman" w:cs="Times New Roman"/>
        </w:rPr>
        <w:t xml:space="preserve"> associated with exchange rate fluctuations, especially given its substantial transactions in Chinese </w:t>
      </w:r>
      <w:r w:rsidR="00F46BB6">
        <w:rPr>
          <w:rFonts w:ascii="Times New Roman" w:hAnsi="Times New Roman" w:cs="Times New Roman"/>
        </w:rPr>
        <w:t>Y</w:t>
      </w:r>
      <w:r w:rsidRPr="003839C7">
        <w:rPr>
          <w:rFonts w:ascii="Times New Roman" w:hAnsi="Times New Roman" w:cs="Times New Roman"/>
        </w:rPr>
        <w:t>uan for production. This financial foresight is crucial for maintaining stability in operations and financial reporting.</w:t>
      </w:r>
    </w:p>
    <w:p w14:paraId="6B9398AF" w14:textId="60D1DEF3" w:rsidR="003839C7" w:rsidRPr="002E28B6" w:rsidRDefault="003839C7" w:rsidP="002E28B6">
      <w:pPr>
        <w:jc w:val="both"/>
        <w:rPr>
          <w:rFonts w:ascii="Times New Roman" w:hAnsi="Times New Roman" w:cs="Times New Roman"/>
        </w:rPr>
      </w:pPr>
      <w:r w:rsidRPr="003839C7">
        <w:rPr>
          <w:rFonts w:ascii="Times New Roman" w:hAnsi="Times New Roman" w:cs="Times New Roman"/>
        </w:rPr>
        <w:t xml:space="preserve">A well-structured risk management framework enables Apple to navigate external shocks while ensuring contractual obligations are met. When disruptions occur, having flexible contracts can facilitate adjustments to supply and pricing, allowing Apple to adapt swiftly to changing market conditions </w:t>
      </w:r>
      <w:r w:rsidRPr="003839C7">
        <w:rPr>
          <w:rFonts w:ascii="Times New Roman" w:hAnsi="Times New Roman" w:cs="Times New Roman"/>
          <w:b/>
          <w:bCs/>
        </w:rPr>
        <w:t>(Yang, 2025)</w:t>
      </w:r>
      <w:r w:rsidRPr="003839C7">
        <w:rPr>
          <w:rFonts w:ascii="Times New Roman" w:hAnsi="Times New Roman" w:cs="Times New Roman"/>
        </w:rPr>
        <w:t>. This strategic approach not only secures operational continuity but also enhances overall corporate resilience against potential risks.</w:t>
      </w:r>
    </w:p>
    <w:p w14:paraId="67D597BC" w14:textId="462A57B1" w:rsidR="00715875" w:rsidRDefault="002E28B6" w:rsidP="00C2495B">
      <w:pPr>
        <w:jc w:val="both"/>
        <w:rPr>
          <w:rFonts w:ascii="Times New Roman" w:hAnsi="Times New Roman" w:cs="Times New Roman"/>
        </w:rPr>
      </w:pPr>
      <w:r w:rsidRPr="002E28B6">
        <w:rPr>
          <w:rFonts w:ascii="Times New Roman" w:hAnsi="Times New Roman" w:cs="Times New Roman"/>
        </w:rPr>
        <w:t xml:space="preserve">Understanding that financial stability is paramount during disruptions, Apple actively manages its contractual agreements. By including flexible terms that accommodate adjustments due to unforeseen circumstances, Apple ensures that its supply chain can adapt without incurring significant financial losses. This strategic foresight extends to securing insurance for potential disruptions, providing another layer of financial resilience in an uncertain global environment </w:t>
      </w:r>
      <w:r w:rsidRPr="002E28B6">
        <w:rPr>
          <w:rFonts w:ascii="Times New Roman" w:hAnsi="Times New Roman" w:cs="Times New Roman"/>
          <w:b/>
          <w:bCs/>
        </w:rPr>
        <w:t>(Choudhary et al., 2022).</w:t>
      </w:r>
    </w:p>
    <w:p w14:paraId="54D49959" w14:textId="0E4DEF38" w:rsidR="00201C39" w:rsidRPr="00D57E84" w:rsidRDefault="00880C29" w:rsidP="005A6580">
      <w:pPr>
        <w:pStyle w:val="Heading1"/>
        <w:numPr>
          <w:ilvl w:val="0"/>
          <w:numId w:val="2"/>
        </w:numPr>
        <w:shd w:val="clear" w:color="auto" w:fill="FFFFFF"/>
        <w:spacing w:after="0" w:line="240" w:lineRule="auto"/>
        <w:ind w:left="0" w:firstLine="0"/>
        <w:jc w:val="both"/>
        <w:rPr>
          <w:rFonts w:ascii="Times New Roman" w:hAnsi="Times New Roman" w:cs="Times New Roman"/>
          <w:color w:val="000000" w:themeColor="text1"/>
        </w:rPr>
      </w:pPr>
      <w:bookmarkStart w:id="3" w:name="_Toc211172186"/>
      <w:r w:rsidRPr="003839C7">
        <w:rPr>
          <w:b/>
          <w:bCs/>
          <w:color w:val="auto"/>
        </w:rPr>
        <w:t xml:space="preserve">Conclusions </w:t>
      </w:r>
      <w:bookmarkEnd w:id="3"/>
    </w:p>
    <w:p w14:paraId="48AC428B" w14:textId="606B35B1" w:rsidR="00482A47" w:rsidRDefault="00482A47" w:rsidP="005A6580">
      <w:pPr>
        <w:jc w:val="both"/>
        <w:rPr>
          <w:rFonts w:ascii="Times New Roman" w:hAnsi="Times New Roman" w:cs="Times New Roman"/>
          <w:color w:val="000000" w:themeColor="text1"/>
        </w:rPr>
      </w:pPr>
      <w:r w:rsidRPr="00482A47">
        <w:rPr>
          <w:rFonts w:ascii="Times New Roman" w:hAnsi="Times New Roman" w:cs="Times New Roman"/>
          <w:color w:val="000000" w:themeColor="text1"/>
        </w:rPr>
        <w:t>This supply chain mapping illustrates the intricate web of relationships and processes that contribute to the timely delivery of the iPhone 15 to end users in the UK. Understanding each segment aids in identifying potential risks and reinforces the importance of resilience strategies. Apple's ability to adapt and manage these components effectively is paramount to sustaining its market leadership amidst ongoing global challenges.</w:t>
      </w:r>
    </w:p>
    <w:p w14:paraId="7B486CCA" w14:textId="496BD3E1" w:rsidR="005A6580" w:rsidRPr="005A6580" w:rsidRDefault="00201C39" w:rsidP="005A6580">
      <w:pPr>
        <w:jc w:val="both"/>
        <w:rPr>
          <w:rFonts w:ascii="Times New Roman" w:hAnsi="Times New Roman" w:cs="Times New Roman"/>
          <w:color w:val="000000" w:themeColor="text1"/>
        </w:rPr>
      </w:pPr>
      <w:r>
        <w:rPr>
          <w:rFonts w:ascii="Times New Roman" w:hAnsi="Times New Roman" w:cs="Times New Roman"/>
          <w:color w:val="000000" w:themeColor="text1"/>
        </w:rPr>
        <w:t>T</w:t>
      </w:r>
      <w:r w:rsidR="005A6580" w:rsidRPr="005A6580">
        <w:rPr>
          <w:rFonts w:ascii="Times New Roman" w:hAnsi="Times New Roman" w:cs="Times New Roman"/>
          <w:color w:val="000000" w:themeColor="text1"/>
        </w:rPr>
        <w:t>he comprehensive</w:t>
      </w:r>
      <w:r>
        <w:rPr>
          <w:rFonts w:ascii="Times New Roman" w:hAnsi="Times New Roman" w:cs="Times New Roman"/>
          <w:color w:val="000000" w:themeColor="text1"/>
        </w:rPr>
        <w:t xml:space="preserve"> FMEA</w:t>
      </w:r>
      <w:r w:rsidR="005A6580" w:rsidRPr="005A6580">
        <w:rPr>
          <w:rFonts w:ascii="Times New Roman" w:hAnsi="Times New Roman" w:cs="Times New Roman"/>
          <w:color w:val="000000" w:themeColor="text1"/>
        </w:rPr>
        <w:t xml:space="preserve"> has identified several critical risks facing Apple's supply chain, particularly in relation to its delivery of the iPhone 15 to the UK market. Key risks include dependency on single suppliers, component shortages, geopolitical tensions, </w:t>
      </w:r>
      <w:r w:rsidR="00923A2E" w:rsidRPr="005A6580">
        <w:rPr>
          <w:rFonts w:ascii="Times New Roman" w:hAnsi="Times New Roman" w:cs="Times New Roman"/>
          <w:color w:val="000000" w:themeColor="text1"/>
        </w:rPr>
        <w:t>labour</w:t>
      </w:r>
      <w:r w:rsidR="005A6580" w:rsidRPr="005A6580">
        <w:rPr>
          <w:rFonts w:ascii="Times New Roman" w:hAnsi="Times New Roman" w:cs="Times New Roman"/>
          <w:color w:val="000000" w:themeColor="text1"/>
        </w:rPr>
        <w:t xml:space="preserve"> disputes, and transportation disruptions. Each risk has significant implications, including the potential for production delays, increased costs, and diminished </w:t>
      </w:r>
      <w:r w:rsidR="005A6580" w:rsidRPr="005A6580">
        <w:rPr>
          <w:rFonts w:ascii="Times New Roman" w:hAnsi="Times New Roman" w:cs="Times New Roman"/>
          <w:color w:val="000000" w:themeColor="text1"/>
        </w:rPr>
        <w:lastRenderedPageBreak/>
        <w:t>customer satisfaction, emphasi</w:t>
      </w:r>
      <w:r w:rsidR="00923A2E">
        <w:rPr>
          <w:rFonts w:ascii="Times New Roman" w:hAnsi="Times New Roman" w:cs="Times New Roman"/>
          <w:color w:val="000000" w:themeColor="text1"/>
        </w:rPr>
        <w:t>s</w:t>
      </w:r>
      <w:r w:rsidR="005A6580" w:rsidRPr="005A6580">
        <w:rPr>
          <w:rFonts w:ascii="Times New Roman" w:hAnsi="Times New Roman" w:cs="Times New Roman"/>
          <w:color w:val="000000" w:themeColor="text1"/>
        </w:rPr>
        <w:t xml:space="preserve">ing the importance of proactive management in maintaining operational continuity and market position </w:t>
      </w:r>
      <w:r w:rsidR="00923A2E" w:rsidRPr="00923A2E">
        <w:rPr>
          <w:rFonts w:ascii="Times New Roman" w:hAnsi="Times New Roman" w:cs="Times New Roman"/>
          <w:b/>
          <w:bCs/>
          <w:color w:val="000000" w:themeColor="text1"/>
        </w:rPr>
        <w:t>(</w:t>
      </w:r>
      <w:proofErr w:type="spellStart"/>
      <w:r w:rsidR="005A6580" w:rsidRPr="005A6580">
        <w:rPr>
          <w:rFonts w:ascii="Times New Roman" w:hAnsi="Times New Roman" w:cs="Times New Roman"/>
          <w:b/>
          <w:bCs/>
          <w:color w:val="000000" w:themeColor="text1"/>
        </w:rPr>
        <w:t>Arowosegbe</w:t>
      </w:r>
      <w:proofErr w:type="spellEnd"/>
      <w:r w:rsidR="005A6580" w:rsidRPr="005A6580">
        <w:rPr>
          <w:rFonts w:ascii="Times New Roman" w:hAnsi="Times New Roman" w:cs="Times New Roman"/>
          <w:b/>
          <w:bCs/>
          <w:color w:val="000000" w:themeColor="text1"/>
        </w:rPr>
        <w:t xml:space="preserve"> et al. 2024)</w:t>
      </w:r>
      <w:r w:rsidR="00923A2E" w:rsidRPr="00923A2E">
        <w:rPr>
          <w:rFonts w:ascii="Times New Roman" w:hAnsi="Times New Roman" w:cs="Times New Roman"/>
          <w:b/>
          <w:bCs/>
          <w:color w:val="000000" w:themeColor="text1"/>
        </w:rPr>
        <w:t>(</w:t>
      </w:r>
      <w:r w:rsidR="005A6580" w:rsidRPr="005A6580">
        <w:rPr>
          <w:rFonts w:ascii="Times New Roman" w:hAnsi="Times New Roman" w:cs="Times New Roman"/>
          <w:b/>
          <w:bCs/>
          <w:color w:val="000000" w:themeColor="text1"/>
        </w:rPr>
        <w:t>Johnson &amp; Haug, 2021).</w:t>
      </w:r>
    </w:p>
    <w:p w14:paraId="24827E97" w14:textId="4EF46617" w:rsidR="005A6580" w:rsidRPr="005A6580" w:rsidRDefault="005A6580" w:rsidP="005A6580">
      <w:pPr>
        <w:jc w:val="both"/>
        <w:rPr>
          <w:rFonts w:ascii="Times New Roman" w:hAnsi="Times New Roman" w:cs="Times New Roman"/>
          <w:color w:val="000000" w:themeColor="text1"/>
        </w:rPr>
      </w:pPr>
      <w:r w:rsidRPr="005A6580">
        <w:rPr>
          <w:rFonts w:ascii="Times New Roman" w:hAnsi="Times New Roman" w:cs="Times New Roman"/>
          <w:color w:val="000000" w:themeColor="text1"/>
        </w:rPr>
        <w:t>To navigate these complexities, resilience strategies are not only essential but imperative. By diversifying suppliers, maintaining safety stock, utili</w:t>
      </w:r>
      <w:r w:rsidR="00201C39">
        <w:rPr>
          <w:rFonts w:ascii="Times New Roman" w:hAnsi="Times New Roman" w:cs="Times New Roman"/>
          <w:color w:val="000000" w:themeColor="text1"/>
        </w:rPr>
        <w:t>s</w:t>
      </w:r>
      <w:r w:rsidRPr="005A6580">
        <w:rPr>
          <w:rFonts w:ascii="Times New Roman" w:hAnsi="Times New Roman" w:cs="Times New Roman"/>
          <w:color w:val="000000" w:themeColor="text1"/>
        </w:rPr>
        <w:t>ing digital monitoring tools, ensuring logistics flexibility, fostering supplier collaboration, and implementing robust risk financing measures, Apple can effectively mitigate the identified risks. These strategies enable Apple to remain agile and responsive in the face of uncertainty, ensuring timely delivery to the UK market while minimi</w:t>
      </w:r>
      <w:r w:rsidR="00201C39">
        <w:rPr>
          <w:rFonts w:ascii="Times New Roman" w:hAnsi="Times New Roman" w:cs="Times New Roman"/>
          <w:color w:val="000000" w:themeColor="text1"/>
        </w:rPr>
        <w:t>s</w:t>
      </w:r>
      <w:r w:rsidRPr="005A6580">
        <w:rPr>
          <w:rFonts w:ascii="Times New Roman" w:hAnsi="Times New Roman" w:cs="Times New Roman"/>
          <w:color w:val="000000" w:themeColor="text1"/>
        </w:rPr>
        <w:t xml:space="preserve">ing disruptions </w:t>
      </w:r>
      <w:r w:rsidRPr="005A6580">
        <w:rPr>
          <w:rFonts w:ascii="Times New Roman" w:hAnsi="Times New Roman" w:cs="Times New Roman"/>
          <w:b/>
          <w:bCs/>
          <w:color w:val="000000" w:themeColor="text1"/>
        </w:rPr>
        <w:t>(Zheng et al., 2023).</w:t>
      </w:r>
    </w:p>
    <w:p w14:paraId="3D3F2E6A" w14:textId="61940C2E" w:rsidR="005A6580" w:rsidRPr="005A6580" w:rsidRDefault="005A6580" w:rsidP="005A6580">
      <w:pPr>
        <w:jc w:val="both"/>
        <w:rPr>
          <w:rFonts w:ascii="Times New Roman" w:hAnsi="Times New Roman" w:cs="Times New Roman"/>
          <w:color w:val="000000" w:themeColor="text1"/>
        </w:rPr>
      </w:pPr>
      <w:r w:rsidRPr="005A6580">
        <w:rPr>
          <w:rFonts w:ascii="Times New Roman" w:hAnsi="Times New Roman" w:cs="Times New Roman"/>
          <w:color w:val="000000" w:themeColor="text1"/>
        </w:rPr>
        <w:t>The academic relevance of these strategies lies in their alignment with contemporary supply chain theories that advocate for agility and resilience as fundamental attributes of successful operations. Practically, these strategies assist organi</w:t>
      </w:r>
      <w:r w:rsidR="00201C39">
        <w:rPr>
          <w:rFonts w:ascii="Times New Roman" w:hAnsi="Times New Roman" w:cs="Times New Roman"/>
          <w:color w:val="000000" w:themeColor="text1"/>
        </w:rPr>
        <w:t>s</w:t>
      </w:r>
      <w:r w:rsidRPr="005A6580">
        <w:rPr>
          <w:rFonts w:ascii="Times New Roman" w:hAnsi="Times New Roman" w:cs="Times New Roman"/>
          <w:color w:val="000000" w:themeColor="text1"/>
        </w:rPr>
        <w:t xml:space="preserve">ations like Apple in crafting responsive and sustainable supply chains, as highlighted in various studies </w:t>
      </w:r>
      <w:r w:rsidRPr="005A6580">
        <w:rPr>
          <w:rFonts w:ascii="Times New Roman" w:hAnsi="Times New Roman" w:cs="Times New Roman"/>
          <w:b/>
          <w:bCs/>
          <w:color w:val="000000" w:themeColor="text1"/>
        </w:rPr>
        <w:t>(We, 2024).</w:t>
      </w:r>
      <w:r w:rsidRPr="005A6580">
        <w:rPr>
          <w:rFonts w:ascii="Times New Roman" w:hAnsi="Times New Roman" w:cs="Times New Roman"/>
          <w:color w:val="000000" w:themeColor="text1"/>
        </w:rPr>
        <w:t xml:space="preserve"> Ultimately, the proactive management of supply chain risks fosters a resilient framework that supports seamless operations, maintains competitive advantage, and enhances overall performance amidst evolving market challenges.</w:t>
      </w:r>
    </w:p>
    <w:p w14:paraId="3BE45DE4" w14:textId="50158EEA" w:rsidR="005A6580" w:rsidRPr="005A6580" w:rsidRDefault="005A6580" w:rsidP="005A6580">
      <w:pPr>
        <w:jc w:val="both"/>
        <w:rPr>
          <w:rFonts w:ascii="Times New Roman" w:hAnsi="Times New Roman" w:cs="Times New Roman"/>
          <w:color w:val="000000" w:themeColor="text1"/>
        </w:rPr>
      </w:pPr>
      <w:r w:rsidRPr="005A6580">
        <w:rPr>
          <w:rFonts w:ascii="Times New Roman" w:hAnsi="Times New Roman" w:cs="Times New Roman"/>
          <w:color w:val="000000" w:themeColor="text1"/>
        </w:rPr>
        <w:t xml:space="preserve">In summary, the integration of effective resilience strategies into Apple’s supply chain management not only addresses the challenges identified through FMEA but also reinforces the company's commitment to excellence in customer service and operational effectiveness in the highly competitive technology landscape </w:t>
      </w:r>
      <w:r w:rsidRPr="005A6580">
        <w:rPr>
          <w:rFonts w:ascii="Times New Roman" w:hAnsi="Times New Roman" w:cs="Times New Roman"/>
          <w:b/>
          <w:bCs/>
          <w:color w:val="000000" w:themeColor="text1"/>
        </w:rPr>
        <w:t>(Arora &amp; Rajagopal, 2021</w:t>
      </w:r>
      <w:r w:rsidR="00201C39" w:rsidRPr="00201C39">
        <w:rPr>
          <w:rFonts w:ascii="Times New Roman" w:hAnsi="Times New Roman" w:cs="Times New Roman"/>
          <w:b/>
          <w:bCs/>
          <w:color w:val="000000" w:themeColor="text1"/>
        </w:rPr>
        <w:t>)</w:t>
      </w:r>
      <w:r w:rsidRPr="005A6580">
        <w:rPr>
          <w:rFonts w:ascii="Times New Roman" w:hAnsi="Times New Roman" w:cs="Times New Roman"/>
          <w:b/>
          <w:bCs/>
          <w:color w:val="000000" w:themeColor="text1"/>
        </w:rPr>
        <w:t xml:space="preserve"> </w:t>
      </w:r>
      <w:r w:rsidR="00201C39" w:rsidRPr="00201C39">
        <w:rPr>
          <w:rFonts w:ascii="Times New Roman" w:hAnsi="Times New Roman" w:cs="Times New Roman"/>
          <w:b/>
          <w:bCs/>
          <w:color w:val="000000" w:themeColor="text1"/>
        </w:rPr>
        <w:t>(</w:t>
      </w:r>
      <w:r w:rsidRPr="005A6580">
        <w:rPr>
          <w:rFonts w:ascii="Times New Roman" w:hAnsi="Times New Roman" w:cs="Times New Roman"/>
          <w:b/>
          <w:bCs/>
          <w:color w:val="000000" w:themeColor="text1"/>
        </w:rPr>
        <w:t>Kwak et al., 2018).</w:t>
      </w:r>
    </w:p>
    <w:p w14:paraId="6556710B" w14:textId="53739227" w:rsidR="00BB53C3" w:rsidRPr="00BB53C3" w:rsidRDefault="00BB53C3" w:rsidP="007F355B">
      <w:pPr>
        <w:pStyle w:val="Heading1"/>
        <w:numPr>
          <w:ilvl w:val="0"/>
          <w:numId w:val="2"/>
        </w:numPr>
        <w:ind w:left="0" w:firstLine="0"/>
        <w:rPr>
          <w:b/>
          <w:bCs/>
          <w:color w:val="auto"/>
        </w:rPr>
      </w:pPr>
      <w:bookmarkStart w:id="4" w:name="_Toc211172187"/>
      <w:r w:rsidRPr="00BB53C3">
        <w:rPr>
          <w:b/>
          <w:bCs/>
          <w:color w:val="auto"/>
        </w:rPr>
        <w:t>References</w:t>
      </w:r>
      <w:bookmarkEnd w:id="4"/>
    </w:p>
    <w:p w14:paraId="664800CA" w14:textId="3F440592" w:rsidR="00233AAC" w:rsidRDefault="005A5A66" w:rsidP="00346784">
      <w:pPr>
        <w:jc w:val="both"/>
        <w:rPr>
          <w:rFonts w:ascii="Times New Roman" w:hAnsi="Times New Roman" w:cs="Times New Roman"/>
        </w:rPr>
      </w:pPr>
      <w:r w:rsidRPr="005A5A66">
        <w:rPr>
          <w:rFonts w:ascii="Times New Roman" w:hAnsi="Times New Roman" w:cs="Times New Roman"/>
        </w:rPr>
        <w:t xml:space="preserve">Ali, I., Arslan, A., Khan, Z., &amp; </w:t>
      </w:r>
      <w:proofErr w:type="spellStart"/>
      <w:r w:rsidRPr="005A5A66">
        <w:rPr>
          <w:rFonts w:ascii="Times New Roman" w:hAnsi="Times New Roman" w:cs="Times New Roman"/>
        </w:rPr>
        <w:t>Tarba</w:t>
      </w:r>
      <w:proofErr w:type="spellEnd"/>
      <w:r w:rsidRPr="005A5A66">
        <w:rPr>
          <w:rFonts w:ascii="Times New Roman" w:hAnsi="Times New Roman" w:cs="Times New Roman"/>
        </w:rPr>
        <w:t xml:space="preserve">, S. Y. (2024). The role of industry 4.0 technologies in mitigating supply chain disruption: empirical evidence from the </w:t>
      </w:r>
      <w:proofErr w:type="spellStart"/>
      <w:r w:rsidRPr="005A5A66">
        <w:rPr>
          <w:rFonts w:ascii="Times New Roman" w:hAnsi="Times New Roman" w:cs="Times New Roman"/>
        </w:rPr>
        <w:t>australian</w:t>
      </w:r>
      <w:proofErr w:type="spellEnd"/>
      <w:r w:rsidRPr="005A5A66">
        <w:rPr>
          <w:rFonts w:ascii="Times New Roman" w:hAnsi="Times New Roman" w:cs="Times New Roman"/>
        </w:rPr>
        <w:t xml:space="preserve"> food processing industry. IEEE Transactions on Engineering Management, 71, 10600-10610.</w:t>
      </w:r>
    </w:p>
    <w:p w14:paraId="3BDD5B4B" w14:textId="5EBE9C21" w:rsidR="005A5A66" w:rsidRDefault="005A5A66" w:rsidP="00346784">
      <w:pPr>
        <w:jc w:val="both"/>
        <w:rPr>
          <w:rFonts w:ascii="Times New Roman" w:hAnsi="Times New Roman" w:cs="Times New Roman"/>
        </w:rPr>
      </w:pPr>
      <w:r w:rsidRPr="005A5A66">
        <w:rPr>
          <w:rFonts w:ascii="Times New Roman" w:hAnsi="Times New Roman" w:cs="Times New Roman"/>
        </w:rPr>
        <w:t xml:space="preserve">Andry, J. F., </w:t>
      </w:r>
      <w:proofErr w:type="spellStart"/>
      <w:r w:rsidRPr="005A5A66">
        <w:rPr>
          <w:rFonts w:ascii="Times New Roman" w:hAnsi="Times New Roman" w:cs="Times New Roman"/>
        </w:rPr>
        <w:t>Nurprihatin</w:t>
      </w:r>
      <w:proofErr w:type="spellEnd"/>
      <w:r w:rsidRPr="005A5A66">
        <w:rPr>
          <w:rFonts w:ascii="Times New Roman" w:hAnsi="Times New Roman" w:cs="Times New Roman"/>
        </w:rPr>
        <w:t>, F., &amp; Liliana, L. (2022). Management and production engineering review.</w:t>
      </w:r>
    </w:p>
    <w:p w14:paraId="02B472BA" w14:textId="0FFCAF6B" w:rsidR="00346784" w:rsidRDefault="005A5A66" w:rsidP="00DE3EB4">
      <w:pPr>
        <w:rPr>
          <w:rFonts w:ascii="Times New Roman" w:hAnsi="Times New Roman" w:cs="Times New Roman"/>
        </w:rPr>
      </w:pPr>
      <w:r w:rsidRPr="005A5A66">
        <w:rPr>
          <w:rFonts w:ascii="Times New Roman" w:hAnsi="Times New Roman" w:cs="Times New Roman"/>
        </w:rPr>
        <w:t xml:space="preserve">Apple. (2023) Apple Supplier Responsibility Progress Report 2023. </w:t>
      </w:r>
      <w:r>
        <w:rPr>
          <w:rFonts w:ascii="Times New Roman" w:hAnsi="Times New Roman" w:cs="Times New Roman"/>
        </w:rPr>
        <w:t xml:space="preserve">Available at </w:t>
      </w:r>
      <w:hyperlink r:id="rId10" w:history="1">
        <w:r w:rsidRPr="00E15003">
          <w:rPr>
            <w:rStyle w:val="Hyperlink"/>
            <w:rFonts w:ascii="Times New Roman" w:hAnsi="Times New Roman" w:cs="Times New Roman"/>
          </w:rPr>
          <w:t>https://www.supplychainreports.apple/home</w:t>
        </w:r>
      </w:hyperlink>
      <w:r>
        <w:rPr>
          <w:rFonts w:ascii="Times New Roman" w:hAnsi="Times New Roman" w:cs="Times New Roman"/>
        </w:rPr>
        <w:t xml:space="preserve"> </w:t>
      </w:r>
      <w:hyperlink r:id="rId11" w:history="1"/>
      <w:r>
        <w:rPr>
          <w:rFonts w:ascii="Times New Roman" w:hAnsi="Times New Roman" w:cs="Times New Roman"/>
        </w:rPr>
        <w:t>[Accessed 30 October 2025]</w:t>
      </w:r>
    </w:p>
    <w:p w14:paraId="75CC0F94" w14:textId="624EA2C0" w:rsidR="00346784" w:rsidRDefault="005A5A66" w:rsidP="00DE3EB4">
      <w:pPr>
        <w:rPr>
          <w:rFonts w:ascii="Times New Roman" w:hAnsi="Times New Roman" w:cs="Times New Roman"/>
        </w:rPr>
      </w:pPr>
      <w:r w:rsidRPr="005A5A66">
        <w:rPr>
          <w:rFonts w:ascii="Times New Roman" w:hAnsi="Times New Roman" w:cs="Times New Roman"/>
        </w:rPr>
        <w:t>Araz, Ö. M., Choi, T., Olson, D. L., &amp; Salman, F. S. (2020). Data analytics for operational risk management. Decision Sciences, 51(6), 1316-1319.</w:t>
      </w:r>
    </w:p>
    <w:p w14:paraId="42616575" w14:textId="7B99AE3E" w:rsidR="005A5A66" w:rsidRDefault="005A5A66" w:rsidP="00DE3EB4">
      <w:pPr>
        <w:rPr>
          <w:rFonts w:ascii="Times New Roman" w:hAnsi="Times New Roman" w:cs="Times New Roman"/>
        </w:rPr>
      </w:pPr>
      <w:r w:rsidRPr="005A5A66">
        <w:rPr>
          <w:rFonts w:ascii="Times New Roman" w:hAnsi="Times New Roman" w:cs="Times New Roman"/>
        </w:rPr>
        <w:lastRenderedPageBreak/>
        <w:t>Arora, A. and Rajagopal, R. (2021). An empirical study of supply chain frangibility and risk management in Indian automobile industry.</w:t>
      </w:r>
    </w:p>
    <w:p w14:paraId="134C1D88" w14:textId="6423E12D" w:rsidR="005A5A66" w:rsidRDefault="00141A94" w:rsidP="00DE3EB4">
      <w:pPr>
        <w:rPr>
          <w:rFonts w:ascii="Times New Roman" w:hAnsi="Times New Roman" w:cs="Times New Roman"/>
        </w:rPr>
      </w:pPr>
      <w:proofErr w:type="spellStart"/>
      <w:r w:rsidRPr="00141A94">
        <w:rPr>
          <w:rFonts w:ascii="Times New Roman" w:hAnsi="Times New Roman" w:cs="Times New Roman"/>
        </w:rPr>
        <w:t>Arowosegbe</w:t>
      </w:r>
      <w:proofErr w:type="spellEnd"/>
      <w:r w:rsidRPr="00141A94">
        <w:rPr>
          <w:rFonts w:ascii="Times New Roman" w:hAnsi="Times New Roman" w:cs="Times New Roman"/>
        </w:rPr>
        <w:t xml:space="preserve">, O. B., </w:t>
      </w:r>
      <w:proofErr w:type="spellStart"/>
      <w:r w:rsidRPr="00141A94">
        <w:rPr>
          <w:rFonts w:ascii="Times New Roman" w:hAnsi="Times New Roman" w:cs="Times New Roman"/>
        </w:rPr>
        <w:t>Olutimehin</w:t>
      </w:r>
      <w:proofErr w:type="spellEnd"/>
      <w:r w:rsidRPr="00141A94">
        <w:rPr>
          <w:rFonts w:ascii="Times New Roman" w:hAnsi="Times New Roman" w:cs="Times New Roman"/>
        </w:rPr>
        <w:t xml:space="preserve">, D. O., </w:t>
      </w:r>
      <w:proofErr w:type="spellStart"/>
      <w:r w:rsidRPr="00141A94">
        <w:rPr>
          <w:rFonts w:ascii="Times New Roman" w:hAnsi="Times New Roman" w:cs="Times New Roman"/>
        </w:rPr>
        <w:t>Odunaiya</w:t>
      </w:r>
      <w:proofErr w:type="spellEnd"/>
      <w:r w:rsidRPr="00141A94">
        <w:rPr>
          <w:rFonts w:ascii="Times New Roman" w:hAnsi="Times New Roman" w:cs="Times New Roman"/>
        </w:rPr>
        <w:t xml:space="preserve">, O. G., &amp; </w:t>
      </w:r>
      <w:proofErr w:type="spellStart"/>
      <w:r w:rsidRPr="00141A94">
        <w:rPr>
          <w:rFonts w:ascii="Times New Roman" w:hAnsi="Times New Roman" w:cs="Times New Roman"/>
        </w:rPr>
        <w:t>Soyombo</w:t>
      </w:r>
      <w:proofErr w:type="spellEnd"/>
      <w:r w:rsidRPr="00141A94">
        <w:rPr>
          <w:rFonts w:ascii="Times New Roman" w:hAnsi="Times New Roman" w:cs="Times New Roman"/>
        </w:rPr>
        <w:t>, O. T. (2024). Risk management in global supply chains: addressing vulnerabilities in shipping and logistics. International Journal of Management &amp; Entrepreneurship Research, 6(3), 910-922.</w:t>
      </w:r>
    </w:p>
    <w:p w14:paraId="5849CA3E" w14:textId="5D265F2D" w:rsidR="00141A94" w:rsidRDefault="00141A94" w:rsidP="00DE3EB4">
      <w:pPr>
        <w:rPr>
          <w:rFonts w:ascii="Times New Roman" w:hAnsi="Times New Roman" w:cs="Times New Roman"/>
        </w:rPr>
      </w:pPr>
      <w:r w:rsidRPr="00141A94">
        <w:rPr>
          <w:rFonts w:ascii="Times New Roman" w:hAnsi="Times New Roman" w:cs="Times New Roman"/>
        </w:rPr>
        <w:t>Chen, X. (2023). Critical success factors for a sustainable supply chain: the case of apple inc.. Advances in Economics, Management and Political Sciences, 39(1), 11-16.</w:t>
      </w:r>
    </w:p>
    <w:p w14:paraId="349254C1" w14:textId="0452AE04" w:rsidR="00141A94" w:rsidRDefault="00141A94" w:rsidP="00DE3EB4">
      <w:pPr>
        <w:rPr>
          <w:rFonts w:ascii="Times New Roman" w:hAnsi="Times New Roman" w:cs="Times New Roman"/>
        </w:rPr>
      </w:pPr>
      <w:r w:rsidRPr="00141A94">
        <w:rPr>
          <w:rFonts w:ascii="Times New Roman" w:hAnsi="Times New Roman" w:cs="Times New Roman"/>
        </w:rPr>
        <w:t>Choudhary, N. A., Ramkumar, M., Schoenherr, T., Rana, N. P., &amp; Dwivedi, Y. K. (2022). Does reshoring affect the resilience and sustainability of supply chain networks? the cases of apple and jaguar land rover. British Journal of Management, 34(3), 1138-1156.</w:t>
      </w:r>
    </w:p>
    <w:p w14:paraId="2B5722FF" w14:textId="749C467D" w:rsidR="00141A94" w:rsidRDefault="00141A94" w:rsidP="00DE3EB4">
      <w:pPr>
        <w:rPr>
          <w:rFonts w:ascii="Times New Roman" w:hAnsi="Times New Roman" w:cs="Times New Roman"/>
        </w:rPr>
      </w:pPr>
      <w:r w:rsidRPr="00141A94">
        <w:rPr>
          <w:rFonts w:ascii="Times New Roman" w:hAnsi="Times New Roman" w:cs="Times New Roman"/>
        </w:rPr>
        <w:t xml:space="preserve">Christopher, M. (2016) Logistics &amp; Supply Chain Management. 5th </w:t>
      </w:r>
      <w:proofErr w:type="spellStart"/>
      <w:r w:rsidRPr="00141A94">
        <w:rPr>
          <w:rFonts w:ascii="Times New Roman" w:hAnsi="Times New Roman" w:cs="Times New Roman"/>
        </w:rPr>
        <w:t>edn</w:t>
      </w:r>
      <w:proofErr w:type="spellEnd"/>
      <w:r w:rsidRPr="00141A94">
        <w:rPr>
          <w:rFonts w:ascii="Times New Roman" w:hAnsi="Times New Roman" w:cs="Times New Roman"/>
        </w:rPr>
        <w:t>. London: Pearson.</w:t>
      </w:r>
    </w:p>
    <w:p w14:paraId="52D428F5" w14:textId="095960FB" w:rsidR="00141A94" w:rsidRDefault="00141A94" w:rsidP="00141A94">
      <w:pPr>
        <w:rPr>
          <w:rFonts w:ascii="Times New Roman" w:hAnsi="Times New Roman" w:cs="Times New Roman"/>
        </w:rPr>
      </w:pPr>
      <w:r w:rsidRPr="00141A94">
        <w:rPr>
          <w:rFonts w:ascii="Times New Roman" w:hAnsi="Times New Roman" w:cs="Times New Roman"/>
        </w:rPr>
        <w:t>Ferreira, M. A., Fidelis, R., Horst, D. J., &amp; Andrade, P. P. d. (2023). Mitigating the impacts of covid-19: failure mode and effect analysis and supply chain resilience (</w:t>
      </w:r>
      <w:proofErr w:type="spellStart"/>
      <w:r w:rsidRPr="00141A94">
        <w:rPr>
          <w:rFonts w:ascii="Times New Roman" w:hAnsi="Times New Roman" w:cs="Times New Roman"/>
        </w:rPr>
        <w:t>fmea-scr</w:t>
      </w:r>
      <w:proofErr w:type="spellEnd"/>
      <w:r w:rsidRPr="00141A94">
        <w:rPr>
          <w:rFonts w:ascii="Times New Roman" w:hAnsi="Times New Roman" w:cs="Times New Roman"/>
        </w:rPr>
        <w:t>) combined model. Modern Supply Chain Research and Applications, 5(3), 158-175.</w:t>
      </w:r>
    </w:p>
    <w:p w14:paraId="656B2B4F" w14:textId="63E29872" w:rsidR="00141A94" w:rsidRDefault="00141A94" w:rsidP="00141A94">
      <w:pPr>
        <w:rPr>
          <w:rFonts w:ascii="Times New Roman" w:hAnsi="Times New Roman" w:cs="Times New Roman"/>
        </w:rPr>
      </w:pPr>
      <w:r w:rsidRPr="00A10F4E">
        <w:rPr>
          <w:rFonts w:ascii="Times New Roman" w:hAnsi="Times New Roman" w:cs="Times New Roman"/>
        </w:rPr>
        <w:t xml:space="preserve">Govindan, K., Aditi, A., Darbari, J. D., Kaul, A., &amp; Jha, P. (2021). </w:t>
      </w:r>
      <w:r w:rsidRPr="00141A94">
        <w:rPr>
          <w:rFonts w:ascii="Times New Roman" w:hAnsi="Times New Roman" w:cs="Times New Roman"/>
        </w:rPr>
        <w:t>Structural model for analysis of key performance indicators for sustainable manufacturer–supplier collaboration: a grey‐decision‐making trial and evaluation laboratory‐based approach. Business Strategy and the Environment, 30(4), 1702-1722.</w:t>
      </w:r>
    </w:p>
    <w:p w14:paraId="062CF34E" w14:textId="45D2C563" w:rsidR="00141A94" w:rsidRDefault="00141A94" w:rsidP="00141A94">
      <w:pPr>
        <w:rPr>
          <w:rFonts w:ascii="Times New Roman" w:hAnsi="Times New Roman" w:cs="Times New Roman"/>
        </w:rPr>
      </w:pPr>
      <w:r w:rsidRPr="00141A94">
        <w:rPr>
          <w:rFonts w:ascii="Times New Roman" w:hAnsi="Times New Roman" w:cs="Times New Roman"/>
        </w:rPr>
        <w:t>Grant, O. (2024). Enhancing supplier engagement through technology: a qualitative exploration of e-commerce strategies.</w:t>
      </w:r>
    </w:p>
    <w:p w14:paraId="77F9DDD3" w14:textId="1EB6669E" w:rsidR="00141A94" w:rsidRDefault="00141A94" w:rsidP="00141A94">
      <w:pPr>
        <w:rPr>
          <w:rFonts w:ascii="Times New Roman" w:hAnsi="Times New Roman" w:cs="Times New Roman"/>
        </w:rPr>
      </w:pPr>
      <w:r w:rsidRPr="00141A94">
        <w:rPr>
          <w:rFonts w:ascii="Times New Roman" w:hAnsi="Times New Roman" w:cs="Times New Roman"/>
          <w:lang w:val="de-DE"/>
        </w:rPr>
        <w:t xml:space="preserve">Hsieh, C., Chen, S., &amp; Huang, C. (2023). </w:t>
      </w:r>
      <w:r w:rsidRPr="00141A94">
        <w:rPr>
          <w:rFonts w:ascii="Times New Roman" w:hAnsi="Times New Roman" w:cs="Times New Roman"/>
        </w:rPr>
        <w:t>Investigating the role of supply chain environmental risk in shaping the nexus of supply chain agility, resilience, and performance.</w:t>
      </w:r>
    </w:p>
    <w:p w14:paraId="416AF38B" w14:textId="4664D0D2" w:rsidR="00141A94" w:rsidRDefault="00141A94" w:rsidP="00141A94">
      <w:pPr>
        <w:rPr>
          <w:rFonts w:ascii="Times New Roman" w:hAnsi="Times New Roman" w:cs="Times New Roman"/>
        </w:rPr>
      </w:pPr>
      <w:r w:rsidRPr="00141A94">
        <w:rPr>
          <w:rFonts w:ascii="Times New Roman" w:hAnsi="Times New Roman" w:cs="Times New Roman"/>
        </w:rPr>
        <w:t>Huq, F. A. and Stevenson, M. (2018). Implementing socially sustainable practices in challenging institutional contexts: building theory from seven developing country supplier cases. Journal of Business Ethics, 161(2), 415-442.</w:t>
      </w:r>
    </w:p>
    <w:p w14:paraId="6FCA0C45" w14:textId="60676406" w:rsidR="00141A94" w:rsidRDefault="00141A94" w:rsidP="00141A94">
      <w:pPr>
        <w:rPr>
          <w:rFonts w:ascii="Times New Roman" w:hAnsi="Times New Roman" w:cs="Times New Roman"/>
        </w:rPr>
      </w:pPr>
      <w:r w:rsidRPr="00141A94">
        <w:rPr>
          <w:rFonts w:ascii="Times New Roman" w:hAnsi="Times New Roman" w:cs="Times New Roman"/>
        </w:rPr>
        <w:t>Johnson, J. E. and Haug, P. (2021). Modifications to global supply chain management strategies resulting from recent trade disruptions: an exploratory study. Journal of Global Operations and Strategic Sourcing, 14(4), 701-722.</w:t>
      </w:r>
    </w:p>
    <w:p w14:paraId="1BB613AE" w14:textId="7F6224BC" w:rsidR="00141A94" w:rsidRDefault="00141A94" w:rsidP="00141A94">
      <w:pPr>
        <w:rPr>
          <w:rFonts w:ascii="Times New Roman" w:hAnsi="Times New Roman" w:cs="Times New Roman"/>
        </w:rPr>
      </w:pPr>
      <w:r w:rsidRPr="00A10F4E">
        <w:rPr>
          <w:rFonts w:ascii="Times New Roman" w:hAnsi="Times New Roman" w:cs="Times New Roman"/>
        </w:rPr>
        <w:t xml:space="preserve">Karl, A. A., </w:t>
      </w:r>
      <w:proofErr w:type="spellStart"/>
      <w:r w:rsidRPr="00A10F4E">
        <w:rPr>
          <w:rFonts w:ascii="Times New Roman" w:hAnsi="Times New Roman" w:cs="Times New Roman"/>
        </w:rPr>
        <w:t>Micheluzzi</w:t>
      </w:r>
      <w:proofErr w:type="spellEnd"/>
      <w:r w:rsidRPr="00A10F4E">
        <w:rPr>
          <w:rFonts w:ascii="Times New Roman" w:hAnsi="Times New Roman" w:cs="Times New Roman"/>
        </w:rPr>
        <w:t xml:space="preserve">, J., Leite, L. R., &amp; Pereira, C. R. (2018). </w:t>
      </w:r>
      <w:r w:rsidRPr="00141A94">
        <w:rPr>
          <w:rFonts w:ascii="Times New Roman" w:hAnsi="Times New Roman" w:cs="Times New Roman"/>
        </w:rPr>
        <w:t>Supply chain resilience and key performance indicators: a systematic literature review. Production, 28(0).</w:t>
      </w:r>
    </w:p>
    <w:p w14:paraId="6A701DF9" w14:textId="568757A4" w:rsidR="00141A94" w:rsidRDefault="00141A94" w:rsidP="00141A94">
      <w:pPr>
        <w:rPr>
          <w:rFonts w:ascii="Times New Roman" w:hAnsi="Times New Roman" w:cs="Times New Roman"/>
        </w:rPr>
      </w:pPr>
      <w:r w:rsidRPr="00A10F4E">
        <w:rPr>
          <w:rFonts w:ascii="Times New Roman" w:hAnsi="Times New Roman" w:cs="Times New Roman"/>
        </w:rPr>
        <w:lastRenderedPageBreak/>
        <w:t xml:space="preserve">Kwak, D., Rodrigues, V. S., Mason, R., Pettit, S., &amp; Beresford, A. K. C. (2018). </w:t>
      </w:r>
      <w:r w:rsidRPr="00141A94">
        <w:rPr>
          <w:rFonts w:ascii="Times New Roman" w:hAnsi="Times New Roman" w:cs="Times New Roman"/>
        </w:rPr>
        <w:t>Risk interaction identification in international supply chain logistics. International Journal of Operations &amp; Production Management, 38(2), 372-389.</w:t>
      </w:r>
    </w:p>
    <w:p w14:paraId="4CE12D86" w14:textId="2114BD0F" w:rsidR="00141A94" w:rsidRDefault="00141A94" w:rsidP="00141A94">
      <w:pPr>
        <w:rPr>
          <w:rFonts w:ascii="Times New Roman" w:hAnsi="Times New Roman" w:cs="Times New Roman"/>
        </w:rPr>
      </w:pPr>
      <w:r w:rsidRPr="00141A94">
        <w:rPr>
          <w:rFonts w:ascii="Times New Roman" w:hAnsi="Times New Roman" w:cs="Times New Roman"/>
        </w:rPr>
        <w:t>Li, X., Chen, J. and Wang, Y. (2021) ‘Supply chain resilience strategies for high-tech manufacturing’, International Journal of Production Research, 59(5), pp. 1472–1488.</w:t>
      </w:r>
    </w:p>
    <w:p w14:paraId="75FF2660" w14:textId="612E67CF" w:rsidR="00141A94" w:rsidRDefault="00141A94" w:rsidP="00141A94">
      <w:pPr>
        <w:rPr>
          <w:rFonts w:ascii="Times New Roman" w:hAnsi="Times New Roman" w:cs="Times New Roman"/>
        </w:rPr>
      </w:pPr>
      <w:r w:rsidRPr="00141A94">
        <w:rPr>
          <w:rFonts w:ascii="Times New Roman" w:hAnsi="Times New Roman" w:cs="Times New Roman"/>
        </w:rPr>
        <w:t xml:space="preserve">Lin, S. (2025). Semiconductors and the great power game: how </w:t>
      </w:r>
      <w:r w:rsidR="00291CFB" w:rsidRPr="00141A94">
        <w:rPr>
          <w:rFonts w:ascii="Times New Roman" w:hAnsi="Times New Roman" w:cs="Times New Roman"/>
        </w:rPr>
        <w:t>Taiwan</w:t>
      </w:r>
      <w:r w:rsidRPr="00141A94">
        <w:rPr>
          <w:rFonts w:ascii="Times New Roman" w:hAnsi="Times New Roman" w:cs="Times New Roman"/>
        </w:rPr>
        <w:t xml:space="preserve"> finds its footing amidst u.s.-</w:t>
      </w:r>
      <w:proofErr w:type="spellStart"/>
      <w:r w:rsidRPr="00141A94">
        <w:rPr>
          <w:rFonts w:ascii="Times New Roman" w:hAnsi="Times New Roman" w:cs="Times New Roman"/>
        </w:rPr>
        <w:t>china</w:t>
      </w:r>
      <w:proofErr w:type="spellEnd"/>
      <w:r w:rsidRPr="00141A94">
        <w:rPr>
          <w:rFonts w:ascii="Times New Roman" w:hAnsi="Times New Roman" w:cs="Times New Roman"/>
        </w:rPr>
        <w:t xml:space="preserve"> tech rivalry. Asian Journal of Social Science Studies, 10(2), 18.</w:t>
      </w:r>
    </w:p>
    <w:p w14:paraId="3A6CEA7D" w14:textId="55075BA1" w:rsidR="00141A94" w:rsidRDefault="00141A94" w:rsidP="00141A94">
      <w:pPr>
        <w:rPr>
          <w:rFonts w:ascii="Times New Roman" w:hAnsi="Times New Roman" w:cs="Times New Roman"/>
        </w:rPr>
      </w:pPr>
      <w:proofErr w:type="spellStart"/>
      <w:r w:rsidRPr="00141A94">
        <w:rPr>
          <w:rFonts w:ascii="Times New Roman" w:hAnsi="Times New Roman" w:cs="Times New Roman"/>
        </w:rPr>
        <w:t>Paché</w:t>
      </w:r>
      <w:proofErr w:type="spellEnd"/>
      <w:r w:rsidRPr="00141A94">
        <w:rPr>
          <w:rFonts w:ascii="Times New Roman" w:hAnsi="Times New Roman" w:cs="Times New Roman"/>
        </w:rPr>
        <w:t xml:space="preserve">, G. (2024). Do tensions in the south </w:t>
      </w:r>
      <w:proofErr w:type="spellStart"/>
      <w:r w:rsidRPr="00141A94">
        <w:rPr>
          <w:rFonts w:ascii="Times New Roman" w:hAnsi="Times New Roman" w:cs="Times New Roman"/>
        </w:rPr>
        <w:t>china</w:t>
      </w:r>
      <w:proofErr w:type="spellEnd"/>
      <w:r w:rsidRPr="00141A94">
        <w:rPr>
          <w:rFonts w:ascii="Times New Roman" w:hAnsi="Times New Roman" w:cs="Times New Roman"/>
        </w:rPr>
        <w:t xml:space="preserve"> sea herald the collapse of global supply chains?. International Journal of Managing Value and Supply Chains, 15(3), 01-12.</w:t>
      </w:r>
    </w:p>
    <w:p w14:paraId="0B06F6AA" w14:textId="4D7509E6" w:rsidR="00141A94" w:rsidRDefault="00141A94" w:rsidP="00141A94">
      <w:pPr>
        <w:rPr>
          <w:rFonts w:ascii="Times New Roman" w:hAnsi="Times New Roman" w:cs="Times New Roman"/>
        </w:rPr>
      </w:pPr>
      <w:r w:rsidRPr="00141A94">
        <w:rPr>
          <w:rFonts w:ascii="Times New Roman" w:hAnsi="Times New Roman" w:cs="Times New Roman"/>
        </w:rPr>
        <w:t xml:space="preserve">Porter, J., Cook, N., </w:t>
      </w:r>
      <w:proofErr w:type="spellStart"/>
      <w:r w:rsidRPr="00141A94">
        <w:rPr>
          <w:rFonts w:ascii="Times New Roman" w:hAnsi="Times New Roman" w:cs="Times New Roman"/>
        </w:rPr>
        <w:t>Coorey</w:t>
      </w:r>
      <w:proofErr w:type="spellEnd"/>
      <w:r w:rsidRPr="00141A94">
        <w:rPr>
          <w:rFonts w:ascii="Times New Roman" w:hAnsi="Times New Roman" w:cs="Times New Roman"/>
        </w:rPr>
        <w:t xml:space="preserve">, R., Gunasekera, D., </w:t>
      </w:r>
      <w:proofErr w:type="spellStart"/>
      <w:r w:rsidRPr="00141A94">
        <w:rPr>
          <w:rFonts w:ascii="Times New Roman" w:hAnsi="Times New Roman" w:cs="Times New Roman"/>
        </w:rPr>
        <w:t>Hensher</w:t>
      </w:r>
      <w:proofErr w:type="spellEnd"/>
      <w:r w:rsidRPr="00141A94">
        <w:rPr>
          <w:rFonts w:ascii="Times New Roman" w:hAnsi="Times New Roman" w:cs="Times New Roman"/>
        </w:rPr>
        <w:t>, M., Kerr, D., … &amp; Lawrence, M. (2022). Innovation in healthy and sustainable food product development for health and aged care: a scoping review. Foods, 11(22), 3604.</w:t>
      </w:r>
    </w:p>
    <w:p w14:paraId="546CD6D6" w14:textId="5D4713E1" w:rsidR="00141A94" w:rsidRDefault="00141A94" w:rsidP="00141A94">
      <w:pPr>
        <w:rPr>
          <w:rFonts w:ascii="Times New Roman" w:hAnsi="Times New Roman" w:cs="Times New Roman"/>
        </w:rPr>
      </w:pPr>
      <w:r w:rsidRPr="00141A94">
        <w:rPr>
          <w:rFonts w:ascii="Times New Roman" w:hAnsi="Times New Roman" w:cs="Times New Roman"/>
        </w:rPr>
        <w:t>Ramanathan, U., Aluko, O., &amp; Ramanathan, R. (2021). Supply chain resilience and business responses to disruptions of the covid-19 pandemic. Benchmarking: An International Journal, 29(7), 2275-2290.</w:t>
      </w:r>
    </w:p>
    <w:p w14:paraId="4B4E0A90" w14:textId="1318C99E" w:rsidR="00141A94" w:rsidRDefault="00141A94" w:rsidP="00141A94">
      <w:pPr>
        <w:rPr>
          <w:rFonts w:ascii="Times New Roman" w:hAnsi="Times New Roman" w:cs="Times New Roman"/>
        </w:rPr>
      </w:pPr>
      <w:r w:rsidRPr="00141A94">
        <w:rPr>
          <w:rFonts w:ascii="Times New Roman" w:hAnsi="Times New Roman" w:cs="Times New Roman"/>
        </w:rPr>
        <w:t>Roscoe, S., Aktaş, E., Petersen, K. J., Skipworth, H., Handfield, R., &amp; Habib, F. (2022). Redesigning global supply chains during compounding geopolitical disruptions: the role of supply chain logics. International Journal of Operations &amp; Production Management, 42(9)</w:t>
      </w:r>
      <w:r>
        <w:rPr>
          <w:rFonts w:ascii="Times New Roman" w:hAnsi="Times New Roman" w:cs="Times New Roman"/>
        </w:rPr>
        <w:t>.</w:t>
      </w:r>
    </w:p>
    <w:p w14:paraId="21AADB17" w14:textId="394D5F0B" w:rsidR="00141A94" w:rsidRDefault="00141A94" w:rsidP="00141A94">
      <w:pPr>
        <w:rPr>
          <w:rFonts w:ascii="Times New Roman" w:hAnsi="Times New Roman" w:cs="Times New Roman"/>
        </w:rPr>
      </w:pPr>
      <w:r w:rsidRPr="00141A94">
        <w:rPr>
          <w:rFonts w:ascii="Times New Roman" w:hAnsi="Times New Roman" w:cs="Times New Roman"/>
        </w:rPr>
        <w:t>Umar, M. and Wilson, M. M. J. (2023). Inherent and adaptive resilience of logistics operations in food supply chains. Journal of Business Logistics, 45(1).</w:t>
      </w:r>
    </w:p>
    <w:p w14:paraId="12170C7A" w14:textId="19EE45C0" w:rsidR="00141A94" w:rsidRDefault="00141A94" w:rsidP="00141A94">
      <w:pPr>
        <w:rPr>
          <w:rFonts w:ascii="Times New Roman" w:hAnsi="Times New Roman" w:cs="Times New Roman"/>
        </w:rPr>
      </w:pPr>
      <w:r w:rsidRPr="00141A94">
        <w:rPr>
          <w:rFonts w:ascii="Times New Roman" w:hAnsi="Times New Roman" w:cs="Times New Roman"/>
        </w:rPr>
        <w:t>Venkatesh, V. G., Zhang, A., Deakins, E., &amp; Mani, V. (2020). Drivers of sub-supplier social sustainability compliance: an emerging economy perspective. Supply Chain Management: An International Journal, 25(6), 655-677.</w:t>
      </w:r>
    </w:p>
    <w:p w14:paraId="6429C1D3" w14:textId="37DFE030" w:rsidR="00141A94" w:rsidRDefault="00141A94" w:rsidP="00141A94">
      <w:pPr>
        <w:rPr>
          <w:rFonts w:ascii="Times New Roman" w:hAnsi="Times New Roman" w:cs="Times New Roman"/>
        </w:rPr>
      </w:pPr>
      <w:r w:rsidRPr="00141A94">
        <w:rPr>
          <w:rFonts w:ascii="Times New Roman" w:hAnsi="Times New Roman" w:cs="Times New Roman"/>
        </w:rPr>
        <w:t>We, Z. (2024). Strategic innovations in apple's supply chain management: objectives, methods, and strategies for navigating global market challenges. Advances in Economics, Management and Political Sciences, 113(1), 9-16.</w:t>
      </w:r>
    </w:p>
    <w:p w14:paraId="2EDB3A7D" w14:textId="3A33749D" w:rsidR="00141A94" w:rsidRDefault="00141A94" w:rsidP="00141A94">
      <w:pPr>
        <w:rPr>
          <w:rFonts w:ascii="Times New Roman" w:hAnsi="Times New Roman" w:cs="Times New Roman"/>
        </w:rPr>
      </w:pPr>
      <w:r w:rsidRPr="00141A94">
        <w:rPr>
          <w:rFonts w:ascii="Times New Roman" w:hAnsi="Times New Roman" w:cs="Times New Roman"/>
        </w:rPr>
        <w:t>Yang, S. (2025). Managing supply chain disruption risks through supply chain finance: strategic and governance perspectives from the covid-19 pandemic.</w:t>
      </w:r>
    </w:p>
    <w:p w14:paraId="192AF17D" w14:textId="0B22EE9C" w:rsidR="00141A94" w:rsidRDefault="00141A94" w:rsidP="00141A94">
      <w:pPr>
        <w:rPr>
          <w:rFonts w:ascii="Times New Roman" w:hAnsi="Times New Roman" w:cs="Times New Roman"/>
        </w:rPr>
      </w:pPr>
      <w:r w:rsidRPr="00141A94">
        <w:rPr>
          <w:rFonts w:ascii="Times New Roman" w:hAnsi="Times New Roman" w:cs="Times New Roman"/>
        </w:rPr>
        <w:lastRenderedPageBreak/>
        <w:t>Zheng, M., Cui, N., Zhang, Y., Zhang, F., &amp; Shi, V. (2023). Inventory policies and supply chain coordination under logistics route disruption risks. Sustainability, 15(13), 10093.</w:t>
      </w:r>
    </w:p>
    <w:p w14:paraId="71EC8613" w14:textId="77777777" w:rsidR="00141A94" w:rsidRDefault="00141A94" w:rsidP="00141A94">
      <w:pPr>
        <w:rPr>
          <w:rFonts w:ascii="Times New Roman" w:hAnsi="Times New Roman" w:cs="Times New Roman"/>
        </w:rPr>
      </w:pPr>
    </w:p>
    <w:p w14:paraId="4C250E3D" w14:textId="77777777" w:rsidR="00141A94" w:rsidRPr="00141A94" w:rsidRDefault="00141A94" w:rsidP="00141A94">
      <w:pPr>
        <w:rPr>
          <w:rFonts w:ascii="Times New Roman" w:hAnsi="Times New Roman" w:cs="Times New Roman"/>
        </w:rPr>
      </w:pPr>
    </w:p>
    <w:sectPr w:rsidR="00141A94" w:rsidRPr="00141A94" w:rsidSect="00D23378">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9D86E" w14:textId="77777777" w:rsidR="00FE08C9" w:rsidRDefault="00FE08C9" w:rsidP="00320071">
      <w:pPr>
        <w:spacing w:after="0" w:line="240" w:lineRule="auto"/>
      </w:pPr>
      <w:r>
        <w:separator/>
      </w:r>
    </w:p>
  </w:endnote>
  <w:endnote w:type="continuationSeparator" w:id="0">
    <w:p w14:paraId="702531D0" w14:textId="77777777" w:rsidR="00FE08C9" w:rsidRDefault="00FE08C9" w:rsidP="0032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10764"/>
      <w:docPartObj>
        <w:docPartGallery w:val="Page Numbers (Bottom of Page)"/>
        <w:docPartUnique/>
      </w:docPartObj>
    </w:sdtPr>
    <w:sdtContent>
      <w:p w14:paraId="093AE379" w14:textId="73E96478" w:rsidR="00320071" w:rsidRDefault="00320071">
        <w:pPr>
          <w:pStyle w:val="Footer"/>
          <w:jc w:val="center"/>
        </w:pPr>
        <w:r>
          <w:fldChar w:fldCharType="begin"/>
        </w:r>
        <w:r>
          <w:instrText>PAGE   \* MERGEFORMAT</w:instrText>
        </w:r>
        <w:r>
          <w:fldChar w:fldCharType="separate"/>
        </w:r>
        <w:r>
          <w:t>2</w:t>
        </w:r>
        <w:r>
          <w:fldChar w:fldCharType="end"/>
        </w:r>
      </w:p>
    </w:sdtContent>
  </w:sdt>
  <w:p w14:paraId="2EAE5941" w14:textId="77777777" w:rsidR="00320071" w:rsidRDefault="00320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59738" w14:textId="77777777" w:rsidR="00FE08C9" w:rsidRDefault="00FE08C9" w:rsidP="00320071">
      <w:pPr>
        <w:spacing w:after="0" w:line="240" w:lineRule="auto"/>
      </w:pPr>
      <w:r>
        <w:separator/>
      </w:r>
    </w:p>
  </w:footnote>
  <w:footnote w:type="continuationSeparator" w:id="0">
    <w:p w14:paraId="4E42C322" w14:textId="77777777" w:rsidR="00FE08C9" w:rsidRDefault="00FE08C9" w:rsidP="00320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DAE"/>
    <w:multiLevelType w:val="hybridMultilevel"/>
    <w:tmpl w:val="81589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2277D"/>
    <w:multiLevelType w:val="hybridMultilevel"/>
    <w:tmpl w:val="7A3A7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4299B"/>
    <w:multiLevelType w:val="multilevel"/>
    <w:tmpl w:val="A868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33DF8"/>
    <w:multiLevelType w:val="multilevel"/>
    <w:tmpl w:val="04A0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D1EB3"/>
    <w:multiLevelType w:val="multilevel"/>
    <w:tmpl w:val="F6E40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D27B6"/>
    <w:multiLevelType w:val="hybridMultilevel"/>
    <w:tmpl w:val="7922A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E4BFD"/>
    <w:multiLevelType w:val="multilevel"/>
    <w:tmpl w:val="C37E4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22748F"/>
    <w:multiLevelType w:val="hybridMultilevel"/>
    <w:tmpl w:val="91FCE24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74137E"/>
    <w:multiLevelType w:val="hybridMultilevel"/>
    <w:tmpl w:val="B322D33E"/>
    <w:lvl w:ilvl="0" w:tplc="67DCB908">
      <w:start w:val="1"/>
      <w:numFmt w:val="decimal"/>
      <w:lvlText w:val="%1."/>
      <w:lvlJc w:val="left"/>
      <w:pPr>
        <w:ind w:left="4330" w:hanging="360"/>
      </w:pPr>
      <w:rPr>
        <w:rFonts w:asciiTheme="majorHAnsi" w:eastAsiaTheme="majorEastAsia" w:hAnsiTheme="majorHAnsi" w:cstheme="majorBid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7136C6"/>
    <w:multiLevelType w:val="hybridMultilevel"/>
    <w:tmpl w:val="F95E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6828"/>
    <w:multiLevelType w:val="multilevel"/>
    <w:tmpl w:val="18D4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4B6F38E4"/>
    <w:multiLevelType w:val="multilevel"/>
    <w:tmpl w:val="659C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F22AC"/>
    <w:multiLevelType w:val="multilevel"/>
    <w:tmpl w:val="8F12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442418"/>
    <w:multiLevelType w:val="multilevel"/>
    <w:tmpl w:val="C7246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E60BFE"/>
    <w:multiLevelType w:val="hybridMultilevel"/>
    <w:tmpl w:val="81DC5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7457F"/>
    <w:multiLevelType w:val="hybridMultilevel"/>
    <w:tmpl w:val="DB1A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645F99"/>
    <w:multiLevelType w:val="hybridMultilevel"/>
    <w:tmpl w:val="9F62E70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F5D4005"/>
    <w:multiLevelType w:val="hybridMultilevel"/>
    <w:tmpl w:val="BAB8C53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9D50CE"/>
    <w:multiLevelType w:val="multilevel"/>
    <w:tmpl w:val="747E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AA1F69"/>
    <w:multiLevelType w:val="hybridMultilevel"/>
    <w:tmpl w:val="B3A2DD72"/>
    <w:lvl w:ilvl="0" w:tplc="8D708F2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1" w15:restartNumberingAfterBreak="0">
    <w:nsid w:val="6B585FF7"/>
    <w:multiLevelType w:val="hybridMultilevel"/>
    <w:tmpl w:val="7E340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D25042"/>
    <w:multiLevelType w:val="hybridMultilevel"/>
    <w:tmpl w:val="7450B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6459E4"/>
    <w:multiLevelType w:val="hybridMultilevel"/>
    <w:tmpl w:val="C1902F10"/>
    <w:lvl w:ilvl="0" w:tplc="ACDCFE0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77BC2B74"/>
    <w:multiLevelType w:val="multilevel"/>
    <w:tmpl w:val="8094378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267660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6376513">
    <w:abstractNumId w:val="8"/>
  </w:num>
  <w:num w:numId="3" w16cid:durableId="79256657">
    <w:abstractNumId w:val="6"/>
  </w:num>
  <w:num w:numId="4" w16cid:durableId="1592275885">
    <w:abstractNumId w:val="9"/>
  </w:num>
  <w:num w:numId="5" w16cid:durableId="13390269">
    <w:abstractNumId w:val="4"/>
  </w:num>
  <w:num w:numId="6" w16cid:durableId="699090253">
    <w:abstractNumId w:val="15"/>
  </w:num>
  <w:num w:numId="7" w16cid:durableId="740251258">
    <w:abstractNumId w:val="17"/>
  </w:num>
  <w:num w:numId="8" w16cid:durableId="2126802064">
    <w:abstractNumId w:val="24"/>
  </w:num>
  <w:num w:numId="9" w16cid:durableId="706104676">
    <w:abstractNumId w:val="14"/>
  </w:num>
  <w:num w:numId="10" w16cid:durableId="1299526765">
    <w:abstractNumId w:val="2"/>
  </w:num>
  <w:num w:numId="11" w16cid:durableId="1341739709">
    <w:abstractNumId w:val="18"/>
  </w:num>
  <w:num w:numId="12" w16cid:durableId="826746161">
    <w:abstractNumId w:val="3"/>
  </w:num>
  <w:num w:numId="13" w16cid:durableId="1744182538">
    <w:abstractNumId w:val="7"/>
  </w:num>
  <w:num w:numId="14" w16cid:durableId="205410661">
    <w:abstractNumId w:val="19"/>
  </w:num>
  <w:num w:numId="15" w16cid:durableId="1526946887">
    <w:abstractNumId w:val="13"/>
  </w:num>
  <w:num w:numId="16" w16cid:durableId="1410345151">
    <w:abstractNumId w:val="23"/>
  </w:num>
  <w:num w:numId="17" w16cid:durableId="1892960566">
    <w:abstractNumId w:val="10"/>
  </w:num>
  <w:num w:numId="18" w16cid:durableId="823934934">
    <w:abstractNumId w:val="12"/>
  </w:num>
  <w:num w:numId="19" w16cid:durableId="364643959">
    <w:abstractNumId w:val="22"/>
  </w:num>
  <w:num w:numId="20" w16cid:durableId="1016158376">
    <w:abstractNumId w:val="16"/>
  </w:num>
  <w:num w:numId="21" w16cid:durableId="1583370061">
    <w:abstractNumId w:val="1"/>
  </w:num>
  <w:num w:numId="22" w16cid:durableId="671951981">
    <w:abstractNumId w:val="0"/>
  </w:num>
  <w:num w:numId="23" w16cid:durableId="962925633">
    <w:abstractNumId w:val="21"/>
  </w:num>
  <w:num w:numId="24" w16cid:durableId="742874045">
    <w:abstractNumId w:val="11"/>
  </w:num>
  <w:num w:numId="25" w16cid:durableId="10991337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3C3"/>
    <w:rsid w:val="00017F20"/>
    <w:rsid w:val="00065890"/>
    <w:rsid w:val="00075EC7"/>
    <w:rsid w:val="0008130F"/>
    <w:rsid w:val="000A1FA8"/>
    <w:rsid w:val="000D75BC"/>
    <w:rsid w:val="000E120E"/>
    <w:rsid w:val="00100017"/>
    <w:rsid w:val="001101FB"/>
    <w:rsid w:val="0013394D"/>
    <w:rsid w:val="00141A94"/>
    <w:rsid w:val="00166051"/>
    <w:rsid w:val="001A5264"/>
    <w:rsid w:val="001E397E"/>
    <w:rsid w:val="001E3ED5"/>
    <w:rsid w:val="00201C39"/>
    <w:rsid w:val="002040D5"/>
    <w:rsid w:val="00233AAC"/>
    <w:rsid w:val="00235FC4"/>
    <w:rsid w:val="00266ED1"/>
    <w:rsid w:val="0029005B"/>
    <w:rsid w:val="00291CFB"/>
    <w:rsid w:val="002A0A0A"/>
    <w:rsid w:val="002B5221"/>
    <w:rsid w:val="002E28B6"/>
    <w:rsid w:val="00320071"/>
    <w:rsid w:val="00327466"/>
    <w:rsid w:val="00346784"/>
    <w:rsid w:val="003539EF"/>
    <w:rsid w:val="0036397E"/>
    <w:rsid w:val="003765F3"/>
    <w:rsid w:val="00382AC1"/>
    <w:rsid w:val="003839C7"/>
    <w:rsid w:val="00384EDC"/>
    <w:rsid w:val="003B0A34"/>
    <w:rsid w:val="003D155E"/>
    <w:rsid w:val="003F68C5"/>
    <w:rsid w:val="004005E5"/>
    <w:rsid w:val="00426E60"/>
    <w:rsid w:val="00431602"/>
    <w:rsid w:val="00450121"/>
    <w:rsid w:val="00455EB0"/>
    <w:rsid w:val="0046284C"/>
    <w:rsid w:val="00482A47"/>
    <w:rsid w:val="004862AD"/>
    <w:rsid w:val="004877C5"/>
    <w:rsid w:val="0048786D"/>
    <w:rsid w:val="004879E8"/>
    <w:rsid w:val="00491F80"/>
    <w:rsid w:val="004E485F"/>
    <w:rsid w:val="00516701"/>
    <w:rsid w:val="00527014"/>
    <w:rsid w:val="005332E1"/>
    <w:rsid w:val="005547F0"/>
    <w:rsid w:val="005A4C77"/>
    <w:rsid w:val="005A5A66"/>
    <w:rsid w:val="005A6580"/>
    <w:rsid w:val="005A67E8"/>
    <w:rsid w:val="005D0FEC"/>
    <w:rsid w:val="005D2EAC"/>
    <w:rsid w:val="005D3891"/>
    <w:rsid w:val="005E0ADF"/>
    <w:rsid w:val="006020E4"/>
    <w:rsid w:val="00606B8B"/>
    <w:rsid w:val="00607542"/>
    <w:rsid w:val="00644ABC"/>
    <w:rsid w:val="006571CC"/>
    <w:rsid w:val="00680BB1"/>
    <w:rsid w:val="006C233A"/>
    <w:rsid w:val="006D1F1A"/>
    <w:rsid w:val="006F244B"/>
    <w:rsid w:val="006F3235"/>
    <w:rsid w:val="006F3755"/>
    <w:rsid w:val="00712328"/>
    <w:rsid w:val="00712D87"/>
    <w:rsid w:val="00713C22"/>
    <w:rsid w:val="00715875"/>
    <w:rsid w:val="00753388"/>
    <w:rsid w:val="007619C2"/>
    <w:rsid w:val="007874A3"/>
    <w:rsid w:val="007A0687"/>
    <w:rsid w:val="007C64C5"/>
    <w:rsid w:val="007D088B"/>
    <w:rsid w:val="007D5CF1"/>
    <w:rsid w:val="007F355B"/>
    <w:rsid w:val="00822C27"/>
    <w:rsid w:val="008706C8"/>
    <w:rsid w:val="00874E2B"/>
    <w:rsid w:val="00880C29"/>
    <w:rsid w:val="008955EE"/>
    <w:rsid w:val="008B40A0"/>
    <w:rsid w:val="008D7505"/>
    <w:rsid w:val="008F3DB0"/>
    <w:rsid w:val="00906F1B"/>
    <w:rsid w:val="009114D1"/>
    <w:rsid w:val="009213BA"/>
    <w:rsid w:val="00922AD7"/>
    <w:rsid w:val="00923A2E"/>
    <w:rsid w:val="00925959"/>
    <w:rsid w:val="00933467"/>
    <w:rsid w:val="0095113A"/>
    <w:rsid w:val="00962C17"/>
    <w:rsid w:val="00970BFC"/>
    <w:rsid w:val="00980C74"/>
    <w:rsid w:val="00981FF5"/>
    <w:rsid w:val="00987F4A"/>
    <w:rsid w:val="009A1298"/>
    <w:rsid w:val="009B3A5B"/>
    <w:rsid w:val="009B5569"/>
    <w:rsid w:val="009B668D"/>
    <w:rsid w:val="009C4B58"/>
    <w:rsid w:val="009D065C"/>
    <w:rsid w:val="009D61B1"/>
    <w:rsid w:val="009E2023"/>
    <w:rsid w:val="009E61EC"/>
    <w:rsid w:val="00A044CC"/>
    <w:rsid w:val="00A10F4E"/>
    <w:rsid w:val="00A32F66"/>
    <w:rsid w:val="00A34E44"/>
    <w:rsid w:val="00AD3B7E"/>
    <w:rsid w:val="00AD41D7"/>
    <w:rsid w:val="00AE0223"/>
    <w:rsid w:val="00AE0EA1"/>
    <w:rsid w:val="00B222AD"/>
    <w:rsid w:val="00B37CEE"/>
    <w:rsid w:val="00B44BCA"/>
    <w:rsid w:val="00B4682E"/>
    <w:rsid w:val="00B46DCB"/>
    <w:rsid w:val="00B53F78"/>
    <w:rsid w:val="00BB2C44"/>
    <w:rsid w:val="00BB53C3"/>
    <w:rsid w:val="00BC7F97"/>
    <w:rsid w:val="00BF5FF1"/>
    <w:rsid w:val="00C06F89"/>
    <w:rsid w:val="00C121E9"/>
    <w:rsid w:val="00C20E6F"/>
    <w:rsid w:val="00C2495B"/>
    <w:rsid w:val="00C93E8C"/>
    <w:rsid w:val="00CB6018"/>
    <w:rsid w:val="00CF0E6A"/>
    <w:rsid w:val="00CF41DA"/>
    <w:rsid w:val="00CF45D1"/>
    <w:rsid w:val="00D23378"/>
    <w:rsid w:val="00D57E84"/>
    <w:rsid w:val="00D76422"/>
    <w:rsid w:val="00D86581"/>
    <w:rsid w:val="00D93232"/>
    <w:rsid w:val="00DA2531"/>
    <w:rsid w:val="00DA319D"/>
    <w:rsid w:val="00DB422E"/>
    <w:rsid w:val="00DB6AF3"/>
    <w:rsid w:val="00DD658C"/>
    <w:rsid w:val="00DE3EB4"/>
    <w:rsid w:val="00E15670"/>
    <w:rsid w:val="00E72B86"/>
    <w:rsid w:val="00E82C86"/>
    <w:rsid w:val="00EA6922"/>
    <w:rsid w:val="00ED5542"/>
    <w:rsid w:val="00ED5F83"/>
    <w:rsid w:val="00EE4BE0"/>
    <w:rsid w:val="00F2588E"/>
    <w:rsid w:val="00F35FE0"/>
    <w:rsid w:val="00F40E8B"/>
    <w:rsid w:val="00F42781"/>
    <w:rsid w:val="00F44A48"/>
    <w:rsid w:val="00F46BB6"/>
    <w:rsid w:val="00F52FCA"/>
    <w:rsid w:val="00F60775"/>
    <w:rsid w:val="00F64679"/>
    <w:rsid w:val="00F70DE8"/>
    <w:rsid w:val="00F928A8"/>
    <w:rsid w:val="00F968F8"/>
    <w:rsid w:val="00FB7CBB"/>
    <w:rsid w:val="00FE08C9"/>
    <w:rsid w:val="00FF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19B34"/>
  <w15:chartTrackingRefBased/>
  <w15:docId w15:val="{FF94D491-A7AA-454F-9BA4-C62E2F16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3C3"/>
    <w:rPr>
      <w:rFonts w:eastAsiaTheme="majorEastAsia" w:cstheme="majorBidi"/>
      <w:color w:val="272727" w:themeColor="text1" w:themeTint="D8"/>
    </w:rPr>
  </w:style>
  <w:style w:type="paragraph" w:styleId="Title">
    <w:name w:val="Title"/>
    <w:basedOn w:val="Normal"/>
    <w:next w:val="Normal"/>
    <w:link w:val="TitleChar"/>
    <w:uiPriority w:val="10"/>
    <w:qFormat/>
    <w:rsid w:val="00BB5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3C3"/>
    <w:pPr>
      <w:spacing w:before="160"/>
      <w:jc w:val="center"/>
    </w:pPr>
    <w:rPr>
      <w:i/>
      <w:iCs/>
      <w:color w:val="404040" w:themeColor="text1" w:themeTint="BF"/>
    </w:rPr>
  </w:style>
  <w:style w:type="character" w:customStyle="1" w:styleId="QuoteChar">
    <w:name w:val="Quote Char"/>
    <w:basedOn w:val="DefaultParagraphFont"/>
    <w:link w:val="Quote"/>
    <w:uiPriority w:val="29"/>
    <w:rsid w:val="00BB53C3"/>
    <w:rPr>
      <w:i/>
      <w:iCs/>
      <w:color w:val="404040" w:themeColor="text1" w:themeTint="BF"/>
    </w:rPr>
  </w:style>
  <w:style w:type="paragraph" w:styleId="ListParagraph">
    <w:name w:val="List Paragraph"/>
    <w:basedOn w:val="Normal"/>
    <w:uiPriority w:val="34"/>
    <w:qFormat/>
    <w:rsid w:val="00BB53C3"/>
    <w:pPr>
      <w:ind w:left="720"/>
      <w:contextualSpacing/>
    </w:pPr>
  </w:style>
  <w:style w:type="character" w:styleId="IntenseEmphasis">
    <w:name w:val="Intense Emphasis"/>
    <w:basedOn w:val="DefaultParagraphFont"/>
    <w:uiPriority w:val="21"/>
    <w:qFormat/>
    <w:rsid w:val="00BB53C3"/>
    <w:rPr>
      <w:i/>
      <w:iCs/>
      <w:color w:val="0F4761" w:themeColor="accent1" w:themeShade="BF"/>
    </w:rPr>
  </w:style>
  <w:style w:type="paragraph" w:styleId="IntenseQuote">
    <w:name w:val="Intense Quote"/>
    <w:basedOn w:val="Normal"/>
    <w:next w:val="Normal"/>
    <w:link w:val="IntenseQuoteChar"/>
    <w:uiPriority w:val="30"/>
    <w:qFormat/>
    <w:rsid w:val="00BB5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3C3"/>
    <w:rPr>
      <w:i/>
      <w:iCs/>
      <w:color w:val="0F4761" w:themeColor="accent1" w:themeShade="BF"/>
    </w:rPr>
  </w:style>
  <w:style w:type="character" w:styleId="IntenseReference">
    <w:name w:val="Intense Reference"/>
    <w:basedOn w:val="DefaultParagraphFont"/>
    <w:uiPriority w:val="32"/>
    <w:qFormat/>
    <w:rsid w:val="00BB53C3"/>
    <w:rPr>
      <w:b/>
      <w:bCs/>
      <w:smallCaps/>
      <w:color w:val="0F4761" w:themeColor="accent1" w:themeShade="BF"/>
      <w:spacing w:val="5"/>
    </w:rPr>
  </w:style>
  <w:style w:type="paragraph" w:styleId="Header">
    <w:name w:val="header"/>
    <w:basedOn w:val="Normal"/>
    <w:link w:val="HeaderChar"/>
    <w:uiPriority w:val="99"/>
    <w:unhideWhenUsed/>
    <w:rsid w:val="00320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071"/>
  </w:style>
  <w:style w:type="paragraph" w:styleId="Footer">
    <w:name w:val="footer"/>
    <w:basedOn w:val="Normal"/>
    <w:link w:val="FooterChar"/>
    <w:uiPriority w:val="99"/>
    <w:unhideWhenUsed/>
    <w:rsid w:val="00320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071"/>
  </w:style>
  <w:style w:type="paragraph" w:styleId="TOCHeading">
    <w:name w:val="TOC Heading"/>
    <w:basedOn w:val="Heading1"/>
    <w:next w:val="Normal"/>
    <w:uiPriority w:val="39"/>
    <w:unhideWhenUsed/>
    <w:qFormat/>
    <w:rsid w:val="0032007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20071"/>
    <w:pPr>
      <w:spacing w:after="100"/>
    </w:pPr>
  </w:style>
  <w:style w:type="character" w:styleId="Hyperlink">
    <w:name w:val="Hyperlink"/>
    <w:basedOn w:val="DefaultParagraphFont"/>
    <w:uiPriority w:val="99"/>
    <w:unhideWhenUsed/>
    <w:rsid w:val="00320071"/>
    <w:rPr>
      <w:color w:val="467886" w:themeColor="hyperlink"/>
      <w:u w:val="single"/>
    </w:rPr>
  </w:style>
  <w:style w:type="paragraph" w:styleId="NormalWeb">
    <w:name w:val="Normal (Web)"/>
    <w:basedOn w:val="Normal"/>
    <w:uiPriority w:val="99"/>
    <w:unhideWhenUsed/>
    <w:rsid w:val="00981F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55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5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6154">
      <w:bodyDiv w:val="1"/>
      <w:marLeft w:val="0"/>
      <w:marRight w:val="0"/>
      <w:marTop w:val="0"/>
      <w:marBottom w:val="0"/>
      <w:divBdr>
        <w:top w:val="none" w:sz="0" w:space="0" w:color="auto"/>
        <w:left w:val="none" w:sz="0" w:space="0" w:color="auto"/>
        <w:bottom w:val="none" w:sz="0" w:space="0" w:color="auto"/>
        <w:right w:val="none" w:sz="0" w:space="0" w:color="auto"/>
      </w:divBdr>
    </w:div>
    <w:div w:id="172259403">
      <w:bodyDiv w:val="1"/>
      <w:marLeft w:val="0"/>
      <w:marRight w:val="0"/>
      <w:marTop w:val="0"/>
      <w:marBottom w:val="0"/>
      <w:divBdr>
        <w:top w:val="none" w:sz="0" w:space="0" w:color="auto"/>
        <w:left w:val="none" w:sz="0" w:space="0" w:color="auto"/>
        <w:bottom w:val="none" w:sz="0" w:space="0" w:color="auto"/>
        <w:right w:val="none" w:sz="0" w:space="0" w:color="auto"/>
      </w:divBdr>
    </w:div>
    <w:div w:id="218977387">
      <w:bodyDiv w:val="1"/>
      <w:marLeft w:val="0"/>
      <w:marRight w:val="0"/>
      <w:marTop w:val="0"/>
      <w:marBottom w:val="0"/>
      <w:divBdr>
        <w:top w:val="none" w:sz="0" w:space="0" w:color="auto"/>
        <w:left w:val="none" w:sz="0" w:space="0" w:color="auto"/>
        <w:bottom w:val="none" w:sz="0" w:space="0" w:color="auto"/>
        <w:right w:val="none" w:sz="0" w:space="0" w:color="auto"/>
      </w:divBdr>
    </w:div>
    <w:div w:id="247157207">
      <w:bodyDiv w:val="1"/>
      <w:marLeft w:val="0"/>
      <w:marRight w:val="0"/>
      <w:marTop w:val="0"/>
      <w:marBottom w:val="0"/>
      <w:divBdr>
        <w:top w:val="none" w:sz="0" w:space="0" w:color="auto"/>
        <w:left w:val="none" w:sz="0" w:space="0" w:color="auto"/>
        <w:bottom w:val="none" w:sz="0" w:space="0" w:color="auto"/>
        <w:right w:val="none" w:sz="0" w:space="0" w:color="auto"/>
      </w:divBdr>
    </w:div>
    <w:div w:id="274798691">
      <w:bodyDiv w:val="1"/>
      <w:marLeft w:val="0"/>
      <w:marRight w:val="0"/>
      <w:marTop w:val="0"/>
      <w:marBottom w:val="0"/>
      <w:divBdr>
        <w:top w:val="none" w:sz="0" w:space="0" w:color="auto"/>
        <w:left w:val="none" w:sz="0" w:space="0" w:color="auto"/>
        <w:bottom w:val="none" w:sz="0" w:space="0" w:color="auto"/>
        <w:right w:val="none" w:sz="0" w:space="0" w:color="auto"/>
      </w:divBdr>
    </w:div>
    <w:div w:id="324475780">
      <w:bodyDiv w:val="1"/>
      <w:marLeft w:val="0"/>
      <w:marRight w:val="0"/>
      <w:marTop w:val="0"/>
      <w:marBottom w:val="0"/>
      <w:divBdr>
        <w:top w:val="none" w:sz="0" w:space="0" w:color="auto"/>
        <w:left w:val="none" w:sz="0" w:space="0" w:color="auto"/>
        <w:bottom w:val="none" w:sz="0" w:space="0" w:color="auto"/>
        <w:right w:val="none" w:sz="0" w:space="0" w:color="auto"/>
      </w:divBdr>
    </w:div>
    <w:div w:id="362679262">
      <w:bodyDiv w:val="1"/>
      <w:marLeft w:val="0"/>
      <w:marRight w:val="0"/>
      <w:marTop w:val="0"/>
      <w:marBottom w:val="0"/>
      <w:divBdr>
        <w:top w:val="none" w:sz="0" w:space="0" w:color="auto"/>
        <w:left w:val="none" w:sz="0" w:space="0" w:color="auto"/>
        <w:bottom w:val="none" w:sz="0" w:space="0" w:color="auto"/>
        <w:right w:val="none" w:sz="0" w:space="0" w:color="auto"/>
      </w:divBdr>
    </w:div>
    <w:div w:id="379013899">
      <w:bodyDiv w:val="1"/>
      <w:marLeft w:val="0"/>
      <w:marRight w:val="0"/>
      <w:marTop w:val="0"/>
      <w:marBottom w:val="0"/>
      <w:divBdr>
        <w:top w:val="none" w:sz="0" w:space="0" w:color="auto"/>
        <w:left w:val="none" w:sz="0" w:space="0" w:color="auto"/>
        <w:bottom w:val="none" w:sz="0" w:space="0" w:color="auto"/>
        <w:right w:val="none" w:sz="0" w:space="0" w:color="auto"/>
      </w:divBdr>
    </w:div>
    <w:div w:id="425075043">
      <w:bodyDiv w:val="1"/>
      <w:marLeft w:val="0"/>
      <w:marRight w:val="0"/>
      <w:marTop w:val="0"/>
      <w:marBottom w:val="0"/>
      <w:divBdr>
        <w:top w:val="none" w:sz="0" w:space="0" w:color="auto"/>
        <w:left w:val="none" w:sz="0" w:space="0" w:color="auto"/>
        <w:bottom w:val="none" w:sz="0" w:space="0" w:color="auto"/>
        <w:right w:val="none" w:sz="0" w:space="0" w:color="auto"/>
      </w:divBdr>
      <w:divsChild>
        <w:div w:id="544945587">
          <w:marLeft w:val="0"/>
          <w:marRight w:val="0"/>
          <w:marTop w:val="0"/>
          <w:marBottom w:val="0"/>
          <w:divBdr>
            <w:top w:val="none" w:sz="0" w:space="0" w:color="auto"/>
            <w:left w:val="none" w:sz="0" w:space="0" w:color="auto"/>
            <w:bottom w:val="none" w:sz="0" w:space="0" w:color="auto"/>
            <w:right w:val="none" w:sz="0" w:space="0" w:color="auto"/>
          </w:divBdr>
          <w:divsChild>
            <w:div w:id="947588444">
              <w:marLeft w:val="0"/>
              <w:marRight w:val="0"/>
              <w:marTop w:val="0"/>
              <w:marBottom w:val="0"/>
              <w:divBdr>
                <w:top w:val="none" w:sz="0" w:space="0" w:color="auto"/>
                <w:left w:val="none" w:sz="0" w:space="0" w:color="auto"/>
                <w:bottom w:val="none" w:sz="0" w:space="0" w:color="auto"/>
                <w:right w:val="none" w:sz="0" w:space="0" w:color="auto"/>
              </w:divBdr>
              <w:divsChild>
                <w:div w:id="11819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73242">
          <w:marLeft w:val="0"/>
          <w:marRight w:val="0"/>
          <w:marTop w:val="0"/>
          <w:marBottom w:val="0"/>
          <w:divBdr>
            <w:top w:val="none" w:sz="0" w:space="0" w:color="auto"/>
            <w:left w:val="none" w:sz="0" w:space="0" w:color="auto"/>
            <w:bottom w:val="none" w:sz="0" w:space="0" w:color="auto"/>
            <w:right w:val="none" w:sz="0" w:space="0" w:color="auto"/>
          </w:divBdr>
          <w:divsChild>
            <w:div w:id="20056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0616">
      <w:bodyDiv w:val="1"/>
      <w:marLeft w:val="0"/>
      <w:marRight w:val="0"/>
      <w:marTop w:val="0"/>
      <w:marBottom w:val="0"/>
      <w:divBdr>
        <w:top w:val="none" w:sz="0" w:space="0" w:color="auto"/>
        <w:left w:val="none" w:sz="0" w:space="0" w:color="auto"/>
        <w:bottom w:val="none" w:sz="0" w:space="0" w:color="auto"/>
        <w:right w:val="none" w:sz="0" w:space="0" w:color="auto"/>
      </w:divBdr>
      <w:divsChild>
        <w:div w:id="452091346">
          <w:marLeft w:val="0"/>
          <w:marRight w:val="0"/>
          <w:marTop w:val="0"/>
          <w:marBottom w:val="0"/>
          <w:divBdr>
            <w:top w:val="none" w:sz="0" w:space="0" w:color="auto"/>
            <w:left w:val="none" w:sz="0" w:space="0" w:color="auto"/>
            <w:bottom w:val="none" w:sz="0" w:space="0" w:color="auto"/>
            <w:right w:val="none" w:sz="0" w:space="0" w:color="auto"/>
          </w:divBdr>
          <w:divsChild>
            <w:div w:id="998071113">
              <w:marLeft w:val="0"/>
              <w:marRight w:val="0"/>
              <w:marTop w:val="0"/>
              <w:marBottom w:val="0"/>
              <w:divBdr>
                <w:top w:val="none" w:sz="0" w:space="0" w:color="auto"/>
                <w:left w:val="none" w:sz="0" w:space="0" w:color="auto"/>
                <w:bottom w:val="none" w:sz="0" w:space="0" w:color="auto"/>
                <w:right w:val="none" w:sz="0" w:space="0" w:color="auto"/>
              </w:divBdr>
            </w:div>
          </w:divsChild>
        </w:div>
        <w:div w:id="906841541">
          <w:marLeft w:val="0"/>
          <w:marRight w:val="0"/>
          <w:marTop w:val="0"/>
          <w:marBottom w:val="0"/>
          <w:divBdr>
            <w:top w:val="none" w:sz="0" w:space="0" w:color="auto"/>
            <w:left w:val="none" w:sz="0" w:space="0" w:color="auto"/>
            <w:bottom w:val="none" w:sz="0" w:space="0" w:color="auto"/>
            <w:right w:val="none" w:sz="0" w:space="0" w:color="auto"/>
          </w:divBdr>
          <w:divsChild>
            <w:div w:id="2008750633">
              <w:marLeft w:val="0"/>
              <w:marRight w:val="0"/>
              <w:marTop w:val="0"/>
              <w:marBottom w:val="0"/>
              <w:divBdr>
                <w:top w:val="none" w:sz="0" w:space="0" w:color="auto"/>
                <w:left w:val="none" w:sz="0" w:space="0" w:color="auto"/>
                <w:bottom w:val="none" w:sz="0" w:space="0" w:color="auto"/>
                <w:right w:val="none" w:sz="0" w:space="0" w:color="auto"/>
              </w:divBdr>
              <w:divsChild>
                <w:div w:id="176726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21014">
      <w:bodyDiv w:val="1"/>
      <w:marLeft w:val="0"/>
      <w:marRight w:val="0"/>
      <w:marTop w:val="0"/>
      <w:marBottom w:val="0"/>
      <w:divBdr>
        <w:top w:val="none" w:sz="0" w:space="0" w:color="auto"/>
        <w:left w:val="none" w:sz="0" w:space="0" w:color="auto"/>
        <w:bottom w:val="none" w:sz="0" w:space="0" w:color="auto"/>
        <w:right w:val="none" w:sz="0" w:space="0" w:color="auto"/>
      </w:divBdr>
    </w:div>
    <w:div w:id="708265650">
      <w:bodyDiv w:val="1"/>
      <w:marLeft w:val="0"/>
      <w:marRight w:val="0"/>
      <w:marTop w:val="0"/>
      <w:marBottom w:val="0"/>
      <w:divBdr>
        <w:top w:val="none" w:sz="0" w:space="0" w:color="auto"/>
        <w:left w:val="none" w:sz="0" w:space="0" w:color="auto"/>
        <w:bottom w:val="none" w:sz="0" w:space="0" w:color="auto"/>
        <w:right w:val="none" w:sz="0" w:space="0" w:color="auto"/>
      </w:divBdr>
      <w:divsChild>
        <w:div w:id="698892070">
          <w:marLeft w:val="0"/>
          <w:marRight w:val="0"/>
          <w:marTop w:val="0"/>
          <w:marBottom w:val="0"/>
          <w:divBdr>
            <w:top w:val="none" w:sz="0" w:space="0" w:color="auto"/>
            <w:left w:val="none" w:sz="0" w:space="0" w:color="auto"/>
            <w:bottom w:val="none" w:sz="0" w:space="0" w:color="auto"/>
            <w:right w:val="none" w:sz="0" w:space="0" w:color="auto"/>
          </w:divBdr>
        </w:div>
      </w:divsChild>
    </w:div>
    <w:div w:id="738868325">
      <w:bodyDiv w:val="1"/>
      <w:marLeft w:val="0"/>
      <w:marRight w:val="0"/>
      <w:marTop w:val="0"/>
      <w:marBottom w:val="0"/>
      <w:divBdr>
        <w:top w:val="none" w:sz="0" w:space="0" w:color="auto"/>
        <w:left w:val="none" w:sz="0" w:space="0" w:color="auto"/>
        <w:bottom w:val="none" w:sz="0" w:space="0" w:color="auto"/>
        <w:right w:val="none" w:sz="0" w:space="0" w:color="auto"/>
      </w:divBdr>
    </w:div>
    <w:div w:id="857277162">
      <w:bodyDiv w:val="1"/>
      <w:marLeft w:val="0"/>
      <w:marRight w:val="0"/>
      <w:marTop w:val="0"/>
      <w:marBottom w:val="0"/>
      <w:divBdr>
        <w:top w:val="none" w:sz="0" w:space="0" w:color="auto"/>
        <w:left w:val="none" w:sz="0" w:space="0" w:color="auto"/>
        <w:bottom w:val="none" w:sz="0" w:space="0" w:color="auto"/>
        <w:right w:val="none" w:sz="0" w:space="0" w:color="auto"/>
      </w:divBdr>
    </w:div>
    <w:div w:id="896166930">
      <w:bodyDiv w:val="1"/>
      <w:marLeft w:val="0"/>
      <w:marRight w:val="0"/>
      <w:marTop w:val="0"/>
      <w:marBottom w:val="0"/>
      <w:divBdr>
        <w:top w:val="none" w:sz="0" w:space="0" w:color="auto"/>
        <w:left w:val="none" w:sz="0" w:space="0" w:color="auto"/>
        <w:bottom w:val="none" w:sz="0" w:space="0" w:color="auto"/>
        <w:right w:val="none" w:sz="0" w:space="0" w:color="auto"/>
      </w:divBdr>
    </w:div>
    <w:div w:id="1227641925">
      <w:bodyDiv w:val="1"/>
      <w:marLeft w:val="0"/>
      <w:marRight w:val="0"/>
      <w:marTop w:val="0"/>
      <w:marBottom w:val="0"/>
      <w:divBdr>
        <w:top w:val="none" w:sz="0" w:space="0" w:color="auto"/>
        <w:left w:val="none" w:sz="0" w:space="0" w:color="auto"/>
        <w:bottom w:val="none" w:sz="0" w:space="0" w:color="auto"/>
        <w:right w:val="none" w:sz="0" w:space="0" w:color="auto"/>
      </w:divBdr>
    </w:div>
    <w:div w:id="1344016178">
      <w:bodyDiv w:val="1"/>
      <w:marLeft w:val="0"/>
      <w:marRight w:val="0"/>
      <w:marTop w:val="0"/>
      <w:marBottom w:val="0"/>
      <w:divBdr>
        <w:top w:val="none" w:sz="0" w:space="0" w:color="auto"/>
        <w:left w:val="none" w:sz="0" w:space="0" w:color="auto"/>
        <w:bottom w:val="none" w:sz="0" w:space="0" w:color="auto"/>
        <w:right w:val="none" w:sz="0" w:space="0" w:color="auto"/>
      </w:divBdr>
    </w:div>
    <w:div w:id="1412041973">
      <w:bodyDiv w:val="1"/>
      <w:marLeft w:val="0"/>
      <w:marRight w:val="0"/>
      <w:marTop w:val="0"/>
      <w:marBottom w:val="0"/>
      <w:divBdr>
        <w:top w:val="none" w:sz="0" w:space="0" w:color="auto"/>
        <w:left w:val="none" w:sz="0" w:space="0" w:color="auto"/>
        <w:bottom w:val="none" w:sz="0" w:space="0" w:color="auto"/>
        <w:right w:val="none" w:sz="0" w:space="0" w:color="auto"/>
      </w:divBdr>
      <w:divsChild>
        <w:div w:id="875049292">
          <w:marLeft w:val="0"/>
          <w:marRight w:val="0"/>
          <w:marTop w:val="0"/>
          <w:marBottom w:val="0"/>
          <w:divBdr>
            <w:top w:val="none" w:sz="0" w:space="0" w:color="auto"/>
            <w:left w:val="none" w:sz="0" w:space="0" w:color="auto"/>
            <w:bottom w:val="none" w:sz="0" w:space="0" w:color="auto"/>
            <w:right w:val="none" w:sz="0" w:space="0" w:color="auto"/>
          </w:divBdr>
        </w:div>
      </w:divsChild>
    </w:div>
    <w:div w:id="1413359596">
      <w:bodyDiv w:val="1"/>
      <w:marLeft w:val="0"/>
      <w:marRight w:val="0"/>
      <w:marTop w:val="0"/>
      <w:marBottom w:val="0"/>
      <w:divBdr>
        <w:top w:val="none" w:sz="0" w:space="0" w:color="auto"/>
        <w:left w:val="none" w:sz="0" w:space="0" w:color="auto"/>
        <w:bottom w:val="none" w:sz="0" w:space="0" w:color="auto"/>
        <w:right w:val="none" w:sz="0" w:space="0" w:color="auto"/>
      </w:divBdr>
    </w:div>
    <w:div w:id="1487161350">
      <w:bodyDiv w:val="1"/>
      <w:marLeft w:val="0"/>
      <w:marRight w:val="0"/>
      <w:marTop w:val="0"/>
      <w:marBottom w:val="0"/>
      <w:divBdr>
        <w:top w:val="none" w:sz="0" w:space="0" w:color="auto"/>
        <w:left w:val="none" w:sz="0" w:space="0" w:color="auto"/>
        <w:bottom w:val="none" w:sz="0" w:space="0" w:color="auto"/>
        <w:right w:val="none" w:sz="0" w:space="0" w:color="auto"/>
      </w:divBdr>
      <w:divsChild>
        <w:div w:id="359625768">
          <w:marLeft w:val="0"/>
          <w:marRight w:val="0"/>
          <w:marTop w:val="0"/>
          <w:marBottom w:val="0"/>
          <w:divBdr>
            <w:top w:val="none" w:sz="0" w:space="0" w:color="auto"/>
            <w:left w:val="none" w:sz="0" w:space="0" w:color="auto"/>
            <w:bottom w:val="none" w:sz="0" w:space="0" w:color="auto"/>
            <w:right w:val="none" w:sz="0" w:space="0" w:color="auto"/>
          </w:divBdr>
          <w:divsChild>
            <w:div w:id="637151495">
              <w:marLeft w:val="0"/>
              <w:marRight w:val="0"/>
              <w:marTop w:val="0"/>
              <w:marBottom w:val="0"/>
              <w:divBdr>
                <w:top w:val="none" w:sz="0" w:space="0" w:color="auto"/>
                <w:left w:val="none" w:sz="0" w:space="0" w:color="auto"/>
                <w:bottom w:val="none" w:sz="0" w:space="0" w:color="auto"/>
                <w:right w:val="none" w:sz="0" w:space="0" w:color="auto"/>
              </w:divBdr>
              <w:divsChild>
                <w:div w:id="17498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878003">
          <w:marLeft w:val="0"/>
          <w:marRight w:val="0"/>
          <w:marTop w:val="0"/>
          <w:marBottom w:val="0"/>
          <w:divBdr>
            <w:top w:val="none" w:sz="0" w:space="0" w:color="auto"/>
            <w:left w:val="none" w:sz="0" w:space="0" w:color="auto"/>
            <w:bottom w:val="none" w:sz="0" w:space="0" w:color="auto"/>
            <w:right w:val="none" w:sz="0" w:space="0" w:color="auto"/>
          </w:divBdr>
          <w:divsChild>
            <w:div w:id="15920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247043">
      <w:bodyDiv w:val="1"/>
      <w:marLeft w:val="0"/>
      <w:marRight w:val="0"/>
      <w:marTop w:val="0"/>
      <w:marBottom w:val="0"/>
      <w:divBdr>
        <w:top w:val="none" w:sz="0" w:space="0" w:color="auto"/>
        <w:left w:val="none" w:sz="0" w:space="0" w:color="auto"/>
        <w:bottom w:val="none" w:sz="0" w:space="0" w:color="auto"/>
        <w:right w:val="none" w:sz="0" w:space="0" w:color="auto"/>
      </w:divBdr>
    </w:div>
    <w:div w:id="1562445534">
      <w:bodyDiv w:val="1"/>
      <w:marLeft w:val="0"/>
      <w:marRight w:val="0"/>
      <w:marTop w:val="0"/>
      <w:marBottom w:val="0"/>
      <w:divBdr>
        <w:top w:val="none" w:sz="0" w:space="0" w:color="auto"/>
        <w:left w:val="none" w:sz="0" w:space="0" w:color="auto"/>
        <w:bottom w:val="none" w:sz="0" w:space="0" w:color="auto"/>
        <w:right w:val="none" w:sz="0" w:space="0" w:color="auto"/>
      </w:divBdr>
      <w:divsChild>
        <w:div w:id="575210715">
          <w:marLeft w:val="0"/>
          <w:marRight w:val="0"/>
          <w:marTop w:val="0"/>
          <w:marBottom w:val="0"/>
          <w:divBdr>
            <w:top w:val="none" w:sz="0" w:space="0" w:color="auto"/>
            <w:left w:val="none" w:sz="0" w:space="0" w:color="auto"/>
            <w:bottom w:val="none" w:sz="0" w:space="0" w:color="auto"/>
            <w:right w:val="none" w:sz="0" w:space="0" w:color="auto"/>
          </w:divBdr>
        </w:div>
      </w:divsChild>
    </w:div>
    <w:div w:id="1667630604">
      <w:bodyDiv w:val="1"/>
      <w:marLeft w:val="0"/>
      <w:marRight w:val="0"/>
      <w:marTop w:val="0"/>
      <w:marBottom w:val="0"/>
      <w:divBdr>
        <w:top w:val="none" w:sz="0" w:space="0" w:color="auto"/>
        <w:left w:val="none" w:sz="0" w:space="0" w:color="auto"/>
        <w:bottom w:val="none" w:sz="0" w:space="0" w:color="auto"/>
        <w:right w:val="none" w:sz="0" w:space="0" w:color="auto"/>
      </w:divBdr>
    </w:div>
    <w:div w:id="1752508500">
      <w:bodyDiv w:val="1"/>
      <w:marLeft w:val="0"/>
      <w:marRight w:val="0"/>
      <w:marTop w:val="0"/>
      <w:marBottom w:val="0"/>
      <w:divBdr>
        <w:top w:val="none" w:sz="0" w:space="0" w:color="auto"/>
        <w:left w:val="none" w:sz="0" w:space="0" w:color="auto"/>
        <w:bottom w:val="none" w:sz="0" w:space="0" w:color="auto"/>
        <w:right w:val="none" w:sz="0" w:space="0" w:color="auto"/>
      </w:divBdr>
      <w:divsChild>
        <w:div w:id="1040016537">
          <w:marLeft w:val="0"/>
          <w:marRight w:val="0"/>
          <w:marTop w:val="0"/>
          <w:marBottom w:val="0"/>
          <w:divBdr>
            <w:top w:val="none" w:sz="0" w:space="0" w:color="auto"/>
            <w:left w:val="none" w:sz="0" w:space="0" w:color="auto"/>
            <w:bottom w:val="none" w:sz="0" w:space="0" w:color="auto"/>
            <w:right w:val="none" w:sz="0" w:space="0" w:color="auto"/>
          </w:divBdr>
        </w:div>
      </w:divsChild>
    </w:div>
    <w:div w:id="1831092645">
      <w:bodyDiv w:val="1"/>
      <w:marLeft w:val="0"/>
      <w:marRight w:val="0"/>
      <w:marTop w:val="0"/>
      <w:marBottom w:val="0"/>
      <w:divBdr>
        <w:top w:val="none" w:sz="0" w:space="0" w:color="auto"/>
        <w:left w:val="none" w:sz="0" w:space="0" w:color="auto"/>
        <w:bottom w:val="none" w:sz="0" w:space="0" w:color="auto"/>
        <w:right w:val="none" w:sz="0" w:space="0" w:color="auto"/>
      </w:divBdr>
    </w:div>
    <w:div w:id="1949043628">
      <w:bodyDiv w:val="1"/>
      <w:marLeft w:val="0"/>
      <w:marRight w:val="0"/>
      <w:marTop w:val="0"/>
      <w:marBottom w:val="0"/>
      <w:divBdr>
        <w:top w:val="none" w:sz="0" w:space="0" w:color="auto"/>
        <w:left w:val="none" w:sz="0" w:space="0" w:color="auto"/>
        <w:bottom w:val="none" w:sz="0" w:space="0" w:color="auto"/>
        <w:right w:val="none" w:sz="0" w:space="0" w:color="auto"/>
      </w:divBdr>
    </w:div>
    <w:div w:id="209789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plychainreports.apple/home/default.aspx" TargetMode="External"/><Relationship Id="rId5" Type="http://schemas.openxmlformats.org/officeDocument/2006/relationships/webSettings" Target="webSettings.xml"/><Relationship Id="rId10" Type="http://schemas.openxmlformats.org/officeDocument/2006/relationships/hyperlink" Target="https://www.supplychainreports.apple/hom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5A9AF-154B-4C8A-AB61-809F241E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3920</Words>
  <Characters>24344</Characters>
  <Application>Microsoft Office Word</Application>
  <DocSecurity>0</DocSecurity>
  <Lines>566</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Cartlidge</dc:creator>
  <cp:keywords/>
  <dc:description/>
  <cp:lastModifiedBy>Adrian Cartlidge</cp:lastModifiedBy>
  <cp:revision>11</cp:revision>
  <cp:lastPrinted>2025-11-16T10:49:00Z</cp:lastPrinted>
  <dcterms:created xsi:type="dcterms:W3CDTF">2025-11-20T12:59:00Z</dcterms:created>
  <dcterms:modified xsi:type="dcterms:W3CDTF">2025-11-20T13:20:00Z</dcterms:modified>
</cp:coreProperties>
</file>