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5AE71" w14:textId="77777777" w:rsidR="003D50F1" w:rsidRPr="006E10AB" w:rsidRDefault="003D50F1" w:rsidP="004B2C51">
      <w:pPr>
        <w:spacing w:after="0" w:line="360" w:lineRule="auto"/>
        <w:jc w:val="both"/>
        <w:rPr>
          <w:rFonts w:ascii="Arial" w:hAnsi="Arial" w:cs="Arial"/>
        </w:rPr>
      </w:pPr>
    </w:p>
    <w:p w14:paraId="0AB1F5D4" w14:textId="77777777" w:rsidR="003D50F1" w:rsidRPr="006E10AB" w:rsidRDefault="003D50F1" w:rsidP="004B2C51">
      <w:pPr>
        <w:spacing w:after="0" w:line="360" w:lineRule="auto"/>
        <w:jc w:val="both"/>
        <w:rPr>
          <w:rFonts w:ascii="Arial" w:hAnsi="Arial" w:cs="Arial"/>
        </w:rPr>
      </w:pPr>
    </w:p>
    <w:p w14:paraId="68307225" w14:textId="77777777" w:rsidR="003D50F1" w:rsidRPr="006E10AB" w:rsidRDefault="003D50F1" w:rsidP="004B2C51">
      <w:pPr>
        <w:spacing w:after="0" w:line="360" w:lineRule="auto"/>
        <w:jc w:val="both"/>
        <w:rPr>
          <w:rFonts w:ascii="Arial" w:hAnsi="Arial" w:cs="Arial"/>
        </w:rPr>
      </w:pPr>
    </w:p>
    <w:p w14:paraId="2597F51F" w14:textId="77777777" w:rsidR="003D50F1" w:rsidRPr="006E10AB" w:rsidRDefault="003D50F1" w:rsidP="004B2C51">
      <w:pPr>
        <w:spacing w:after="0" w:line="360" w:lineRule="auto"/>
        <w:jc w:val="both"/>
        <w:rPr>
          <w:rFonts w:ascii="Arial" w:hAnsi="Arial" w:cs="Arial"/>
        </w:rPr>
      </w:pPr>
    </w:p>
    <w:p w14:paraId="51A36D85" w14:textId="77777777" w:rsidR="003D50F1" w:rsidRPr="006E10AB" w:rsidRDefault="003D50F1" w:rsidP="004B2C51">
      <w:pPr>
        <w:spacing w:after="0" w:line="360" w:lineRule="auto"/>
        <w:jc w:val="both"/>
        <w:rPr>
          <w:rFonts w:ascii="Arial" w:hAnsi="Arial" w:cs="Arial"/>
        </w:rPr>
      </w:pPr>
    </w:p>
    <w:p w14:paraId="05AD5732" w14:textId="77777777" w:rsidR="003D50F1" w:rsidRPr="001820AB" w:rsidRDefault="003D50F1" w:rsidP="001820AB">
      <w:pPr>
        <w:spacing w:after="0" w:line="360" w:lineRule="auto"/>
        <w:jc w:val="both"/>
        <w:rPr>
          <w:rFonts w:ascii="Arial" w:hAnsi="Arial" w:cs="Arial"/>
          <w:sz w:val="24"/>
          <w:szCs w:val="24"/>
        </w:rPr>
      </w:pPr>
    </w:p>
    <w:p w14:paraId="423127E4" w14:textId="77777777" w:rsidR="001820AB" w:rsidRDefault="001820AB" w:rsidP="001820AB">
      <w:pPr>
        <w:spacing w:after="0" w:line="360" w:lineRule="auto"/>
        <w:jc w:val="both"/>
        <w:rPr>
          <w:rFonts w:ascii="Arial" w:hAnsi="Arial" w:cs="Arial"/>
          <w:bCs/>
          <w:sz w:val="24"/>
          <w:szCs w:val="24"/>
        </w:rPr>
      </w:pPr>
    </w:p>
    <w:p w14:paraId="51F61C21" w14:textId="77777777" w:rsidR="001820AB" w:rsidRDefault="001820AB" w:rsidP="001820AB">
      <w:pPr>
        <w:spacing w:after="0" w:line="360" w:lineRule="auto"/>
        <w:jc w:val="both"/>
        <w:rPr>
          <w:rFonts w:ascii="Arial" w:hAnsi="Arial" w:cs="Arial"/>
          <w:bCs/>
          <w:sz w:val="24"/>
          <w:szCs w:val="24"/>
        </w:rPr>
      </w:pPr>
    </w:p>
    <w:p w14:paraId="047C9F66" w14:textId="77777777" w:rsidR="001820AB" w:rsidRDefault="001820AB" w:rsidP="001820AB">
      <w:pPr>
        <w:spacing w:after="0" w:line="360" w:lineRule="auto"/>
        <w:jc w:val="both"/>
        <w:rPr>
          <w:rFonts w:ascii="Arial" w:hAnsi="Arial" w:cs="Arial"/>
          <w:bCs/>
          <w:sz w:val="24"/>
          <w:szCs w:val="24"/>
        </w:rPr>
      </w:pPr>
    </w:p>
    <w:p w14:paraId="46177D3F" w14:textId="77777777" w:rsidR="001820AB" w:rsidRDefault="001820AB" w:rsidP="001820AB">
      <w:pPr>
        <w:spacing w:after="0" w:line="360" w:lineRule="auto"/>
        <w:jc w:val="both"/>
        <w:rPr>
          <w:rFonts w:ascii="Arial" w:hAnsi="Arial" w:cs="Arial"/>
          <w:bCs/>
          <w:sz w:val="24"/>
          <w:szCs w:val="24"/>
        </w:rPr>
      </w:pPr>
    </w:p>
    <w:p w14:paraId="65F6BE67" w14:textId="3BFBCDEB" w:rsidR="003D50F1" w:rsidRPr="001820AB" w:rsidRDefault="001E3804" w:rsidP="001820AB">
      <w:pPr>
        <w:spacing w:after="0" w:line="360" w:lineRule="auto"/>
        <w:jc w:val="both"/>
        <w:rPr>
          <w:rFonts w:ascii="Arial" w:hAnsi="Arial" w:cs="Arial"/>
          <w:bCs/>
          <w:sz w:val="24"/>
          <w:szCs w:val="24"/>
        </w:rPr>
      </w:pPr>
      <w:r w:rsidRPr="001820AB">
        <w:rPr>
          <w:rFonts w:ascii="Arial" w:hAnsi="Arial" w:cs="Arial"/>
          <w:bCs/>
          <w:sz w:val="24"/>
          <w:szCs w:val="24"/>
        </w:rPr>
        <w:t>Essay</w:t>
      </w:r>
    </w:p>
    <w:p w14:paraId="45F359D2" w14:textId="68C8FE00" w:rsidR="00962029" w:rsidRPr="001820AB" w:rsidRDefault="00962029" w:rsidP="001820AB">
      <w:pPr>
        <w:spacing w:after="0" w:line="360" w:lineRule="auto"/>
        <w:jc w:val="both"/>
        <w:rPr>
          <w:rFonts w:ascii="Arial" w:hAnsi="Arial" w:cs="Arial"/>
          <w:bCs/>
          <w:sz w:val="24"/>
          <w:szCs w:val="24"/>
        </w:rPr>
      </w:pPr>
      <w:r w:rsidRPr="001820AB">
        <w:rPr>
          <w:rFonts w:ascii="Arial" w:hAnsi="Arial" w:cs="Arial"/>
          <w:bCs/>
          <w:sz w:val="24"/>
          <w:szCs w:val="24"/>
        </w:rPr>
        <w:t>Accor</w:t>
      </w:r>
    </w:p>
    <w:p w14:paraId="23C9B66A" w14:textId="64EA417A" w:rsidR="003D50F1" w:rsidRPr="001820AB" w:rsidRDefault="001820AB" w:rsidP="001820AB">
      <w:pPr>
        <w:spacing w:after="0" w:line="360" w:lineRule="auto"/>
        <w:jc w:val="both"/>
        <w:rPr>
          <w:rFonts w:ascii="Arial" w:hAnsi="Arial" w:cs="Arial"/>
          <w:bCs/>
          <w:sz w:val="24"/>
          <w:szCs w:val="24"/>
        </w:rPr>
      </w:pPr>
      <w:r w:rsidRPr="001820AB">
        <w:rPr>
          <w:rFonts w:ascii="Arial" w:hAnsi="Arial" w:cs="Arial"/>
          <w:bCs/>
          <w:sz w:val="24"/>
          <w:szCs w:val="24"/>
        </w:rPr>
        <w:t>Raquel Vazao</w:t>
      </w:r>
    </w:p>
    <w:p w14:paraId="0C67D448" w14:textId="2BD64946" w:rsidR="003D50F1" w:rsidRPr="001820AB" w:rsidRDefault="001820AB" w:rsidP="001820AB">
      <w:pPr>
        <w:spacing w:after="0" w:line="360" w:lineRule="auto"/>
        <w:jc w:val="both"/>
        <w:rPr>
          <w:rFonts w:ascii="Arial" w:hAnsi="Arial" w:cs="Arial"/>
          <w:bCs/>
          <w:sz w:val="24"/>
          <w:szCs w:val="24"/>
        </w:rPr>
      </w:pPr>
      <w:r w:rsidRPr="001820AB">
        <w:rPr>
          <w:rFonts w:ascii="Arial" w:hAnsi="Arial" w:cs="Arial"/>
          <w:bCs/>
          <w:sz w:val="24"/>
          <w:szCs w:val="24"/>
        </w:rPr>
        <w:t>2027266</w:t>
      </w:r>
    </w:p>
    <w:p w14:paraId="4FC4F0B9" w14:textId="77777777" w:rsidR="001820AB" w:rsidRPr="001820AB" w:rsidRDefault="001820AB" w:rsidP="001820AB">
      <w:pPr>
        <w:pStyle w:val="Heading1"/>
        <w:shd w:val="clear" w:color="auto" w:fill="FFFFFF"/>
        <w:spacing w:before="0"/>
        <w:rPr>
          <w:b w:val="0"/>
          <w:bCs/>
          <w:color w:val="1D2125"/>
          <w:sz w:val="24"/>
          <w:szCs w:val="24"/>
        </w:rPr>
      </w:pPr>
      <w:r w:rsidRPr="001820AB">
        <w:rPr>
          <w:b w:val="0"/>
          <w:bCs/>
          <w:color w:val="1D2125"/>
          <w:sz w:val="24"/>
          <w:szCs w:val="24"/>
        </w:rPr>
        <w:t>Sustainable Hospitality &amp; Tourism Management (BMIH5006)</w:t>
      </w:r>
    </w:p>
    <w:p w14:paraId="5101A045" w14:textId="581D7CD2" w:rsidR="00AC4370" w:rsidRPr="001820AB" w:rsidRDefault="001820AB" w:rsidP="001820AB">
      <w:pPr>
        <w:spacing w:after="0" w:line="360" w:lineRule="auto"/>
        <w:jc w:val="both"/>
        <w:rPr>
          <w:rFonts w:ascii="Arial" w:hAnsi="Arial" w:cs="Arial"/>
          <w:sz w:val="24"/>
          <w:szCs w:val="24"/>
        </w:rPr>
      </w:pPr>
      <w:r w:rsidRPr="001820AB">
        <w:rPr>
          <w:rFonts w:ascii="Arial" w:hAnsi="Arial" w:cs="Arial"/>
          <w:bCs/>
          <w:sz w:val="24"/>
          <w:szCs w:val="24"/>
        </w:rPr>
        <w:t>Kathryn Roberts</w:t>
      </w:r>
      <w:r w:rsidRPr="001820AB">
        <w:rPr>
          <w:rFonts w:ascii="Arial" w:hAnsi="Arial" w:cs="Arial"/>
          <w:sz w:val="24"/>
          <w:szCs w:val="24"/>
        </w:rPr>
        <w:t xml:space="preserve"> </w:t>
      </w:r>
      <w:r w:rsidR="00272E9A" w:rsidRPr="001820AB">
        <w:rPr>
          <w:rFonts w:ascii="Arial" w:hAnsi="Arial" w:cs="Arial"/>
          <w:sz w:val="24"/>
          <w:szCs w:val="24"/>
        </w:rPr>
        <w:br w:type="page"/>
      </w:r>
    </w:p>
    <w:p w14:paraId="6EE505BA" w14:textId="314890AC" w:rsidR="00815775" w:rsidRPr="001820AB" w:rsidRDefault="00F51208" w:rsidP="001820AB">
      <w:pPr>
        <w:spacing w:after="0" w:line="360" w:lineRule="auto"/>
        <w:jc w:val="both"/>
        <w:rPr>
          <w:rFonts w:ascii="Arial" w:hAnsi="Arial" w:cs="Arial"/>
          <w:bCs/>
          <w:sz w:val="24"/>
          <w:szCs w:val="24"/>
        </w:rPr>
      </w:pPr>
      <w:r w:rsidRPr="001820AB">
        <w:rPr>
          <w:rFonts w:ascii="Arial" w:hAnsi="Arial" w:cs="Arial"/>
          <w:bCs/>
          <w:sz w:val="24"/>
          <w:szCs w:val="24"/>
        </w:rPr>
        <w:lastRenderedPageBreak/>
        <w:t>Recently</w:t>
      </w:r>
      <w:r w:rsidR="00815775" w:rsidRPr="001820AB">
        <w:rPr>
          <w:rFonts w:ascii="Arial" w:hAnsi="Arial" w:cs="Arial"/>
          <w:bCs/>
          <w:sz w:val="24"/>
          <w:szCs w:val="24"/>
        </w:rPr>
        <w:t>, the global business landscape has seen a paradigm shift as sustainability becomes the shocking concentration in corporate procedures. Recognizing the environmental impact of their exercises, affiliations are constantly embracing practices that line up with eco-friendly standards. One such essential method is the social undertaking of circular economy standards, which challenges the standard linear model by underlining resource regeneration and waste reduction (Saha, Dey, Papagiannaki, 2022). Accor, a significant part in the hospitality sector, stands out as a remarkable portrayal of a connection orchestrating circular economy standards into its undertakings through an extravagant Corporate Social Responsibility (CSR) policy. As the hospitality industry experiences fundamental development considering expanded tourism, stresses over environmental sustainability have become more conveyed. Changing the requirement for development with responsible environmental stewardship becomes a delicate yet fundamental errand for affiliations like Accor (Pongsakornrungsilp and Pongsakornrungsilp, 2023).</w:t>
      </w:r>
    </w:p>
    <w:p w14:paraId="0830C9B2" w14:textId="52B65900" w:rsidR="001820AB" w:rsidRPr="001820AB" w:rsidRDefault="00815775" w:rsidP="001820AB">
      <w:pPr>
        <w:spacing w:after="0" w:line="360" w:lineRule="auto"/>
        <w:jc w:val="both"/>
        <w:rPr>
          <w:rFonts w:ascii="Arial" w:hAnsi="Arial" w:cs="Arial"/>
          <w:bCs/>
          <w:sz w:val="24"/>
          <w:szCs w:val="24"/>
        </w:rPr>
      </w:pPr>
      <w:r w:rsidRPr="001820AB">
        <w:rPr>
          <w:rFonts w:ascii="Arial" w:hAnsi="Arial" w:cs="Arial"/>
          <w:bCs/>
          <w:sz w:val="24"/>
          <w:szCs w:val="24"/>
        </w:rPr>
        <w:t>This paper will examine the parts between sustainability, the development of tourism, circular economy practices, and how Accor legitimately incorporates these standards into its CSR policy. It will skip into the specific drives endeavored by Accor to reduce its environmental impression, further cultivate resource efficiency, and add to the more important goal of sustainable and responsible business practices in the hospitality sector. By seeing industry models, for instance, Unilever and Patagonia, the paper will major areas of strength for highlight of circular economy reconciliation, giving a close to setting to surveying Accord's undertakings in this remarkable trip towards a more sustainable future.</w:t>
      </w:r>
    </w:p>
    <w:p w14:paraId="336EE3F2" w14:textId="21E6F686" w:rsidR="00815775" w:rsidRPr="001820AB" w:rsidRDefault="00815775" w:rsidP="001820AB">
      <w:pPr>
        <w:spacing w:after="0" w:line="360" w:lineRule="auto"/>
        <w:jc w:val="both"/>
        <w:rPr>
          <w:rFonts w:ascii="Arial" w:hAnsi="Arial" w:cs="Arial"/>
          <w:bCs/>
          <w:sz w:val="24"/>
          <w:szCs w:val="24"/>
        </w:rPr>
      </w:pPr>
      <w:r w:rsidRPr="001820AB">
        <w:rPr>
          <w:rFonts w:ascii="Arial" w:hAnsi="Arial" w:cs="Arial"/>
          <w:bCs/>
          <w:sz w:val="24"/>
          <w:szCs w:val="24"/>
        </w:rPr>
        <w:t xml:space="preserve">Circular economy watches out for a paradigm shift from the linear model that has overpowered present day cycles for quite a while. In the standard linear economy, resources are withdrawn, handled into merchandise, used, and long term discarded as waste. This approach channels restricted resources close by contributes totally to environmental degradation and undermining. Circular economy, on the other hand, endeavors to reconsider this cycle by making a closed-loop system that brilliant lights on sustainability and future (Surya, Boddharma and Moderna, 2020). At its middle, circular economy revolves around the regenerative furthest ranges of resources. Rather than review products as unnecessary, the idea is on designing things that can be truly fixed, reestablished, or reused. This shift begins at the product design stage, with an enhancement on durability, recyclability, and the usage of eco-friendly </w:t>
      </w:r>
      <w:r w:rsidRPr="001820AB">
        <w:rPr>
          <w:rFonts w:ascii="Arial" w:hAnsi="Arial" w:cs="Arial"/>
          <w:bCs/>
          <w:sz w:val="24"/>
          <w:szCs w:val="24"/>
        </w:rPr>
        <w:lastRenderedPageBreak/>
        <w:t xml:space="preserve">materials. By expanding the destiny of products, circular economy diminishes the demand for new resources and limits the environmental impact related with social event. Besides, circular economy draws in the reuse of materials and parts. This incorporates systems, for instance, remanufacturing and redesigning, where products are crushed, fixed, and reassembled to increase their utilitarian life. This </w:t>
      </w:r>
      <w:r w:rsidR="00F51208" w:rsidRPr="001820AB">
        <w:rPr>
          <w:rFonts w:ascii="Arial" w:hAnsi="Arial" w:cs="Arial"/>
          <w:bCs/>
          <w:sz w:val="24"/>
          <w:szCs w:val="24"/>
        </w:rPr>
        <w:t>degree’s</w:t>
      </w:r>
      <w:r w:rsidRPr="001820AB">
        <w:rPr>
          <w:rFonts w:ascii="Arial" w:hAnsi="Arial" w:cs="Arial"/>
          <w:bCs/>
          <w:sz w:val="24"/>
          <w:szCs w:val="24"/>
        </w:rPr>
        <w:t xml:space="preserve"> resources as well as lessens the general waste made by society. Reusing is another key piece of circular economy practices. Rather than discarding materials as waste, they are collected, handled, and without a doubt brought into the production cycle (Dagilienė, Varaniutė, Bruneckienė, 2021). This diminishes the fundamental for virgin conventional substances and limits the energy expected for extraction and handling. The complement on reusing in addition mitigates the environmental contaminating related with landfill takeoff.</w:t>
      </w:r>
    </w:p>
    <w:p w14:paraId="402B9235" w14:textId="77777777" w:rsidR="00815775" w:rsidRPr="001820AB" w:rsidRDefault="00815775" w:rsidP="001820AB">
      <w:pPr>
        <w:spacing w:after="0" w:line="360" w:lineRule="auto"/>
        <w:jc w:val="both"/>
        <w:rPr>
          <w:rFonts w:ascii="Arial" w:hAnsi="Arial" w:cs="Arial"/>
          <w:bCs/>
          <w:sz w:val="24"/>
          <w:szCs w:val="24"/>
        </w:rPr>
      </w:pPr>
      <w:r w:rsidRPr="001820AB">
        <w:rPr>
          <w:rFonts w:ascii="Arial" w:hAnsi="Arial" w:cs="Arial"/>
          <w:bCs/>
          <w:sz w:val="24"/>
          <w:szCs w:val="24"/>
        </w:rPr>
        <w:t>Renewable energy sources expect a basic part in the circular economy model. By changing from oil assistants to sustainable energy decisions, affiliations can in like manner decrease their environmental impression. This shift lines up with the more imperative goal of making a sustainable and versatile economy that restricts its reliance on bound resources. Corporate Social Responsibility (CSR) gives the moral and moral development within which businesses work (Fonseca and Carnicelli, 2021). Circular economy reliably works with into CSR drives by watching out for central environmental concerns and making sustainable business practices. Past the environmental benefits, circular economy practices unequivocally impact networks by making position in reusing, remanufacturing, and related sectors. Executing circular economy systems adds to an alliance's overall sustainability, agreeing with the triple central worry of people, planet, and advantage (Camilleri's, 2020). This incorporated perspective recognizes that a sound environment and society are fundamental for huge length business accomplishment. As affiliations dynamically embrace circular economy standards within their CSR plans, they fulfill their ethical commitments as well as position themselves as trailblazers in sustainable business practices. The shift towards circular economy isn't just an environmental need in any event essential thing for businesses expecting to prosper in a world with restricted resources and making environmental challenges.</w:t>
      </w:r>
    </w:p>
    <w:p w14:paraId="758463A0" w14:textId="77777777" w:rsidR="008E5FA0" w:rsidRPr="001820AB" w:rsidRDefault="00815775" w:rsidP="001820AB">
      <w:pPr>
        <w:spacing w:after="0" w:line="360" w:lineRule="auto"/>
        <w:jc w:val="both"/>
        <w:rPr>
          <w:rFonts w:ascii="Arial" w:hAnsi="Arial" w:cs="Arial"/>
          <w:bCs/>
          <w:sz w:val="24"/>
          <w:szCs w:val="24"/>
        </w:rPr>
      </w:pPr>
      <w:r w:rsidRPr="001820AB">
        <w:rPr>
          <w:rFonts w:ascii="Arial" w:hAnsi="Arial" w:cs="Arial"/>
          <w:bCs/>
          <w:sz w:val="24"/>
          <w:szCs w:val="24"/>
        </w:rPr>
        <w:t xml:space="preserve">Accor's commitment to introducing sustainability, particularly through the mix of circular economy standards into its Corporate Social Responsibility (CSR) policy, derives an essential strategy towards responsible business practices. The </w:t>
      </w:r>
      <w:r w:rsidRPr="001820AB">
        <w:rPr>
          <w:rFonts w:ascii="Arial" w:hAnsi="Arial" w:cs="Arial"/>
          <w:bCs/>
          <w:sz w:val="24"/>
          <w:szCs w:val="24"/>
        </w:rPr>
        <w:lastRenderedPageBreak/>
        <w:t xml:space="preserve">connection's CSR policy fills in as a guiding system that components its obligation to environmental stewardship, neighborhood, and moral direct, organizing Accor as an emissary in sustainable hospitality (Camilleri, 2021). A colossal piece of Accor's circular economy blend is clear in its supply chain management. </w:t>
      </w:r>
      <w:r w:rsidR="008E5FA0" w:rsidRPr="001820AB">
        <w:rPr>
          <w:rFonts w:ascii="Arial" w:hAnsi="Arial" w:cs="Arial"/>
          <w:bCs/>
          <w:sz w:val="24"/>
          <w:szCs w:val="24"/>
        </w:rPr>
        <w:t>Contact follows truly sustainable shipping practices and works with suppliers who adhere to environmental and ethical certifications. This process ensures that the Accor supply chain meets the standards of the circular economy and emphasizes the importance of environmentally friendly products and materials (Matteucci, 2020). These standards will make immigration responsible and promote the development of better sustainability and supply chain strategies.</w:t>
      </w:r>
    </w:p>
    <w:p w14:paraId="008037DF" w14:textId="1737D6DB" w:rsidR="0062187D" w:rsidRPr="001820AB" w:rsidRDefault="0062187D" w:rsidP="001820AB">
      <w:pPr>
        <w:spacing w:after="0" w:line="360" w:lineRule="auto"/>
        <w:jc w:val="both"/>
        <w:rPr>
          <w:rFonts w:ascii="Arial" w:hAnsi="Arial" w:cs="Arial"/>
          <w:bCs/>
          <w:sz w:val="24"/>
          <w:szCs w:val="24"/>
        </w:rPr>
      </w:pPr>
      <w:r w:rsidRPr="001820AB">
        <w:rPr>
          <w:rFonts w:ascii="Arial" w:hAnsi="Arial" w:cs="Arial"/>
          <w:bCs/>
          <w:sz w:val="24"/>
          <w:szCs w:val="24"/>
        </w:rPr>
        <w:t xml:space="preserve">Accor's waste decrease program remembers an extensive variety of roundabout administration practices for every one of its specializations. The effort to </w:t>
      </w:r>
      <w:r w:rsidR="00F51208" w:rsidRPr="001820AB">
        <w:rPr>
          <w:rFonts w:ascii="Arial" w:hAnsi="Arial" w:cs="Arial"/>
          <w:bCs/>
          <w:sz w:val="24"/>
          <w:szCs w:val="24"/>
        </w:rPr>
        <w:t>diminish</w:t>
      </w:r>
      <w:r w:rsidRPr="001820AB">
        <w:rPr>
          <w:rFonts w:ascii="Arial" w:hAnsi="Arial" w:cs="Arial"/>
          <w:bCs/>
          <w:sz w:val="24"/>
          <w:szCs w:val="24"/>
        </w:rPr>
        <w:t xml:space="preserve"> the utilization of straightforward materials isn't just a reaction to client interest, however a proactive move toward </w:t>
      </w:r>
      <w:r w:rsidR="00F51208" w:rsidRPr="001820AB">
        <w:rPr>
          <w:rFonts w:ascii="Arial" w:hAnsi="Arial" w:cs="Arial"/>
          <w:bCs/>
          <w:sz w:val="24"/>
          <w:szCs w:val="24"/>
        </w:rPr>
        <w:t>decreases</w:t>
      </w:r>
      <w:r w:rsidRPr="001820AB">
        <w:rPr>
          <w:rFonts w:ascii="Arial" w:hAnsi="Arial" w:cs="Arial"/>
          <w:bCs/>
          <w:sz w:val="24"/>
          <w:szCs w:val="24"/>
        </w:rPr>
        <w:t xml:space="preserve"> the natural effect of ventures. The Accor Homes reuse program decreases this weight by cultivating a culture of waste decrease and powerful effectiveness. The new arrangements presented by Accor, for instance, separate the significance of spots, reflections and food patterns, showing a cautious comprehension of the round economy models (Ng and Tavitiaman, 2020). Instead of excusing waste as an undesirable side-effect, the alliance searches for ways of reusing materials and set them back into the framework. This approach supports our organization's corporate obligation goals with regards to the more extensive economy and CSR principles and norms. To look at the practicality of the roundabout economy mix of Accor, the key pointers (KPIs) connected with manageability and waste decrease were assessed (Surya, Budharma, Mudana, 2020).</w:t>
      </w:r>
    </w:p>
    <w:p w14:paraId="25227809" w14:textId="597B29D4" w:rsidR="002C49EA" w:rsidRPr="001820AB" w:rsidRDefault="0062187D" w:rsidP="001820AB">
      <w:pPr>
        <w:spacing w:after="0" w:line="360" w:lineRule="auto"/>
        <w:jc w:val="both"/>
        <w:rPr>
          <w:rFonts w:ascii="Arial" w:hAnsi="Arial" w:cs="Arial"/>
          <w:bCs/>
          <w:sz w:val="24"/>
          <w:szCs w:val="24"/>
        </w:rPr>
      </w:pPr>
      <w:r w:rsidRPr="001820AB">
        <w:rPr>
          <w:rFonts w:ascii="Arial" w:hAnsi="Arial" w:cs="Arial"/>
          <w:bCs/>
          <w:sz w:val="24"/>
          <w:szCs w:val="24"/>
        </w:rPr>
        <w:t>Examinations, for example, squander redirection rates, energy utilization, and water use give explicit pieces of data into the ecological effect of the roundabout economy rehearses inside the association</w:t>
      </w:r>
      <w:r w:rsidR="002C49EA" w:rsidRPr="001820AB">
        <w:rPr>
          <w:rFonts w:ascii="Arial" w:hAnsi="Arial" w:cs="Arial"/>
          <w:bCs/>
          <w:sz w:val="24"/>
          <w:szCs w:val="24"/>
        </w:rPr>
        <w:t>. By following these KPIs, Accor can assess the eventual outcome of its drives, recogni</w:t>
      </w:r>
      <w:r w:rsidR="006E10AB" w:rsidRPr="001820AB">
        <w:rPr>
          <w:rFonts w:ascii="Arial" w:hAnsi="Arial" w:cs="Arial"/>
          <w:bCs/>
          <w:sz w:val="24"/>
          <w:szCs w:val="24"/>
        </w:rPr>
        <w:t>s</w:t>
      </w:r>
      <w:r w:rsidR="002C49EA" w:rsidRPr="001820AB">
        <w:rPr>
          <w:rFonts w:ascii="Arial" w:hAnsi="Arial" w:cs="Arial"/>
          <w:bCs/>
          <w:sz w:val="24"/>
          <w:szCs w:val="24"/>
        </w:rPr>
        <w:t xml:space="preserve">e region for development, and directly give </w:t>
      </w:r>
      <w:r w:rsidR="00F51208" w:rsidRPr="001820AB">
        <w:rPr>
          <w:rFonts w:ascii="Arial" w:hAnsi="Arial" w:cs="Arial"/>
          <w:bCs/>
          <w:sz w:val="24"/>
          <w:szCs w:val="24"/>
        </w:rPr>
        <w:t>it</w:t>
      </w:r>
      <w:r w:rsidR="002C49EA" w:rsidRPr="001820AB">
        <w:rPr>
          <w:rFonts w:ascii="Arial" w:hAnsi="Arial" w:cs="Arial"/>
          <w:bCs/>
          <w:sz w:val="24"/>
          <w:szCs w:val="24"/>
        </w:rPr>
        <w:t xml:space="preserve"> supporting to partners. In a rapidly making business landscape, where buyers are lucidly mindful of the environmental impact of their choices, Accor's key mix of circular economy standards lines up with making societal questions as well as positions the relationship as a responsible and striking player in the hospitality industry (Dagillene, Baraniute, Bruneckine, 2021). The coordination of circular economy practices within its CSR policy safeguards Accor against conceivable environmental risks as well as </w:t>
      </w:r>
      <w:r w:rsidR="002C49EA" w:rsidRPr="001820AB">
        <w:rPr>
          <w:rFonts w:ascii="Arial" w:hAnsi="Arial" w:cs="Arial"/>
          <w:bCs/>
          <w:sz w:val="24"/>
          <w:szCs w:val="24"/>
        </w:rPr>
        <w:lastRenderedPageBreak/>
        <w:t>encourages a positive brand image, attracting environmentally savvy buyers and adding to the overall sustainability of the business.</w:t>
      </w:r>
    </w:p>
    <w:p w14:paraId="3663B0CF" w14:textId="502E1FB4" w:rsidR="002C49EA" w:rsidRPr="001820AB" w:rsidRDefault="002C49EA" w:rsidP="001820AB">
      <w:pPr>
        <w:spacing w:after="0" w:line="360" w:lineRule="auto"/>
        <w:jc w:val="both"/>
        <w:rPr>
          <w:rFonts w:ascii="Arial" w:hAnsi="Arial" w:cs="Arial"/>
          <w:bCs/>
          <w:sz w:val="24"/>
          <w:szCs w:val="24"/>
        </w:rPr>
      </w:pPr>
      <w:r w:rsidRPr="001820AB">
        <w:rPr>
          <w:rFonts w:ascii="Arial" w:hAnsi="Arial" w:cs="Arial"/>
          <w:bCs/>
          <w:sz w:val="24"/>
          <w:szCs w:val="24"/>
        </w:rPr>
        <w:t xml:space="preserve">Unilever's commitment to a circular economy exemplifies how a global client merchandise goliath can drive positive change in the industry. The association has definitively facilitated circular economy standards into its errands, showing a confirmation to sustainable practices and responsible consumption. Unilever's technique for administering circularity begins with product design (Fonseca and Carnicelli, 2021). The association bases on making products that are really recyclable and incorporates reused materials into its social undertaking processes. By designing for recyclability, Unilever wants to restrict the environmental impact of its products generally through their life cycle. This proactive design system diminishes waste as well as cranes a circular procedure for regulating material use. Sustainable packaging is a key piece of Unilever's circular economy drives. The connection has been at the front of endeavors to reduce plastic waste by executing innovative packaging solutions. This incorporates researching elective materials, reducing packaging weight, and expanding the use of reused content (Gunarathne et al., 2021). Unilever's commitment to circular packaging lines up with global undertakings to handle the plastic tainting crisis, adding to a more sustainable and circular supply chain. Notwithstanding product design and packaging, Unilever actually participates in drives highlighted closing the loop on plastic waste. The connection has areas of strength for set to gather and manage more plastic packaging than it sells by 2025 (Hutsaliuk et al., 2021). This responsibility reflects a total understanding of the circular economy, underlining the meaning of responsible waste management and reusing structure development. Shifting focus to the design industry, Patagonia stands out as a </w:t>
      </w:r>
      <w:r w:rsidR="00F51208" w:rsidRPr="001820AB">
        <w:rPr>
          <w:rFonts w:ascii="Arial" w:hAnsi="Arial" w:cs="Arial"/>
          <w:bCs/>
          <w:sz w:val="24"/>
          <w:szCs w:val="24"/>
        </w:rPr>
        <w:t>trailblazer</w:t>
      </w:r>
      <w:r w:rsidRPr="001820AB">
        <w:rPr>
          <w:rFonts w:ascii="Arial" w:hAnsi="Arial" w:cs="Arial"/>
          <w:bCs/>
          <w:sz w:val="24"/>
          <w:szCs w:val="24"/>
        </w:rPr>
        <w:t xml:space="preserve"> in circular economy practices within the dress sector. Known for its commitment to environmental sustainability, Patagonia urges clients to fix and reuse their dress through its </w:t>
      </w:r>
      <w:r w:rsidR="00F51208" w:rsidRPr="001820AB">
        <w:rPr>
          <w:rFonts w:ascii="Arial" w:hAnsi="Arial" w:cs="Arial"/>
          <w:bCs/>
          <w:sz w:val="24"/>
          <w:szCs w:val="24"/>
        </w:rPr>
        <w:t>All-around</w:t>
      </w:r>
      <w:r w:rsidRPr="001820AB">
        <w:rPr>
          <w:rFonts w:ascii="Arial" w:hAnsi="Arial" w:cs="Arial"/>
          <w:bCs/>
          <w:sz w:val="24"/>
          <w:szCs w:val="24"/>
        </w:rPr>
        <w:t xml:space="preserve"> utili</w:t>
      </w:r>
      <w:r w:rsidR="006E10AB" w:rsidRPr="001820AB">
        <w:rPr>
          <w:rFonts w:ascii="Arial" w:hAnsi="Arial" w:cs="Arial"/>
          <w:bCs/>
          <w:sz w:val="24"/>
          <w:szCs w:val="24"/>
        </w:rPr>
        <w:t>s</w:t>
      </w:r>
      <w:r w:rsidRPr="001820AB">
        <w:rPr>
          <w:rFonts w:ascii="Arial" w:hAnsi="Arial" w:cs="Arial"/>
          <w:bCs/>
          <w:sz w:val="24"/>
          <w:szCs w:val="24"/>
        </w:rPr>
        <w:t>ed Wear program. This drive moves the eventual fate of Patagonia products by expanding their life through fix and resale, agreeing with the standards of a circular economy (Manniche, Larsen, Broegaard, 2021). The Especially utili</w:t>
      </w:r>
      <w:r w:rsidR="006E10AB" w:rsidRPr="001820AB">
        <w:rPr>
          <w:rFonts w:ascii="Arial" w:hAnsi="Arial" w:cs="Arial"/>
          <w:bCs/>
          <w:sz w:val="24"/>
          <w:szCs w:val="24"/>
        </w:rPr>
        <w:t>s</w:t>
      </w:r>
      <w:r w:rsidRPr="001820AB">
        <w:rPr>
          <w:rFonts w:ascii="Arial" w:hAnsi="Arial" w:cs="Arial"/>
          <w:bCs/>
          <w:sz w:val="24"/>
          <w:szCs w:val="24"/>
        </w:rPr>
        <w:t xml:space="preserve">ed Wear program, essentially, challenges the standard fast design model by enabling clients to trust dress to be a hypothesis as opposed to something pointless. By giving fix advantages and working with the resale of used dress, Patagonia raises a circular procedure for regulating design consumption, lessening the by and large environmental impact related with clothing production and evacuation </w:t>
      </w:r>
      <w:r w:rsidRPr="001820AB">
        <w:rPr>
          <w:rFonts w:ascii="Arial" w:hAnsi="Arial" w:cs="Arial"/>
          <w:bCs/>
          <w:sz w:val="24"/>
          <w:szCs w:val="24"/>
        </w:rPr>
        <w:lastRenderedPageBreak/>
        <w:t>(Peña Miranda et al., 2022). Patagonia's commitment to straightforwardness further cultivates its circular economy drives. The association gives done for information about the environmental impression of its products, allowing clients to seek after informed choices. This straightforwardness draws in trust as well as draws in buyers to truly participate in the circular economy by supporting sustainable and responsible brands (Soren and Sivaraja, 2021).</w:t>
      </w:r>
    </w:p>
    <w:p w14:paraId="2982D03D" w14:textId="57AC0DC3" w:rsidR="002C49EA" w:rsidRPr="001820AB" w:rsidRDefault="002C49EA" w:rsidP="001820AB">
      <w:pPr>
        <w:spacing w:after="0" w:line="360" w:lineRule="auto"/>
        <w:jc w:val="both"/>
        <w:rPr>
          <w:rFonts w:ascii="Arial" w:hAnsi="Arial" w:cs="Arial"/>
          <w:bCs/>
          <w:sz w:val="24"/>
          <w:szCs w:val="24"/>
        </w:rPr>
      </w:pPr>
      <w:r w:rsidRPr="001820AB">
        <w:rPr>
          <w:rFonts w:ascii="Arial" w:hAnsi="Arial" w:cs="Arial"/>
          <w:bCs/>
          <w:sz w:val="24"/>
          <w:szCs w:val="24"/>
        </w:rPr>
        <w:t>Joined Nations' Sustainable Development Goal 12: Responsible Consumption and Production is an essential design that exemplifies the substance of circular economy standards. This goal is a wellspring of motivation for countries, businesses, and individuals to ensure sustainable instances of consumption and production that are as one with the planet's bound resources (Vatonsever, Akarsu, Kazançoğlu, 2021). Accor's commitment to circular economy changes impeccably with the objectives of Goal 12, organi</w:t>
      </w:r>
      <w:r w:rsidR="006E10AB" w:rsidRPr="001820AB">
        <w:rPr>
          <w:rFonts w:ascii="Arial" w:hAnsi="Arial" w:cs="Arial"/>
          <w:bCs/>
          <w:sz w:val="24"/>
          <w:szCs w:val="24"/>
        </w:rPr>
        <w:t>s</w:t>
      </w:r>
      <w:r w:rsidRPr="001820AB">
        <w:rPr>
          <w:rFonts w:ascii="Arial" w:hAnsi="Arial" w:cs="Arial"/>
          <w:bCs/>
          <w:sz w:val="24"/>
          <w:szCs w:val="24"/>
        </w:rPr>
        <w:t>ing the relationship as a proactive accomplice of global sustainability. Accor's undertakings to limit environmental impact structure a highlight of its plan with Goal 12. By embracing circular economy standards, the association wants to part away from the standard linear model of resource extraction, consumption, and clearing. Taking into account everything, Accor takes on a closed-loop system that brilliant lights on the productive use of resources, diminishing the heap on regular ecosystems (Walwas et al., 2021). This approach clearly stays aware of the SDG's mean to achieve more sustainable consumption and production designs.</w:t>
      </w:r>
    </w:p>
    <w:p w14:paraId="1A7B823D" w14:textId="77777777" w:rsidR="002C49EA" w:rsidRPr="001820AB" w:rsidRDefault="002C49EA" w:rsidP="001820AB">
      <w:pPr>
        <w:spacing w:after="0" w:line="360" w:lineRule="auto"/>
        <w:jc w:val="both"/>
        <w:rPr>
          <w:rFonts w:ascii="Arial" w:hAnsi="Arial" w:cs="Arial"/>
          <w:bCs/>
          <w:sz w:val="24"/>
          <w:szCs w:val="24"/>
        </w:rPr>
      </w:pPr>
      <w:r w:rsidRPr="001820AB">
        <w:rPr>
          <w:rFonts w:ascii="Arial" w:hAnsi="Arial" w:cs="Arial"/>
          <w:bCs/>
          <w:sz w:val="24"/>
          <w:szCs w:val="24"/>
        </w:rPr>
        <w:t>Diminishing waste age is a central goal of Goal 12, and Accor's waste reduction drives address a sensible execution of this goal. The connection's commitment to restricting single-use plastics and progressing reusing programs lines up with the chance of responsible consumption and production (Youssef et al., 2021). Accor is genuinely participated in reconsidering its waste management systems, connecting with a circular procedure that means to reuse, reuse, or reuse materials rather than sending them to landfills. Accor's advancement of responsible consumption is clear in its enhancement on sustainable sourcing and moral business practices. By picking suppliers agreed with environmental and moral standards, Accor stays aware of sustainable production strategies upstream in its supply chain (Ahmed and Yuliana, 2022). This not simply decreases the ill-disposed results related with resource extraction yet moreover makes responsible business lead as per Goal 12.</w:t>
      </w:r>
    </w:p>
    <w:p w14:paraId="0F401BFB" w14:textId="77777777" w:rsidR="002C49EA" w:rsidRPr="001820AB" w:rsidRDefault="002C49EA" w:rsidP="001820AB">
      <w:pPr>
        <w:spacing w:after="0" w:line="360" w:lineRule="auto"/>
        <w:jc w:val="both"/>
        <w:rPr>
          <w:rFonts w:ascii="Arial" w:hAnsi="Arial" w:cs="Arial"/>
          <w:bCs/>
          <w:sz w:val="24"/>
          <w:szCs w:val="24"/>
        </w:rPr>
      </w:pPr>
      <w:r w:rsidRPr="001820AB">
        <w:rPr>
          <w:rFonts w:ascii="Arial" w:hAnsi="Arial" w:cs="Arial"/>
          <w:bCs/>
          <w:sz w:val="24"/>
          <w:szCs w:val="24"/>
        </w:rPr>
        <w:t xml:space="preserve">Also, Accor's circular economy drives add to the overall sustainability of the hospitality industry. As a key part, the connection's commitment to responsible consumption and </w:t>
      </w:r>
      <w:r w:rsidRPr="001820AB">
        <w:rPr>
          <w:rFonts w:ascii="Arial" w:hAnsi="Arial" w:cs="Arial"/>
          <w:bCs/>
          <w:sz w:val="24"/>
          <w:szCs w:val="24"/>
        </w:rPr>
        <w:lastRenderedPageBreak/>
        <w:t>production sets a model for various businesses in the sector ((Zorpas et al., 2021)). By showing the open door and benefits of circular economy blend, Accor adds to the more unmistakable social gathering of sustainable practices within the hospitality industry, stubbornly affecting global supply chains. A huge piece of Goal 12 is the call for businesses to do sustainable practices. Accor's commitment to circular economy standards loosens up past way to deal with talking, as shown by its colossal undertakings to follow key performance indicators related with sustainability and waste reduction (Kwarteng, Simpson, Agyenim-Boateng, 2022). The connection's commitment to straightforwardness in revealing its environmental impact reflects a dedication to responsibility and lines up with the SDG's enhancement on progressing sustainable business practices.</w:t>
      </w:r>
    </w:p>
    <w:p w14:paraId="3D01FA4D" w14:textId="65B9D1C4" w:rsidR="00052914" w:rsidRPr="001820AB" w:rsidRDefault="002C49EA" w:rsidP="001820AB">
      <w:pPr>
        <w:spacing w:after="0" w:line="360" w:lineRule="auto"/>
        <w:jc w:val="both"/>
        <w:rPr>
          <w:rFonts w:ascii="Arial" w:hAnsi="Arial" w:cs="Arial"/>
          <w:bCs/>
          <w:vanish/>
          <w:sz w:val="24"/>
          <w:szCs w:val="24"/>
        </w:rPr>
      </w:pPr>
      <w:r w:rsidRPr="001820AB">
        <w:rPr>
          <w:rFonts w:ascii="Arial" w:hAnsi="Arial" w:cs="Arial"/>
          <w:bCs/>
          <w:sz w:val="24"/>
          <w:szCs w:val="24"/>
        </w:rPr>
        <w:t>With all that considered, the paper takes a gander at the fundamental shift towards sustainability in the global business landscape, with a supplement on Accor's focal joining of circular economy standards within its Corporate Social Responsibility (CSR) policy. The circular economy model, highlighting resource regeneration and waste reduction, is bankrupt down neighboring industry models like Unilever and Patagonia. Accor's commitment to responsible sourcing, waste reduction, and straightforwardness in following sustainability evaluations positions it as a harbinger in sustainable hospitality. The connection's undertakings change constantly with the Bound together Nations' Sustainable Development Goal 12, showing a proactive obligation to global sustainability. As Accor explores the delicate congruity among development and environmental stewardship, its circular economy reconciliation safeguards against bets as well as empowers a positive brand image, charming to environmentally knowing clients and pushing the overall sustainability plan in the hospitality industry.</w:t>
      </w:r>
      <w:r w:rsidR="00052914" w:rsidRPr="001820AB">
        <w:rPr>
          <w:rFonts w:ascii="Arial" w:hAnsi="Arial" w:cs="Arial"/>
          <w:bCs/>
          <w:vanish/>
          <w:sz w:val="24"/>
          <w:szCs w:val="24"/>
        </w:rPr>
        <w:t>Top of Form</w:t>
      </w:r>
    </w:p>
    <w:p w14:paraId="12397969" w14:textId="77777777" w:rsidR="00AC4370" w:rsidRPr="001820AB" w:rsidRDefault="00AC4370" w:rsidP="001820AB">
      <w:pPr>
        <w:spacing w:after="0" w:line="360" w:lineRule="auto"/>
        <w:jc w:val="both"/>
        <w:rPr>
          <w:rFonts w:ascii="Arial" w:hAnsi="Arial" w:cs="Arial"/>
          <w:b/>
          <w:sz w:val="24"/>
          <w:szCs w:val="24"/>
        </w:rPr>
      </w:pPr>
    </w:p>
    <w:p w14:paraId="04692860" w14:textId="77777777" w:rsidR="00C25BC0" w:rsidRPr="001820AB" w:rsidRDefault="00C25BC0" w:rsidP="001820AB">
      <w:pPr>
        <w:spacing w:line="360" w:lineRule="auto"/>
        <w:jc w:val="both"/>
        <w:rPr>
          <w:rFonts w:ascii="Arial" w:eastAsiaTheme="majorEastAsia" w:hAnsi="Arial" w:cs="Arial"/>
          <w:b/>
          <w:color w:val="000000" w:themeColor="text1"/>
          <w:sz w:val="24"/>
          <w:szCs w:val="24"/>
        </w:rPr>
      </w:pPr>
      <w:r w:rsidRPr="001820AB">
        <w:rPr>
          <w:rFonts w:ascii="Arial" w:hAnsi="Arial" w:cs="Arial"/>
          <w:sz w:val="24"/>
          <w:szCs w:val="24"/>
        </w:rPr>
        <w:br w:type="page"/>
      </w:r>
    </w:p>
    <w:p w14:paraId="26E3C182" w14:textId="34D5AD61" w:rsidR="003D50F1" w:rsidRPr="001820AB" w:rsidRDefault="007E27F7" w:rsidP="001820AB">
      <w:pPr>
        <w:pStyle w:val="Heading1"/>
        <w:spacing w:before="0"/>
        <w:rPr>
          <w:sz w:val="24"/>
          <w:szCs w:val="24"/>
        </w:rPr>
      </w:pPr>
      <w:r w:rsidRPr="001820AB">
        <w:rPr>
          <w:sz w:val="24"/>
          <w:szCs w:val="24"/>
        </w:rPr>
        <w:lastRenderedPageBreak/>
        <w:t>References</w:t>
      </w:r>
    </w:p>
    <w:p w14:paraId="0A835F69"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Achmad, W. and Yulianah, Y. (2022) ‘Corporate social responsibility of the hospitality industry in realizing sustainable tourism development’, </w:t>
      </w:r>
      <w:r w:rsidRPr="001820AB">
        <w:rPr>
          <w:rFonts w:ascii="Arial" w:hAnsi="Arial" w:cs="Arial"/>
          <w:i/>
          <w:iCs/>
          <w:sz w:val="24"/>
          <w:szCs w:val="24"/>
        </w:rPr>
        <w:t>Enrichment: Journal of Management</w:t>
      </w:r>
      <w:r w:rsidRPr="001820AB">
        <w:rPr>
          <w:rFonts w:ascii="Arial" w:hAnsi="Arial" w:cs="Arial"/>
          <w:sz w:val="24"/>
          <w:szCs w:val="24"/>
        </w:rPr>
        <w:t>, 12(2), pp. 1610–1616.</w:t>
      </w:r>
    </w:p>
    <w:p w14:paraId="6CF0080C"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Camilleri, M.A. (2020) ‘Strategic corporate social responsibility in tourism and hospitality’, </w:t>
      </w:r>
      <w:r w:rsidRPr="001820AB">
        <w:rPr>
          <w:rFonts w:ascii="Arial" w:hAnsi="Arial" w:cs="Arial"/>
          <w:i/>
          <w:iCs/>
          <w:sz w:val="24"/>
          <w:szCs w:val="24"/>
        </w:rPr>
        <w:t>Camilleri, MA, Strategic Corporate Social Responsibility in Tourism and Hospitality. Sustainable Development</w:t>
      </w:r>
      <w:r w:rsidRPr="001820AB">
        <w:rPr>
          <w:rFonts w:ascii="Arial" w:hAnsi="Arial" w:cs="Arial"/>
          <w:sz w:val="24"/>
          <w:szCs w:val="24"/>
        </w:rPr>
        <w:t>, pp. 1–3.</w:t>
      </w:r>
    </w:p>
    <w:p w14:paraId="4F71AA72"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Camilleri, M.A. (2021) ‘Sustainable production and consumption of food. Mise-en-place circular economy policies and waste management practices in tourism cities’, </w:t>
      </w:r>
      <w:r w:rsidRPr="001820AB">
        <w:rPr>
          <w:rFonts w:ascii="Arial" w:hAnsi="Arial" w:cs="Arial"/>
          <w:i/>
          <w:iCs/>
          <w:sz w:val="24"/>
          <w:szCs w:val="24"/>
        </w:rPr>
        <w:t>Sustainability</w:t>
      </w:r>
      <w:r w:rsidRPr="001820AB">
        <w:rPr>
          <w:rFonts w:ascii="Arial" w:hAnsi="Arial" w:cs="Arial"/>
          <w:sz w:val="24"/>
          <w:szCs w:val="24"/>
        </w:rPr>
        <w:t>, 13(17), p. 9986.</w:t>
      </w:r>
    </w:p>
    <w:p w14:paraId="56A4BB71"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Dagilienė, L., Varaniūtė, V. and Bruneckienė, J. (2021) ‘Local governments’ perspective on implementing the circular economy: A framework for future solutions’, </w:t>
      </w:r>
      <w:r w:rsidRPr="001820AB">
        <w:rPr>
          <w:rFonts w:ascii="Arial" w:hAnsi="Arial" w:cs="Arial"/>
          <w:i/>
          <w:iCs/>
          <w:sz w:val="24"/>
          <w:szCs w:val="24"/>
        </w:rPr>
        <w:t>Journal of Cleaner Production</w:t>
      </w:r>
      <w:r w:rsidRPr="001820AB">
        <w:rPr>
          <w:rFonts w:ascii="Arial" w:hAnsi="Arial" w:cs="Arial"/>
          <w:sz w:val="24"/>
          <w:szCs w:val="24"/>
        </w:rPr>
        <w:t>, 310, p. 127340.</w:t>
      </w:r>
    </w:p>
    <w:p w14:paraId="08B7CAB3"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Fonseca, A.P. and Carnicelli, S. (2021) ‘Corporate social responsibility and sustainability in a hospitality family business’, </w:t>
      </w:r>
      <w:r w:rsidRPr="001820AB">
        <w:rPr>
          <w:rFonts w:ascii="Arial" w:hAnsi="Arial" w:cs="Arial"/>
          <w:i/>
          <w:iCs/>
          <w:sz w:val="24"/>
          <w:szCs w:val="24"/>
        </w:rPr>
        <w:t>Sustainability</w:t>
      </w:r>
      <w:r w:rsidRPr="001820AB">
        <w:rPr>
          <w:rFonts w:ascii="Arial" w:hAnsi="Arial" w:cs="Arial"/>
          <w:sz w:val="24"/>
          <w:szCs w:val="24"/>
        </w:rPr>
        <w:t>, 13(13), p. 7091.</w:t>
      </w:r>
    </w:p>
    <w:p w14:paraId="0DE7F70B"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Gunarathne, N. </w:t>
      </w:r>
      <w:r w:rsidRPr="001820AB">
        <w:rPr>
          <w:rFonts w:ascii="Arial" w:hAnsi="Arial" w:cs="Arial"/>
          <w:i/>
          <w:iCs/>
          <w:sz w:val="24"/>
          <w:szCs w:val="24"/>
        </w:rPr>
        <w:t>et al.</w:t>
      </w:r>
      <w:r w:rsidRPr="001820AB">
        <w:rPr>
          <w:rFonts w:ascii="Arial" w:hAnsi="Arial" w:cs="Arial"/>
          <w:sz w:val="24"/>
          <w:szCs w:val="24"/>
        </w:rPr>
        <w:t xml:space="preserve"> (2021) ‘Uncovering corporate disclosure for a circular economy: An analysis of sustainability and integrated reporting by Sri Lankan companies’, </w:t>
      </w:r>
      <w:r w:rsidRPr="001820AB">
        <w:rPr>
          <w:rFonts w:ascii="Arial" w:hAnsi="Arial" w:cs="Arial"/>
          <w:i/>
          <w:iCs/>
          <w:sz w:val="24"/>
          <w:szCs w:val="24"/>
        </w:rPr>
        <w:t>Sustainable Production and Consumption</w:t>
      </w:r>
      <w:r w:rsidRPr="001820AB">
        <w:rPr>
          <w:rFonts w:ascii="Arial" w:hAnsi="Arial" w:cs="Arial"/>
          <w:sz w:val="24"/>
          <w:szCs w:val="24"/>
        </w:rPr>
        <w:t>, 27, pp. 787–801.</w:t>
      </w:r>
    </w:p>
    <w:p w14:paraId="16FD1573"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Hutsaliuk, O. </w:t>
      </w:r>
      <w:r w:rsidRPr="001820AB">
        <w:rPr>
          <w:rFonts w:ascii="Arial" w:hAnsi="Arial" w:cs="Arial"/>
          <w:i/>
          <w:iCs/>
          <w:sz w:val="24"/>
          <w:szCs w:val="24"/>
        </w:rPr>
        <w:t>et al.</w:t>
      </w:r>
      <w:r w:rsidRPr="001820AB">
        <w:rPr>
          <w:rFonts w:ascii="Arial" w:hAnsi="Arial" w:cs="Arial"/>
          <w:sz w:val="24"/>
          <w:szCs w:val="24"/>
        </w:rPr>
        <w:t xml:space="preserve"> (2021) ‘Organization and management of the development of ecological tourism in a circular economy’, in </w:t>
      </w:r>
      <w:r w:rsidRPr="001820AB">
        <w:rPr>
          <w:rFonts w:ascii="Arial" w:hAnsi="Arial" w:cs="Arial"/>
          <w:i/>
          <w:iCs/>
          <w:sz w:val="24"/>
          <w:szCs w:val="24"/>
        </w:rPr>
        <w:t>E3S Web of Conferences</w:t>
      </w:r>
      <w:r w:rsidRPr="001820AB">
        <w:rPr>
          <w:rFonts w:ascii="Arial" w:hAnsi="Arial" w:cs="Arial"/>
          <w:sz w:val="24"/>
          <w:szCs w:val="24"/>
        </w:rPr>
        <w:t xml:space="preserve">. EDP Sciences, p. 01026. Available at: </w:t>
      </w:r>
      <w:hyperlink r:id="rId4" w:history="1">
        <w:r w:rsidRPr="001820AB">
          <w:rPr>
            <w:rStyle w:val="Hyperlink"/>
            <w:rFonts w:ascii="Arial" w:hAnsi="Arial" w:cs="Arial"/>
            <w:sz w:val="24"/>
            <w:szCs w:val="24"/>
          </w:rPr>
          <w:t>https://www.e3s-conferences.org/articles/e3sconf/abs/2021/31/e3sconf_iscmee2021_01026/e3sconf_iscmee2021_01026.html</w:t>
        </w:r>
      </w:hyperlink>
      <w:r w:rsidRPr="001820AB">
        <w:rPr>
          <w:rFonts w:ascii="Arial" w:hAnsi="Arial" w:cs="Arial"/>
          <w:sz w:val="24"/>
          <w:szCs w:val="24"/>
        </w:rPr>
        <w:t xml:space="preserve"> (Accessed: 24 January 2024).</w:t>
      </w:r>
    </w:p>
    <w:p w14:paraId="062C95F4"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Kwarteng, A., Simpson, S.N.Y. and Agyenim-Boateng, C. (2022) ‘The effects of circular economy initiative implementation on business performance: the moderating role of organizational culture’, </w:t>
      </w:r>
      <w:r w:rsidRPr="001820AB">
        <w:rPr>
          <w:rFonts w:ascii="Arial" w:hAnsi="Arial" w:cs="Arial"/>
          <w:i/>
          <w:iCs/>
          <w:sz w:val="24"/>
          <w:szCs w:val="24"/>
        </w:rPr>
        <w:t>Social Responsibility Journal</w:t>
      </w:r>
      <w:r w:rsidRPr="001820AB">
        <w:rPr>
          <w:rFonts w:ascii="Arial" w:hAnsi="Arial" w:cs="Arial"/>
          <w:sz w:val="24"/>
          <w:szCs w:val="24"/>
        </w:rPr>
        <w:t>, 18(7), pp. 1311–1341.</w:t>
      </w:r>
    </w:p>
    <w:p w14:paraId="77815574"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Manniche, J., Larsen, K.T. and Broegaard, R.B. (2021) ‘The circular economy in tourism: transition perspectives for business and research’, </w:t>
      </w:r>
      <w:r w:rsidRPr="001820AB">
        <w:rPr>
          <w:rFonts w:ascii="Arial" w:hAnsi="Arial" w:cs="Arial"/>
          <w:i/>
          <w:iCs/>
          <w:sz w:val="24"/>
          <w:szCs w:val="24"/>
        </w:rPr>
        <w:t>Scandinavian Journal of Hospitality and Tourism</w:t>
      </w:r>
      <w:r w:rsidRPr="001820AB">
        <w:rPr>
          <w:rFonts w:ascii="Arial" w:hAnsi="Arial" w:cs="Arial"/>
          <w:sz w:val="24"/>
          <w:szCs w:val="24"/>
        </w:rPr>
        <w:t>, 21(3), pp. 247–264.</w:t>
      </w:r>
    </w:p>
    <w:p w14:paraId="37B83C9A"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Matteucci, V. (2020) ‘How can the hospitality industry increase corporate value aligned with sustainable development goals? Case examples from Hilton, Meliá and Sun’, </w:t>
      </w:r>
      <w:r w:rsidRPr="001820AB">
        <w:rPr>
          <w:rFonts w:ascii="Arial" w:hAnsi="Arial" w:cs="Arial"/>
          <w:i/>
          <w:iCs/>
          <w:sz w:val="24"/>
          <w:szCs w:val="24"/>
        </w:rPr>
        <w:t>Worldwide Hospitality and Tourism Themes</w:t>
      </w:r>
      <w:r w:rsidRPr="001820AB">
        <w:rPr>
          <w:rFonts w:ascii="Arial" w:hAnsi="Arial" w:cs="Arial"/>
          <w:sz w:val="24"/>
          <w:szCs w:val="24"/>
        </w:rPr>
        <w:t>, 12(5), pp. 509–523.</w:t>
      </w:r>
    </w:p>
    <w:p w14:paraId="31F9A45B"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lastRenderedPageBreak/>
        <w:t xml:space="preserve">Ng, A.W. and Tavitiyaman, P. (2020) ‘Corporate social responsibility and sustainability initiatives of multinational hotel corporations’, </w:t>
      </w:r>
      <w:r w:rsidRPr="001820AB">
        <w:rPr>
          <w:rFonts w:ascii="Arial" w:hAnsi="Arial" w:cs="Arial"/>
          <w:i/>
          <w:iCs/>
          <w:sz w:val="24"/>
          <w:szCs w:val="24"/>
        </w:rPr>
        <w:t>International business, trade and institutional sustainability</w:t>
      </w:r>
      <w:r w:rsidRPr="001820AB">
        <w:rPr>
          <w:rFonts w:ascii="Arial" w:hAnsi="Arial" w:cs="Arial"/>
          <w:sz w:val="24"/>
          <w:szCs w:val="24"/>
        </w:rPr>
        <w:t>, pp. 3–15.</w:t>
      </w:r>
    </w:p>
    <w:p w14:paraId="51230AAE"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lang w:val="pt-PT"/>
        </w:rPr>
        <w:t xml:space="preserve">Peña-Miranda, D.D. </w:t>
      </w:r>
      <w:r w:rsidRPr="001820AB">
        <w:rPr>
          <w:rFonts w:ascii="Arial" w:hAnsi="Arial" w:cs="Arial"/>
          <w:i/>
          <w:iCs/>
          <w:sz w:val="24"/>
          <w:szCs w:val="24"/>
          <w:lang w:val="pt-PT"/>
        </w:rPr>
        <w:t>et al.</w:t>
      </w:r>
      <w:r w:rsidRPr="001820AB">
        <w:rPr>
          <w:rFonts w:ascii="Arial" w:hAnsi="Arial" w:cs="Arial"/>
          <w:sz w:val="24"/>
          <w:szCs w:val="24"/>
          <w:lang w:val="pt-PT"/>
        </w:rPr>
        <w:t xml:space="preserve"> </w:t>
      </w:r>
      <w:r w:rsidRPr="001820AB">
        <w:rPr>
          <w:rFonts w:ascii="Arial" w:hAnsi="Arial" w:cs="Arial"/>
          <w:sz w:val="24"/>
          <w:szCs w:val="24"/>
        </w:rPr>
        <w:t xml:space="preserve">(2022) ‘Corporate social responsibility model for a competitive and resilient hospitality industry’, </w:t>
      </w:r>
      <w:r w:rsidRPr="001820AB">
        <w:rPr>
          <w:rFonts w:ascii="Arial" w:hAnsi="Arial" w:cs="Arial"/>
          <w:i/>
          <w:iCs/>
          <w:sz w:val="24"/>
          <w:szCs w:val="24"/>
        </w:rPr>
        <w:t>Sustainable Development</w:t>
      </w:r>
      <w:r w:rsidRPr="001820AB">
        <w:rPr>
          <w:rFonts w:ascii="Arial" w:hAnsi="Arial" w:cs="Arial"/>
          <w:sz w:val="24"/>
          <w:szCs w:val="24"/>
        </w:rPr>
        <w:t>, 30(3), pp. 433–446.</w:t>
      </w:r>
    </w:p>
    <w:p w14:paraId="485D83F6"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Pongsakornrungsilp, P. and Pongsakornrungsilp, S. (2023) ‘Mindful tourism: nothing left behind–creating a circular economy society for the tourism industry of Krabi, Thailand’, </w:t>
      </w:r>
      <w:r w:rsidRPr="001820AB">
        <w:rPr>
          <w:rFonts w:ascii="Arial" w:hAnsi="Arial" w:cs="Arial"/>
          <w:i/>
          <w:iCs/>
          <w:sz w:val="24"/>
          <w:szCs w:val="24"/>
        </w:rPr>
        <w:t>Journal of Tourism Futures</w:t>
      </w:r>
      <w:r w:rsidRPr="001820AB">
        <w:rPr>
          <w:rFonts w:ascii="Arial" w:hAnsi="Arial" w:cs="Arial"/>
          <w:sz w:val="24"/>
          <w:szCs w:val="24"/>
        </w:rPr>
        <w:t>, 9(3), pp. 366–380.</w:t>
      </w:r>
    </w:p>
    <w:p w14:paraId="469C4A89"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Saha, K., Dey, P.K. and Papagiannaki, E. (2022) ‘Implementing circular economy in the textile and clothing industry’, in </w:t>
      </w:r>
      <w:r w:rsidRPr="001820AB">
        <w:rPr>
          <w:rFonts w:ascii="Arial" w:hAnsi="Arial" w:cs="Arial"/>
          <w:i/>
          <w:iCs/>
          <w:sz w:val="24"/>
          <w:szCs w:val="24"/>
        </w:rPr>
        <w:t>Supply Chain Sustainability in Small and Medium Sized Enterprises</w:t>
      </w:r>
      <w:r w:rsidRPr="001820AB">
        <w:rPr>
          <w:rFonts w:ascii="Arial" w:hAnsi="Arial" w:cs="Arial"/>
          <w:sz w:val="24"/>
          <w:szCs w:val="24"/>
        </w:rPr>
        <w:t xml:space="preserve">. Routledge, pp. 239–276. Available at: </w:t>
      </w:r>
      <w:hyperlink r:id="rId5" w:history="1">
        <w:r w:rsidRPr="001820AB">
          <w:rPr>
            <w:rStyle w:val="Hyperlink"/>
            <w:rFonts w:ascii="Arial" w:hAnsi="Arial" w:cs="Arial"/>
            <w:sz w:val="24"/>
            <w:szCs w:val="24"/>
          </w:rPr>
          <w:t>https://www.taylorfrancis.com/chapters/edit/10.4324/9781003018551-10/implementing-circular-economy-textile-clothing-industry-krishnendu-saha-prasanta-kumar-dey-eleni-papagiannaki</w:t>
        </w:r>
      </w:hyperlink>
      <w:r w:rsidRPr="001820AB">
        <w:rPr>
          <w:rFonts w:ascii="Arial" w:hAnsi="Arial" w:cs="Arial"/>
          <w:sz w:val="24"/>
          <w:szCs w:val="24"/>
        </w:rPr>
        <w:t xml:space="preserve"> (Accessed: 24 January 2024).</w:t>
      </w:r>
    </w:p>
    <w:p w14:paraId="74E43F43"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Sorin, F. and Sivarajah, U. (2021) ‘Exploring Circular economy in the hospitality industry: empirical evidence from Scandinavian hotel operators’, </w:t>
      </w:r>
      <w:r w:rsidRPr="001820AB">
        <w:rPr>
          <w:rFonts w:ascii="Arial" w:hAnsi="Arial" w:cs="Arial"/>
          <w:i/>
          <w:iCs/>
          <w:sz w:val="24"/>
          <w:szCs w:val="24"/>
        </w:rPr>
        <w:t>Scandinavian Journal of Hospitality and Tourism</w:t>
      </w:r>
      <w:r w:rsidRPr="001820AB">
        <w:rPr>
          <w:rFonts w:ascii="Arial" w:hAnsi="Arial" w:cs="Arial"/>
          <w:sz w:val="24"/>
          <w:szCs w:val="24"/>
        </w:rPr>
        <w:t>, 21(3), pp. 265–285.</w:t>
      </w:r>
    </w:p>
    <w:p w14:paraId="735BD0D8"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Surya, P.R.A., Budarma, I.K. and Mudana, I.G. (2020) ‘Three-cluster policy in the implementation of corporate social responsibility at Intercontinental Bali Resort’, </w:t>
      </w:r>
      <w:r w:rsidRPr="001820AB">
        <w:rPr>
          <w:rFonts w:ascii="Arial" w:hAnsi="Arial" w:cs="Arial"/>
          <w:i/>
          <w:iCs/>
          <w:sz w:val="24"/>
          <w:szCs w:val="24"/>
        </w:rPr>
        <w:t>International Journal of Green Tourism Research and Applications</w:t>
      </w:r>
      <w:r w:rsidRPr="001820AB">
        <w:rPr>
          <w:rFonts w:ascii="Arial" w:hAnsi="Arial" w:cs="Arial"/>
          <w:sz w:val="24"/>
          <w:szCs w:val="24"/>
        </w:rPr>
        <w:t>, 2(1), pp. 11–21.</w:t>
      </w:r>
    </w:p>
    <w:p w14:paraId="2467D0B4"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Vatansever, K., Akarsu, H. and Kazançoğlu, Y. (2021) ‘Evaluation of transition barriers to circular economy: a case from the tourism industry’. Available at: </w:t>
      </w:r>
      <w:hyperlink r:id="rId6" w:history="1">
        <w:r w:rsidRPr="001820AB">
          <w:rPr>
            <w:rStyle w:val="Hyperlink"/>
            <w:rFonts w:ascii="Arial" w:hAnsi="Arial" w:cs="Arial"/>
            <w:sz w:val="24"/>
            <w:szCs w:val="24"/>
          </w:rPr>
          <w:t>http://acikerisim.alanya.edu.tr/xmlui/handle/20.500.12868/1617</w:t>
        </w:r>
      </w:hyperlink>
      <w:r w:rsidRPr="001820AB">
        <w:rPr>
          <w:rFonts w:ascii="Arial" w:hAnsi="Arial" w:cs="Arial"/>
          <w:sz w:val="24"/>
          <w:szCs w:val="24"/>
        </w:rPr>
        <w:t xml:space="preserve"> (Accessed: 24 January 2024).</w:t>
      </w:r>
    </w:p>
    <w:p w14:paraId="3DBE41F6"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Warwas, I. </w:t>
      </w:r>
      <w:r w:rsidRPr="001820AB">
        <w:rPr>
          <w:rFonts w:ascii="Arial" w:hAnsi="Arial" w:cs="Arial"/>
          <w:i/>
          <w:iCs/>
          <w:sz w:val="24"/>
          <w:szCs w:val="24"/>
        </w:rPr>
        <w:t>et al.</w:t>
      </w:r>
      <w:r w:rsidRPr="001820AB">
        <w:rPr>
          <w:rFonts w:ascii="Arial" w:hAnsi="Arial" w:cs="Arial"/>
          <w:sz w:val="24"/>
          <w:szCs w:val="24"/>
        </w:rPr>
        <w:t xml:space="preserve"> (2021) ‘Going green and socially responsible–textile industry in transition to sustainability and a circular economy’, </w:t>
      </w:r>
      <w:r w:rsidRPr="001820AB">
        <w:rPr>
          <w:rFonts w:ascii="Arial" w:hAnsi="Arial" w:cs="Arial"/>
          <w:i/>
          <w:iCs/>
          <w:sz w:val="24"/>
          <w:szCs w:val="24"/>
        </w:rPr>
        <w:t>Fibres &amp; Textiles in Eastern Europe</w:t>
      </w:r>
      <w:r w:rsidRPr="001820AB">
        <w:rPr>
          <w:rFonts w:ascii="Arial" w:hAnsi="Arial" w:cs="Arial"/>
          <w:sz w:val="24"/>
          <w:szCs w:val="24"/>
        </w:rPr>
        <w:t>, (3 (147), pp. 8–18.</w:t>
      </w:r>
    </w:p>
    <w:p w14:paraId="46F55987"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rPr>
        <w:t xml:space="preserve">Yousaf, Z. </w:t>
      </w:r>
      <w:r w:rsidRPr="001820AB">
        <w:rPr>
          <w:rFonts w:ascii="Arial" w:hAnsi="Arial" w:cs="Arial"/>
          <w:i/>
          <w:iCs/>
          <w:sz w:val="24"/>
          <w:szCs w:val="24"/>
        </w:rPr>
        <w:t>et al.</w:t>
      </w:r>
      <w:r w:rsidRPr="001820AB">
        <w:rPr>
          <w:rFonts w:ascii="Arial" w:hAnsi="Arial" w:cs="Arial"/>
          <w:sz w:val="24"/>
          <w:szCs w:val="24"/>
        </w:rPr>
        <w:t xml:space="preserve"> (2021) ‘Environmental management system towards environmental performance of hotel industry: does corporate social responsibility authenticity really matter?’, </w:t>
      </w:r>
      <w:r w:rsidRPr="001820AB">
        <w:rPr>
          <w:rFonts w:ascii="Arial" w:hAnsi="Arial" w:cs="Arial"/>
          <w:i/>
          <w:iCs/>
          <w:sz w:val="24"/>
          <w:szCs w:val="24"/>
        </w:rPr>
        <w:t>Engineering Economics</w:t>
      </w:r>
      <w:r w:rsidRPr="001820AB">
        <w:rPr>
          <w:rFonts w:ascii="Arial" w:hAnsi="Arial" w:cs="Arial"/>
          <w:sz w:val="24"/>
          <w:szCs w:val="24"/>
        </w:rPr>
        <w:t>, 32(5), pp. 484–498.</w:t>
      </w:r>
    </w:p>
    <w:p w14:paraId="4D785DBE" w14:textId="77777777" w:rsidR="000A4024" w:rsidRPr="001820AB" w:rsidRDefault="000A4024" w:rsidP="001820AB">
      <w:pPr>
        <w:spacing w:after="0" w:line="360" w:lineRule="auto"/>
        <w:ind w:left="720" w:hanging="720"/>
        <w:jc w:val="both"/>
        <w:rPr>
          <w:rFonts w:ascii="Arial" w:hAnsi="Arial" w:cs="Arial"/>
          <w:sz w:val="24"/>
          <w:szCs w:val="24"/>
        </w:rPr>
      </w:pPr>
      <w:r w:rsidRPr="001820AB">
        <w:rPr>
          <w:rFonts w:ascii="Arial" w:hAnsi="Arial" w:cs="Arial"/>
          <w:sz w:val="24"/>
          <w:szCs w:val="24"/>
          <w:lang w:val="pt-PT"/>
        </w:rPr>
        <w:t xml:space="preserve">Zorpas, A.A. </w:t>
      </w:r>
      <w:r w:rsidRPr="001820AB">
        <w:rPr>
          <w:rFonts w:ascii="Arial" w:hAnsi="Arial" w:cs="Arial"/>
          <w:i/>
          <w:iCs/>
          <w:sz w:val="24"/>
          <w:szCs w:val="24"/>
          <w:lang w:val="pt-PT"/>
        </w:rPr>
        <w:t>et al.</w:t>
      </w:r>
      <w:r w:rsidRPr="001820AB">
        <w:rPr>
          <w:rFonts w:ascii="Arial" w:hAnsi="Arial" w:cs="Arial"/>
          <w:sz w:val="24"/>
          <w:szCs w:val="24"/>
          <w:lang w:val="pt-PT"/>
        </w:rPr>
        <w:t xml:space="preserve"> </w:t>
      </w:r>
      <w:r w:rsidRPr="001820AB">
        <w:rPr>
          <w:rFonts w:ascii="Arial" w:hAnsi="Arial" w:cs="Arial"/>
          <w:sz w:val="24"/>
          <w:szCs w:val="24"/>
        </w:rPr>
        <w:t xml:space="preserve">(2021) ‘Steps forward to adopt a circular economy strategy by the tourism industry’, </w:t>
      </w:r>
      <w:r w:rsidRPr="001820AB">
        <w:rPr>
          <w:rFonts w:ascii="Arial" w:hAnsi="Arial" w:cs="Arial"/>
          <w:i/>
          <w:iCs/>
          <w:sz w:val="24"/>
          <w:szCs w:val="24"/>
        </w:rPr>
        <w:t>Waste Management &amp; Research</w:t>
      </w:r>
      <w:r w:rsidRPr="001820AB">
        <w:rPr>
          <w:rFonts w:ascii="Arial" w:hAnsi="Arial" w:cs="Arial"/>
          <w:sz w:val="24"/>
          <w:szCs w:val="24"/>
        </w:rPr>
        <w:t xml:space="preserve">. SAGE Publications Sage </w:t>
      </w:r>
      <w:r w:rsidRPr="001820AB">
        <w:rPr>
          <w:rFonts w:ascii="Arial" w:hAnsi="Arial" w:cs="Arial"/>
          <w:sz w:val="24"/>
          <w:szCs w:val="24"/>
        </w:rPr>
        <w:lastRenderedPageBreak/>
        <w:t xml:space="preserve">UK: London, England. Available at: </w:t>
      </w:r>
      <w:hyperlink r:id="rId7" w:history="1">
        <w:r w:rsidRPr="001820AB">
          <w:rPr>
            <w:rStyle w:val="Hyperlink"/>
            <w:rFonts w:ascii="Arial" w:hAnsi="Arial" w:cs="Arial"/>
            <w:sz w:val="24"/>
            <w:szCs w:val="24"/>
          </w:rPr>
          <w:t>https://journals.sagepub.com/doi/full/10.1177/0734242X211029087</w:t>
        </w:r>
      </w:hyperlink>
      <w:r w:rsidRPr="001820AB">
        <w:rPr>
          <w:rFonts w:ascii="Arial" w:hAnsi="Arial" w:cs="Arial"/>
          <w:sz w:val="24"/>
          <w:szCs w:val="24"/>
        </w:rPr>
        <w:t xml:space="preserve"> (Accessed: 24 January 2024).</w:t>
      </w:r>
    </w:p>
    <w:p w14:paraId="1DB129BA" w14:textId="77777777" w:rsidR="007E27F7" w:rsidRPr="001820AB" w:rsidRDefault="007E27F7" w:rsidP="001820AB">
      <w:pPr>
        <w:spacing w:after="0" w:line="360" w:lineRule="auto"/>
        <w:jc w:val="both"/>
        <w:rPr>
          <w:rFonts w:ascii="Arial" w:hAnsi="Arial" w:cs="Arial"/>
          <w:sz w:val="24"/>
          <w:szCs w:val="24"/>
        </w:rPr>
      </w:pPr>
    </w:p>
    <w:p w14:paraId="309A8708" w14:textId="77777777" w:rsidR="00C66C7A" w:rsidRPr="001820AB" w:rsidRDefault="00C66C7A" w:rsidP="001820AB">
      <w:pPr>
        <w:spacing w:after="0" w:line="360" w:lineRule="auto"/>
        <w:jc w:val="both"/>
        <w:rPr>
          <w:rFonts w:ascii="Arial" w:hAnsi="Arial" w:cs="Arial"/>
          <w:sz w:val="24"/>
          <w:szCs w:val="24"/>
        </w:rPr>
      </w:pPr>
    </w:p>
    <w:p w14:paraId="333B1C2B" w14:textId="77777777" w:rsidR="00C66C7A" w:rsidRPr="001820AB" w:rsidRDefault="00C66C7A" w:rsidP="001820AB">
      <w:pPr>
        <w:spacing w:after="0" w:line="360" w:lineRule="auto"/>
        <w:jc w:val="both"/>
        <w:rPr>
          <w:rFonts w:ascii="Arial" w:hAnsi="Arial" w:cs="Arial"/>
          <w:sz w:val="24"/>
          <w:szCs w:val="24"/>
        </w:rPr>
      </w:pPr>
    </w:p>
    <w:p w14:paraId="7DB4646D" w14:textId="77777777" w:rsidR="00DA6C66" w:rsidRPr="001820AB" w:rsidRDefault="00DA6C66" w:rsidP="001820AB">
      <w:pPr>
        <w:spacing w:after="0" w:line="360" w:lineRule="auto"/>
        <w:jc w:val="both"/>
        <w:rPr>
          <w:rFonts w:ascii="Arial" w:hAnsi="Arial" w:cs="Arial"/>
          <w:sz w:val="24"/>
          <w:szCs w:val="24"/>
        </w:rPr>
      </w:pPr>
    </w:p>
    <w:sectPr w:rsidR="00DA6C66" w:rsidRPr="001820A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1szS3NDM0MDM1MrRQ0lEKTi0uzszPAykwrAUAfeV2SCwAAAA="/>
  </w:docVars>
  <w:rsids>
    <w:rsidRoot w:val="003D50F1"/>
    <w:rsid w:val="000046D2"/>
    <w:rsid w:val="00015A1B"/>
    <w:rsid w:val="000342DD"/>
    <w:rsid w:val="00052914"/>
    <w:rsid w:val="0008415B"/>
    <w:rsid w:val="000A4024"/>
    <w:rsid w:val="000B6CCE"/>
    <w:rsid w:val="001670B1"/>
    <w:rsid w:val="001820AB"/>
    <w:rsid w:val="001957A4"/>
    <w:rsid w:val="001A0FB4"/>
    <w:rsid w:val="001D6BB8"/>
    <w:rsid w:val="001E3804"/>
    <w:rsid w:val="002507AC"/>
    <w:rsid w:val="00271860"/>
    <w:rsid w:val="00272E9A"/>
    <w:rsid w:val="0027448F"/>
    <w:rsid w:val="002B6E48"/>
    <w:rsid w:val="002C49EA"/>
    <w:rsid w:val="00317240"/>
    <w:rsid w:val="00374D64"/>
    <w:rsid w:val="003D50F1"/>
    <w:rsid w:val="004561CF"/>
    <w:rsid w:val="004B2C51"/>
    <w:rsid w:val="004E6742"/>
    <w:rsid w:val="004F397A"/>
    <w:rsid w:val="00503727"/>
    <w:rsid w:val="005502AE"/>
    <w:rsid w:val="0058478F"/>
    <w:rsid w:val="00590B09"/>
    <w:rsid w:val="005A4C62"/>
    <w:rsid w:val="005A797D"/>
    <w:rsid w:val="005B043E"/>
    <w:rsid w:val="0060697B"/>
    <w:rsid w:val="006123F4"/>
    <w:rsid w:val="0062187D"/>
    <w:rsid w:val="006555E5"/>
    <w:rsid w:val="0068159D"/>
    <w:rsid w:val="00684D56"/>
    <w:rsid w:val="006C1C47"/>
    <w:rsid w:val="006E10AB"/>
    <w:rsid w:val="00792DC5"/>
    <w:rsid w:val="007E27F7"/>
    <w:rsid w:val="007E2D29"/>
    <w:rsid w:val="007F68B7"/>
    <w:rsid w:val="00815775"/>
    <w:rsid w:val="008447F6"/>
    <w:rsid w:val="008E5FA0"/>
    <w:rsid w:val="00957E2D"/>
    <w:rsid w:val="00962029"/>
    <w:rsid w:val="009E6E44"/>
    <w:rsid w:val="009F2BD1"/>
    <w:rsid w:val="00A31953"/>
    <w:rsid w:val="00A357AB"/>
    <w:rsid w:val="00A41F60"/>
    <w:rsid w:val="00A727B9"/>
    <w:rsid w:val="00AA30D1"/>
    <w:rsid w:val="00AC4370"/>
    <w:rsid w:val="00AF2CE0"/>
    <w:rsid w:val="00BA2089"/>
    <w:rsid w:val="00BA5AC3"/>
    <w:rsid w:val="00BD32A5"/>
    <w:rsid w:val="00BF04F6"/>
    <w:rsid w:val="00C171EB"/>
    <w:rsid w:val="00C25BC0"/>
    <w:rsid w:val="00C66C7A"/>
    <w:rsid w:val="00C72422"/>
    <w:rsid w:val="00CF2656"/>
    <w:rsid w:val="00D1162B"/>
    <w:rsid w:val="00D14103"/>
    <w:rsid w:val="00D33CF6"/>
    <w:rsid w:val="00D54C60"/>
    <w:rsid w:val="00D87D8D"/>
    <w:rsid w:val="00DA6C66"/>
    <w:rsid w:val="00DD2DF3"/>
    <w:rsid w:val="00DD6A81"/>
    <w:rsid w:val="00E071FB"/>
    <w:rsid w:val="00ED6C0D"/>
    <w:rsid w:val="00F1293B"/>
    <w:rsid w:val="00F51208"/>
    <w:rsid w:val="00FF0DE9"/>
    <w:rsid w:val="00FF6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2D68"/>
  <w15:chartTrackingRefBased/>
  <w15:docId w15:val="{0A82A5BE-FC31-41FB-84B3-D6DA3E2A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E2D29"/>
    <w:pPr>
      <w:keepNext/>
      <w:keepLines/>
      <w:spacing w:before="240" w:after="0" w:line="360" w:lineRule="auto"/>
      <w:jc w:val="both"/>
      <w:outlineLvl w:val="0"/>
    </w:pPr>
    <w:rPr>
      <w:rFonts w:ascii="Arial" w:eastAsiaTheme="majorEastAsia" w:hAnsi="Arial" w:cs="Arial"/>
      <w:b/>
      <w:color w:val="000000" w:themeColor="text1"/>
    </w:rPr>
  </w:style>
  <w:style w:type="paragraph" w:styleId="Heading2">
    <w:name w:val="heading 2"/>
    <w:basedOn w:val="Normal"/>
    <w:next w:val="Normal"/>
    <w:link w:val="Heading2Char"/>
    <w:autoRedefine/>
    <w:uiPriority w:val="9"/>
    <w:unhideWhenUsed/>
    <w:qFormat/>
    <w:rsid w:val="006123F4"/>
    <w:pPr>
      <w:keepNext/>
      <w:keepLines/>
      <w:spacing w:before="40" w:after="0"/>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A41F60"/>
    <w:pPr>
      <w:keepNext/>
      <w:keepLines/>
      <w:spacing w:before="40" w:after="0"/>
      <w:outlineLvl w:val="2"/>
    </w:pPr>
    <w:rPr>
      <w:rFonts w:ascii="Times New Roman" w:eastAsiaTheme="majorEastAsia" w:hAnsi="Times New Roman" w:cstheme="majorBidi"/>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D29"/>
    <w:rPr>
      <w:rFonts w:ascii="Arial" w:eastAsiaTheme="majorEastAsia" w:hAnsi="Arial" w:cs="Arial"/>
      <w:b/>
      <w:color w:val="000000" w:themeColor="text1"/>
    </w:rPr>
  </w:style>
  <w:style w:type="character" w:customStyle="1" w:styleId="Heading2Char">
    <w:name w:val="Heading 2 Char"/>
    <w:basedOn w:val="DefaultParagraphFont"/>
    <w:link w:val="Heading2"/>
    <w:uiPriority w:val="9"/>
    <w:rsid w:val="006123F4"/>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A41F60"/>
    <w:rPr>
      <w:rFonts w:ascii="Times New Roman" w:eastAsiaTheme="majorEastAsia" w:hAnsi="Times New Roman" w:cstheme="majorBidi"/>
      <w:b/>
      <w:i/>
      <w:color w:val="000000" w:themeColor="text1"/>
      <w:sz w:val="24"/>
      <w:szCs w:val="24"/>
    </w:rPr>
  </w:style>
  <w:style w:type="character" w:styleId="Hyperlink">
    <w:name w:val="Hyperlink"/>
    <w:basedOn w:val="DefaultParagraphFont"/>
    <w:uiPriority w:val="99"/>
    <w:unhideWhenUsed/>
    <w:rsid w:val="000A40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01014">
      <w:bodyDiv w:val="1"/>
      <w:marLeft w:val="0"/>
      <w:marRight w:val="0"/>
      <w:marTop w:val="0"/>
      <w:marBottom w:val="0"/>
      <w:divBdr>
        <w:top w:val="none" w:sz="0" w:space="0" w:color="auto"/>
        <w:left w:val="none" w:sz="0" w:space="0" w:color="auto"/>
        <w:bottom w:val="none" w:sz="0" w:space="0" w:color="auto"/>
        <w:right w:val="none" w:sz="0" w:space="0" w:color="auto"/>
      </w:divBdr>
    </w:div>
    <w:div w:id="737674277">
      <w:bodyDiv w:val="1"/>
      <w:marLeft w:val="0"/>
      <w:marRight w:val="0"/>
      <w:marTop w:val="0"/>
      <w:marBottom w:val="0"/>
      <w:divBdr>
        <w:top w:val="none" w:sz="0" w:space="0" w:color="auto"/>
        <w:left w:val="none" w:sz="0" w:space="0" w:color="auto"/>
        <w:bottom w:val="none" w:sz="0" w:space="0" w:color="auto"/>
        <w:right w:val="none" w:sz="0" w:space="0" w:color="auto"/>
      </w:divBdr>
    </w:div>
    <w:div w:id="860432256">
      <w:bodyDiv w:val="1"/>
      <w:marLeft w:val="0"/>
      <w:marRight w:val="0"/>
      <w:marTop w:val="0"/>
      <w:marBottom w:val="0"/>
      <w:divBdr>
        <w:top w:val="none" w:sz="0" w:space="0" w:color="auto"/>
        <w:left w:val="none" w:sz="0" w:space="0" w:color="auto"/>
        <w:bottom w:val="none" w:sz="0" w:space="0" w:color="auto"/>
        <w:right w:val="none" w:sz="0" w:space="0" w:color="auto"/>
      </w:divBdr>
    </w:div>
    <w:div w:id="1301886474">
      <w:bodyDiv w:val="1"/>
      <w:marLeft w:val="0"/>
      <w:marRight w:val="0"/>
      <w:marTop w:val="0"/>
      <w:marBottom w:val="0"/>
      <w:divBdr>
        <w:top w:val="none" w:sz="0" w:space="0" w:color="auto"/>
        <w:left w:val="none" w:sz="0" w:space="0" w:color="auto"/>
        <w:bottom w:val="none" w:sz="0" w:space="0" w:color="auto"/>
        <w:right w:val="none" w:sz="0" w:space="0" w:color="auto"/>
      </w:divBdr>
    </w:div>
    <w:div w:id="1535269600">
      <w:bodyDiv w:val="1"/>
      <w:marLeft w:val="0"/>
      <w:marRight w:val="0"/>
      <w:marTop w:val="0"/>
      <w:marBottom w:val="0"/>
      <w:divBdr>
        <w:top w:val="none" w:sz="0" w:space="0" w:color="auto"/>
        <w:left w:val="none" w:sz="0" w:space="0" w:color="auto"/>
        <w:bottom w:val="none" w:sz="0" w:space="0" w:color="auto"/>
        <w:right w:val="none" w:sz="0" w:space="0" w:color="auto"/>
      </w:divBdr>
    </w:div>
    <w:div w:id="1564297350">
      <w:bodyDiv w:val="1"/>
      <w:marLeft w:val="0"/>
      <w:marRight w:val="0"/>
      <w:marTop w:val="0"/>
      <w:marBottom w:val="0"/>
      <w:divBdr>
        <w:top w:val="none" w:sz="0" w:space="0" w:color="auto"/>
        <w:left w:val="none" w:sz="0" w:space="0" w:color="auto"/>
        <w:bottom w:val="none" w:sz="0" w:space="0" w:color="auto"/>
        <w:right w:val="none" w:sz="0" w:space="0" w:color="auto"/>
      </w:divBdr>
      <w:divsChild>
        <w:div w:id="573012935">
          <w:marLeft w:val="0"/>
          <w:marRight w:val="0"/>
          <w:marTop w:val="0"/>
          <w:marBottom w:val="0"/>
          <w:divBdr>
            <w:top w:val="single" w:sz="2" w:space="0" w:color="D9D9E3"/>
            <w:left w:val="single" w:sz="2" w:space="0" w:color="D9D9E3"/>
            <w:bottom w:val="single" w:sz="2" w:space="0" w:color="D9D9E3"/>
            <w:right w:val="single" w:sz="2" w:space="0" w:color="D9D9E3"/>
          </w:divBdr>
          <w:divsChild>
            <w:div w:id="1787701872">
              <w:marLeft w:val="0"/>
              <w:marRight w:val="0"/>
              <w:marTop w:val="0"/>
              <w:marBottom w:val="0"/>
              <w:divBdr>
                <w:top w:val="single" w:sz="2" w:space="0" w:color="D9D9E3"/>
                <w:left w:val="single" w:sz="2" w:space="0" w:color="D9D9E3"/>
                <w:bottom w:val="single" w:sz="2" w:space="0" w:color="D9D9E3"/>
                <w:right w:val="single" w:sz="2" w:space="0" w:color="D9D9E3"/>
              </w:divBdr>
              <w:divsChild>
                <w:div w:id="782574043">
                  <w:marLeft w:val="0"/>
                  <w:marRight w:val="0"/>
                  <w:marTop w:val="0"/>
                  <w:marBottom w:val="0"/>
                  <w:divBdr>
                    <w:top w:val="single" w:sz="2" w:space="0" w:color="D9D9E3"/>
                    <w:left w:val="single" w:sz="2" w:space="0" w:color="D9D9E3"/>
                    <w:bottom w:val="single" w:sz="2" w:space="0" w:color="D9D9E3"/>
                    <w:right w:val="single" w:sz="2" w:space="0" w:color="D9D9E3"/>
                  </w:divBdr>
                  <w:divsChild>
                    <w:div w:id="1225527462">
                      <w:marLeft w:val="0"/>
                      <w:marRight w:val="0"/>
                      <w:marTop w:val="0"/>
                      <w:marBottom w:val="0"/>
                      <w:divBdr>
                        <w:top w:val="single" w:sz="2" w:space="0" w:color="D9D9E3"/>
                        <w:left w:val="single" w:sz="2" w:space="0" w:color="D9D9E3"/>
                        <w:bottom w:val="single" w:sz="2" w:space="0" w:color="D9D9E3"/>
                        <w:right w:val="single" w:sz="2" w:space="0" w:color="D9D9E3"/>
                      </w:divBdr>
                      <w:divsChild>
                        <w:div w:id="1307319106">
                          <w:marLeft w:val="0"/>
                          <w:marRight w:val="0"/>
                          <w:marTop w:val="0"/>
                          <w:marBottom w:val="0"/>
                          <w:divBdr>
                            <w:top w:val="single" w:sz="2" w:space="0" w:color="D9D9E3"/>
                            <w:left w:val="single" w:sz="2" w:space="0" w:color="D9D9E3"/>
                            <w:bottom w:val="single" w:sz="2" w:space="0" w:color="D9D9E3"/>
                            <w:right w:val="single" w:sz="2" w:space="0" w:color="D9D9E3"/>
                          </w:divBdr>
                          <w:divsChild>
                            <w:div w:id="916553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18540">
                                  <w:marLeft w:val="0"/>
                                  <w:marRight w:val="0"/>
                                  <w:marTop w:val="0"/>
                                  <w:marBottom w:val="0"/>
                                  <w:divBdr>
                                    <w:top w:val="single" w:sz="2" w:space="0" w:color="D9D9E3"/>
                                    <w:left w:val="single" w:sz="2" w:space="0" w:color="D9D9E3"/>
                                    <w:bottom w:val="single" w:sz="2" w:space="0" w:color="D9D9E3"/>
                                    <w:right w:val="single" w:sz="2" w:space="0" w:color="D9D9E3"/>
                                  </w:divBdr>
                                  <w:divsChild>
                                    <w:div w:id="475952686">
                                      <w:marLeft w:val="0"/>
                                      <w:marRight w:val="0"/>
                                      <w:marTop w:val="0"/>
                                      <w:marBottom w:val="0"/>
                                      <w:divBdr>
                                        <w:top w:val="single" w:sz="2" w:space="0" w:color="D9D9E3"/>
                                        <w:left w:val="single" w:sz="2" w:space="0" w:color="D9D9E3"/>
                                        <w:bottom w:val="single" w:sz="2" w:space="0" w:color="D9D9E3"/>
                                        <w:right w:val="single" w:sz="2" w:space="0" w:color="D9D9E3"/>
                                      </w:divBdr>
                                      <w:divsChild>
                                        <w:div w:id="999580603">
                                          <w:marLeft w:val="0"/>
                                          <w:marRight w:val="0"/>
                                          <w:marTop w:val="0"/>
                                          <w:marBottom w:val="0"/>
                                          <w:divBdr>
                                            <w:top w:val="single" w:sz="2" w:space="0" w:color="D9D9E3"/>
                                            <w:left w:val="single" w:sz="2" w:space="0" w:color="D9D9E3"/>
                                            <w:bottom w:val="single" w:sz="2" w:space="0" w:color="D9D9E3"/>
                                            <w:right w:val="single" w:sz="2" w:space="0" w:color="D9D9E3"/>
                                          </w:divBdr>
                                          <w:divsChild>
                                            <w:div w:id="1217277203">
                                              <w:marLeft w:val="0"/>
                                              <w:marRight w:val="0"/>
                                              <w:marTop w:val="0"/>
                                              <w:marBottom w:val="0"/>
                                              <w:divBdr>
                                                <w:top w:val="single" w:sz="2" w:space="0" w:color="D9D9E3"/>
                                                <w:left w:val="single" w:sz="2" w:space="0" w:color="D9D9E3"/>
                                                <w:bottom w:val="single" w:sz="2" w:space="0" w:color="D9D9E3"/>
                                                <w:right w:val="single" w:sz="2" w:space="0" w:color="D9D9E3"/>
                                              </w:divBdr>
                                              <w:divsChild>
                                                <w:div w:id="1422677020">
                                                  <w:marLeft w:val="0"/>
                                                  <w:marRight w:val="0"/>
                                                  <w:marTop w:val="0"/>
                                                  <w:marBottom w:val="0"/>
                                                  <w:divBdr>
                                                    <w:top w:val="single" w:sz="2" w:space="0" w:color="D9D9E3"/>
                                                    <w:left w:val="single" w:sz="2" w:space="0" w:color="D9D9E3"/>
                                                    <w:bottom w:val="single" w:sz="2" w:space="0" w:color="D9D9E3"/>
                                                    <w:right w:val="single" w:sz="2" w:space="0" w:color="D9D9E3"/>
                                                  </w:divBdr>
                                                  <w:divsChild>
                                                    <w:div w:id="658266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01265404">
          <w:marLeft w:val="0"/>
          <w:marRight w:val="0"/>
          <w:marTop w:val="0"/>
          <w:marBottom w:val="0"/>
          <w:divBdr>
            <w:top w:val="none" w:sz="0" w:space="0" w:color="auto"/>
            <w:left w:val="none" w:sz="0" w:space="0" w:color="auto"/>
            <w:bottom w:val="none" w:sz="0" w:space="0" w:color="auto"/>
            <w:right w:val="none" w:sz="0" w:space="0" w:color="auto"/>
          </w:divBdr>
        </w:div>
      </w:divsChild>
    </w:div>
    <w:div w:id="1628970011">
      <w:bodyDiv w:val="1"/>
      <w:marLeft w:val="0"/>
      <w:marRight w:val="0"/>
      <w:marTop w:val="0"/>
      <w:marBottom w:val="0"/>
      <w:divBdr>
        <w:top w:val="none" w:sz="0" w:space="0" w:color="auto"/>
        <w:left w:val="none" w:sz="0" w:space="0" w:color="auto"/>
        <w:bottom w:val="none" w:sz="0" w:space="0" w:color="auto"/>
        <w:right w:val="none" w:sz="0" w:space="0" w:color="auto"/>
      </w:divBdr>
      <w:divsChild>
        <w:div w:id="1410007793">
          <w:marLeft w:val="0"/>
          <w:marRight w:val="0"/>
          <w:marTop w:val="0"/>
          <w:marBottom w:val="0"/>
          <w:divBdr>
            <w:top w:val="none" w:sz="0" w:space="0" w:color="auto"/>
            <w:left w:val="none" w:sz="0" w:space="0" w:color="auto"/>
            <w:bottom w:val="none" w:sz="0" w:space="0" w:color="auto"/>
            <w:right w:val="none" w:sz="0" w:space="0" w:color="auto"/>
          </w:divBdr>
          <w:divsChild>
            <w:div w:id="2142113052">
              <w:marLeft w:val="0"/>
              <w:marRight w:val="0"/>
              <w:marTop w:val="0"/>
              <w:marBottom w:val="240"/>
              <w:divBdr>
                <w:top w:val="none" w:sz="0" w:space="0" w:color="auto"/>
                <w:left w:val="none" w:sz="0" w:space="0" w:color="auto"/>
                <w:bottom w:val="none" w:sz="0" w:space="0" w:color="auto"/>
                <w:right w:val="none" w:sz="0" w:space="0" w:color="auto"/>
              </w:divBdr>
            </w:div>
            <w:div w:id="7172508">
              <w:marLeft w:val="0"/>
              <w:marRight w:val="0"/>
              <w:marTop w:val="0"/>
              <w:marBottom w:val="240"/>
              <w:divBdr>
                <w:top w:val="none" w:sz="0" w:space="0" w:color="auto"/>
                <w:left w:val="none" w:sz="0" w:space="0" w:color="auto"/>
                <w:bottom w:val="none" w:sz="0" w:space="0" w:color="auto"/>
                <w:right w:val="none" w:sz="0" w:space="0" w:color="auto"/>
              </w:divBdr>
            </w:div>
            <w:div w:id="112022040">
              <w:marLeft w:val="0"/>
              <w:marRight w:val="0"/>
              <w:marTop w:val="0"/>
              <w:marBottom w:val="240"/>
              <w:divBdr>
                <w:top w:val="none" w:sz="0" w:space="0" w:color="auto"/>
                <w:left w:val="none" w:sz="0" w:space="0" w:color="auto"/>
                <w:bottom w:val="none" w:sz="0" w:space="0" w:color="auto"/>
                <w:right w:val="none" w:sz="0" w:space="0" w:color="auto"/>
              </w:divBdr>
            </w:div>
            <w:div w:id="323777892">
              <w:marLeft w:val="0"/>
              <w:marRight w:val="0"/>
              <w:marTop w:val="0"/>
              <w:marBottom w:val="240"/>
              <w:divBdr>
                <w:top w:val="none" w:sz="0" w:space="0" w:color="auto"/>
                <w:left w:val="none" w:sz="0" w:space="0" w:color="auto"/>
                <w:bottom w:val="none" w:sz="0" w:space="0" w:color="auto"/>
                <w:right w:val="none" w:sz="0" w:space="0" w:color="auto"/>
              </w:divBdr>
            </w:div>
            <w:div w:id="775754689">
              <w:marLeft w:val="0"/>
              <w:marRight w:val="0"/>
              <w:marTop w:val="0"/>
              <w:marBottom w:val="240"/>
              <w:divBdr>
                <w:top w:val="none" w:sz="0" w:space="0" w:color="auto"/>
                <w:left w:val="none" w:sz="0" w:space="0" w:color="auto"/>
                <w:bottom w:val="none" w:sz="0" w:space="0" w:color="auto"/>
                <w:right w:val="none" w:sz="0" w:space="0" w:color="auto"/>
              </w:divBdr>
            </w:div>
            <w:div w:id="1812095785">
              <w:marLeft w:val="0"/>
              <w:marRight w:val="0"/>
              <w:marTop w:val="0"/>
              <w:marBottom w:val="240"/>
              <w:divBdr>
                <w:top w:val="none" w:sz="0" w:space="0" w:color="auto"/>
                <w:left w:val="none" w:sz="0" w:space="0" w:color="auto"/>
                <w:bottom w:val="none" w:sz="0" w:space="0" w:color="auto"/>
                <w:right w:val="none" w:sz="0" w:space="0" w:color="auto"/>
              </w:divBdr>
            </w:div>
            <w:div w:id="1330863001">
              <w:marLeft w:val="0"/>
              <w:marRight w:val="0"/>
              <w:marTop w:val="0"/>
              <w:marBottom w:val="240"/>
              <w:divBdr>
                <w:top w:val="none" w:sz="0" w:space="0" w:color="auto"/>
                <w:left w:val="none" w:sz="0" w:space="0" w:color="auto"/>
                <w:bottom w:val="none" w:sz="0" w:space="0" w:color="auto"/>
                <w:right w:val="none" w:sz="0" w:space="0" w:color="auto"/>
              </w:divBdr>
            </w:div>
            <w:div w:id="463159039">
              <w:marLeft w:val="0"/>
              <w:marRight w:val="0"/>
              <w:marTop w:val="0"/>
              <w:marBottom w:val="240"/>
              <w:divBdr>
                <w:top w:val="none" w:sz="0" w:space="0" w:color="auto"/>
                <w:left w:val="none" w:sz="0" w:space="0" w:color="auto"/>
                <w:bottom w:val="none" w:sz="0" w:space="0" w:color="auto"/>
                <w:right w:val="none" w:sz="0" w:space="0" w:color="auto"/>
              </w:divBdr>
            </w:div>
            <w:div w:id="1199047777">
              <w:marLeft w:val="0"/>
              <w:marRight w:val="0"/>
              <w:marTop w:val="0"/>
              <w:marBottom w:val="240"/>
              <w:divBdr>
                <w:top w:val="none" w:sz="0" w:space="0" w:color="auto"/>
                <w:left w:val="none" w:sz="0" w:space="0" w:color="auto"/>
                <w:bottom w:val="none" w:sz="0" w:space="0" w:color="auto"/>
                <w:right w:val="none" w:sz="0" w:space="0" w:color="auto"/>
              </w:divBdr>
            </w:div>
            <w:div w:id="171145087">
              <w:marLeft w:val="0"/>
              <w:marRight w:val="0"/>
              <w:marTop w:val="0"/>
              <w:marBottom w:val="240"/>
              <w:divBdr>
                <w:top w:val="none" w:sz="0" w:space="0" w:color="auto"/>
                <w:left w:val="none" w:sz="0" w:space="0" w:color="auto"/>
                <w:bottom w:val="none" w:sz="0" w:space="0" w:color="auto"/>
                <w:right w:val="none" w:sz="0" w:space="0" w:color="auto"/>
              </w:divBdr>
            </w:div>
            <w:div w:id="1767994968">
              <w:marLeft w:val="0"/>
              <w:marRight w:val="0"/>
              <w:marTop w:val="0"/>
              <w:marBottom w:val="240"/>
              <w:divBdr>
                <w:top w:val="none" w:sz="0" w:space="0" w:color="auto"/>
                <w:left w:val="none" w:sz="0" w:space="0" w:color="auto"/>
                <w:bottom w:val="none" w:sz="0" w:space="0" w:color="auto"/>
                <w:right w:val="none" w:sz="0" w:space="0" w:color="auto"/>
              </w:divBdr>
            </w:div>
            <w:div w:id="919557566">
              <w:marLeft w:val="0"/>
              <w:marRight w:val="0"/>
              <w:marTop w:val="0"/>
              <w:marBottom w:val="240"/>
              <w:divBdr>
                <w:top w:val="none" w:sz="0" w:space="0" w:color="auto"/>
                <w:left w:val="none" w:sz="0" w:space="0" w:color="auto"/>
                <w:bottom w:val="none" w:sz="0" w:space="0" w:color="auto"/>
                <w:right w:val="none" w:sz="0" w:space="0" w:color="auto"/>
              </w:divBdr>
            </w:div>
            <w:div w:id="246229600">
              <w:marLeft w:val="0"/>
              <w:marRight w:val="0"/>
              <w:marTop w:val="0"/>
              <w:marBottom w:val="240"/>
              <w:divBdr>
                <w:top w:val="none" w:sz="0" w:space="0" w:color="auto"/>
                <w:left w:val="none" w:sz="0" w:space="0" w:color="auto"/>
                <w:bottom w:val="none" w:sz="0" w:space="0" w:color="auto"/>
                <w:right w:val="none" w:sz="0" w:space="0" w:color="auto"/>
              </w:divBdr>
            </w:div>
            <w:div w:id="752816401">
              <w:marLeft w:val="0"/>
              <w:marRight w:val="0"/>
              <w:marTop w:val="0"/>
              <w:marBottom w:val="240"/>
              <w:divBdr>
                <w:top w:val="none" w:sz="0" w:space="0" w:color="auto"/>
                <w:left w:val="none" w:sz="0" w:space="0" w:color="auto"/>
                <w:bottom w:val="none" w:sz="0" w:space="0" w:color="auto"/>
                <w:right w:val="none" w:sz="0" w:space="0" w:color="auto"/>
              </w:divBdr>
            </w:div>
            <w:div w:id="1231576620">
              <w:marLeft w:val="0"/>
              <w:marRight w:val="0"/>
              <w:marTop w:val="0"/>
              <w:marBottom w:val="240"/>
              <w:divBdr>
                <w:top w:val="none" w:sz="0" w:space="0" w:color="auto"/>
                <w:left w:val="none" w:sz="0" w:space="0" w:color="auto"/>
                <w:bottom w:val="none" w:sz="0" w:space="0" w:color="auto"/>
                <w:right w:val="none" w:sz="0" w:space="0" w:color="auto"/>
              </w:divBdr>
            </w:div>
            <w:div w:id="1448626062">
              <w:marLeft w:val="0"/>
              <w:marRight w:val="0"/>
              <w:marTop w:val="0"/>
              <w:marBottom w:val="240"/>
              <w:divBdr>
                <w:top w:val="none" w:sz="0" w:space="0" w:color="auto"/>
                <w:left w:val="none" w:sz="0" w:space="0" w:color="auto"/>
                <w:bottom w:val="none" w:sz="0" w:space="0" w:color="auto"/>
                <w:right w:val="none" w:sz="0" w:space="0" w:color="auto"/>
              </w:divBdr>
            </w:div>
            <w:div w:id="691758333">
              <w:marLeft w:val="0"/>
              <w:marRight w:val="0"/>
              <w:marTop w:val="0"/>
              <w:marBottom w:val="240"/>
              <w:divBdr>
                <w:top w:val="none" w:sz="0" w:space="0" w:color="auto"/>
                <w:left w:val="none" w:sz="0" w:space="0" w:color="auto"/>
                <w:bottom w:val="none" w:sz="0" w:space="0" w:color="auto"/>
                <w:right w:val="none" w:sz="0" w:space="0" w:color="auto"/>
              </w:divBdr>
            </w:div>
            <w:div w:id="1848328625">
              <w:marLeft w:val="0"/>
              <w:marRight w:val="0"/>
              <w:marTop w:val="0"/>
              <w:marBottom w:val="240"/>
              <w:divBdr>
                <w:top w:val="none" w:sz="0" w:space="0" w:color="auto"/>
                <w:left w:val="none" w:sz="0" w:space="0" w:color="auto"/>
                <w:bottom w:val="none" w:sz="0" w:space="0" w:color="auto"/>
                <w:right w:val="none" w:sz="0" w:space="0" w:color="auto"/>
              </w:divBdr>
            </w:div>
            <w:div w:id="868418908">
              <w:marLeft w:val="0"/>
              <w:marRight w:val="0"/>
              <w:marTop w:val="0"/>
              <w:marBottom w:val="240"/>
              <w:divBdr>
                <w:top w:val="none" w:sz="0" w:space="0" w:color="auto"/>
                <w:left w:val="none" w:sz="0" w:space="0" w:color="auto"/>
                <w:bottom w:val="none" w:sz="0" w:space="0" w:color="auto"/>
                <w:right w:val="none" w:sz="0" w:space="0" w:color="auto"/>
              </w:divBdr>
            </w:div>
            <w:div w:id="81699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743554">
      <w:bodyDiv w:val="1"/>
      <w:marLeft w:val="0"/>
      <w:marRight w:val="0"/>
      <w:marTop w:val="0"/>
      <w:marBottom w:val="0"/>
      <w:divBdr>
        <w:top w:val="none" w:sz="0" w:space="0" w:color="auto"/>
        <w:left w:val="none" w:sz="0" w:space="0" w:color="auto"/>
        <w:bottom w:val="none" w:sz="0" w:space="0" w:color="auto"/>
        <w:right w:val="none" w:sz="0" w:space="0" w:color="auto"/>
      </w:divBdr>
    </w:div>
    <w:div w:id="1753351291">
      <w:bodyDiv w:val="1"/>
      <w:marLeft w:val="0"/>
      <w:marRight w:val="0"/>
      <w:marTop w:val="0"/>
      <w:marBottom w:val="0"/>
      <w:divBdr>
        <w:top w:val="none" w:sz="0" w:space="0" w:color="auto"/>
        <w:left w:val="none" w:sz="0" w:space="0" w:color="auto"/>
        <w:bottom w:val="none" w:sz="0" w:space="0" w:color="auto"/>
        <w:right w:val="none" w:sz="0" w:space="0" w:color="auto"/>
      </w:divBdr>
      <w:divsChild>
        <w:div w:id="1786196744">
          <w:marLeft w:val="0"/>
          <w:marRight w:val="0"/>
          <w:marTop w:val="0"/>
          <w:marBottom w:val="0"/>
          <w:divBdr>
            <w:top w:val="single" w:sz="2" w:space="0" w:color="D9D9E3"/>
            <w:left w:val="single" w:sz="2" w:space="0" w:color="D9D9E3"/>
            <w:bottom w:val="single" w:sz="2" w:space="0" w:color="D9D9E3"/>
            <w:right w:val="single" w:sz="2" w:space="0" w:color="D9D9E3"/>
          </w:divBdr>
          <w:divsChild>
            <w:div w:id="1223255453">
              <w:marLeft w:val="0"/>
              <w:marRight w:val="0"/>
              <w:marTop w:val="0"/>
              <w:marBottom w:val="0"/>
              <w:divBdr>
                <w:top w:val="single" w:sz="2" w:space="0" w:color="D9D9E3"/>
                <w:left w:val="single" w:sz="2" w:space="0" w:color="D9D9E3"/>
                <w:bottom w:val="single" w:sz="2" w:space="0" w:color="D9D9E3"/>
                <w:right w:val="single" w:sz="2" w:space="0" w:color="D9D9E3"/>
              </w:divBdr>
              <w:divsChild>
                <w:div w:id="892154375">
                  <w:marLeft w:val="0"/>
                  <w:marRight w:val="0"/>
                  <w:marTop w:val="0"/>
                  <w:marBottom w:val="0"/>
                  <w:divBdr>
                    <w:top w:val="single" w:sz="2" w:space="0" w:color="D9D9E3"/>
                    <w:left w:val="single" w:sz="2" w:space="0" w:color="D9D9E3"/>
                    <w:bottom w:val="single" w:sz="2" w:space="0" w:color="D9D9E3"/>
                    <w:right w:val="single" w:sz="2" w:space="0" w:color="D9D9E3"/>
                  </w:divBdr>
                  <w:divsChild>
                    <w:div w:id="1323773796">
                      <w:marLeft w:val="0"/>
                      <w:marRight w:val="0"/>
                      <w:marTop w:val="0"/>
                      <w:marBottom w:val="0"/>
                      <w:divBdr>
                        <w:top w:val="single" w:sz="2" w:space="0" w:color="D9D9E3"/>
                        <w:left w:val="single" w:sz="2" w:space="0" w:color="D9D9E3"/>
                        <w:bottom w:val="single" w:sz="2" w:space="0" w:color="D9D9E3"/>
                        <w:right w:val="single" w:sz="2" w:space="0" w:color="D9D9E3"/>
                      </w:divBdr>
                      <w:divsChild>
                        <w:div w:id="918321629">
                          <w:marLeft w:val="0"/>
                          <w:marRight w:val="0"/>
                          <w:marTop w:val="0"/>
                          <w:marBottom w:val="0"/>
                          <w:divBdr>
                            <w:top w:val="single" w:sz="2" w:space="0" w:color="D9D9E3"/>
                            <w:left w:val="single" w:sz="2" w:space="0" w:color="D9D9E3"/>
                            <w:bottom w:val="single" w:sz="2" w:space="0" w:color="D9D9E3"/>
                            <w:right w:val="single" w:sz="2" w:space="0" w:color="D9D9E3"/>
                          </w:divBdr>
                          <w:divsChild>
                            <w:div w:id="1330788841">
                              <w:marLeft w:val="0"/>
                              <w:marRight w:val="0"/>
                              <w:marTop w:val="100"/>
                              <w:marBottom w:val="100"/>
                              <w:divBdr>
                                <w:top w:val="single" w:sz="2" w:space="0" w:color="D9D9E3"/>
                                <w:left w:val="single" w:sz="2" w:space="0" w:color="D9D9E3"/>
                                <w:bottom w:val="single" w:sz="2" w:space="0" w:color="D9D9E3"/>
                                <w:right w:val="single" w:sz="2" w:space="0" w:color="D9D9E3"/>
                              </w:divBdr>
                              <w:divsChild>
                                <w:div w:id="1542283987">
                                  <w:marLeft w:val="0"/>
                                  <w:marRight w:val="0"/>
                                  <w:marTop w:val="0"/>
                                  <w:marBottom w:val="0"/>
                                  <w:divBdr>
                                    <w:top w:val="single" w:sz="2" w:space="0" w:color="D9D9E3"/>
                                    <w:left w:val="single" w:sz="2" w:space="0" w:color="D9D9E3"/>
                                    <w:bottom w:val="single" w:sz="2" w:space="0" w:color="D9D9E3"/>
                                    <w:right w:val="single" w:sz="2" w:space="0" w:color="D9D9E3"/>
                                  </w:divBdr>
                                  <w:divsChild>
                                    <w:div w:id="1891455438">
                                      <w:marLeft w:val="0"/>
                                      <w:marRight w:val="0"/>
                                      <w:marTop w:val="0"/>
                                      <w:marBottom w:val="0"/>
                                      <w:divBdr>
                                        <w:top w:val="single" w:sz="2" w:space="0" w:color="D9D9E3"/>
                                        <w:left w:val="single" w:sz="2" w:space="0" w:color="D9D9E3"/>
                                        <w:bottom w:val="single" w:sz="2" w:space="0" w:color="D9D9E3"/>
                                        <w:right w:val="single" w:sz="2" w:space="0" w:color="D9D9E3"/>
                                      </w:divBdr>
                                      <w:divsChild>
                                        <w:div w:id="47580623">
                                          <w:marLeft w:val="0"/>
                                          <w:marRight w:val="0"/>
                                          <w:marTop w:val="0"/>
                                          <w:marBottom w:val="0"/>
                                          <w:divBdr>
                                            <w:top w:val="single" w:sz="2" w:space="0" w:color="D9D9E3"/>
                                            <w:left w:val="single" w:sz="2" w:space="0" w:color="D9D9E3"/>
                                            <w:bottom w:val="single" w:sz="2" w:space="0" w:color="D9D9E3"/>
                                            <w:right w:val="single" w:sz="2" w:space="0" w:color="D9D9E3"/>
                                          </w:divBdr>
                                          <w:divsChild>
                                            <w:div w:id="432169884">
                                              <w:marLeft w:val="0"/>
                                              <w:marRight w:val="0"/>
                                              <w:marTop w:val="0"/>
                                              <w:marBottom w:val="0"/>
                                              <w:divBdr>
                                                <w:top w:val="single" w:sz="2" w:space="0" w:color="D9D9E3"/>
                                                <w:left w:val="single" w:sz="2" w:space="0" w:color="D9D9E3"/>
                                                <w:bottom w:val="single" w:sz="2" w:space="0" w:color="D9D9E3"/>
                                                <w:right w:val="single" w:sz="2" w:space="0" w:color="D9D9E3"/>
                                              </w:divBdr>
                                              <w:divsChild>
                                                <w:div w:id="279382027">
                                                  <w:marLeft w:val="0"/>
                                                  <w:marRight w:val="0"/>
                                                  <w:marTop w:val="0"/>
                                                  <w:marBottom w:val="0"/>
                                                  <w:divBdr>
                                                    <w:top w:val="single" w:sz="2" w:space="0" w:color="D9D9E3"/>
                                                    <w:left w:val="single" w:sz="2" w:space="0" w:color="D9D9E3"/>
                                                    <w:bottom w:val="single" w:sz="2" w:space="0" w:color="D9D9E3"/>
                                                    <w:right w:val="single" w:sz="2" w:space="0" w:color="D9D9E3"/>
                                                  </w:divBdr>
                                                  <w:divsChild>
                                                    <w:div w:id="1798639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26467174">
          <w:marLeft w:val="0"/>
          <w:marRight w:val="0"/>
          <w:marTop w:val="0"/>
          <w:marBottom w:val="0"/>
          <w:divBdr>
            <w:top w:val="none" w:sz="0" w:space="0" w:color="auto"/>
            <w:left w:val="none" w:sz="0" w:space="0" w:color="auto"/>
            <w:bottom w:val="none" w:sz="0" w:space="0" w:color="auto"/>
            <w:right w:val="none" w:sz="0" w:space="0" w:color="auto"/>
          </w:divBdr>
        </w:div>
      </w:divsChild>
    </w:div>
    <w:div w:id="1969119279">
      <w:bodyDiv w:val="1"/>
      <w:marLeft w:val="0"/>
      <w:marRight w:val="0"/>
      <w:marTop w:val="0"/>
      <w:marBottom w:val="0"/>
      <w:divBdr>
        <w:top w:val="none" w:sz="0" w:space="0" w:color="auto"/>
        <w:left w:val="none" w:sz="0" w:space="0" w:color="auto"/>
        <w:bottom w:val="none" w:sz="0" w:space="0" w:color="auto"/>
        <w:right w:val="none" w:sz="0" w:space="0" w:color="auto"/>
      </w:divBdr>
      <w:divsChild>
        <w:div w:id="963468363">
          <w:marLeft w:val="0"/>
          <w:marRight w:val="0"/>
          <w:marTop w:val="0"/>
          <w:marBottom w:val="0"/>
          <w:divBdr>
            <w:top w:val="single" w:sz="2" w:space="0" w:color="D9D9E3"/>
            <w:left w:val="single" w:sz="2" w:space="0" w:color="D9D9E3"/>
            <w:bottom w:val="single" w:sz="2" w:space="0" w:color="D9D9E3"/>
            <w:right w:val="single" w:sz="2" w:space="0" w:color="D9D9E3"/>
          </w:divBdr>
          <w:divsChild>
            <w:div w:id="1605305289">
              <w:marLeft w:val="0"/>
              <w:marRight w:val="0"/>
              <w:marTop w:val="0"/>
              <w:marBottom w:val="0"/>
              <w:divBdr>
                <w:top w:val="single" w:sz="2" w:space="0" w:color="D9D9E3"/>
                <w:left w:val="single" w:sz="2" w:space="0" w:color="D9D9E3"/>
                <w:bottom w:val="single" w:sz="2" w:space="0" w:color="D9D9E3"/>
                <w:right w:val="single" w:sz="2" w:space="0" w:color="D9D9E3"/>
              </w:divBdr>
              <w:divsChild>
                <w:div w:id="1956715341">
                  <w:marLeft w:val="0"/>
                  <w:marRight w:val="0"/>
                  <w:marTop w:val="0"/>
                  <w:marBottom w:val="0"/>
                  <w:divBdr>
                    <w:top w:val="single" w:sz="2" w:space="0" w:color="D9D9E3"/>
                    <w:left w:val="single" w:sz="2" w:space="0" w:color="D9D9E3"/>
                    <w:bottom w:val="single" w:sz="2" w:space="0" w:color="D9D9E3"/>
                    <w:right w:val="single" w:sz="2" w:space="0" w:color="D9D9E3"/>
                  </w:divBdr>
                  <w:divsChild>
                    <w:div w:id="1627658425">
                      <w:marLeft w:val="0"/>
                      <w:marRight w:val="0"/>
                      <w:marTop w:val="0"/>
                      <w:marBottom w:val="0"/>
                      <w:divBdr>
                        <w:top w:val="single" w:sz="2" w:space="0" w:color="D9D9E3"/>
                        <w:left w:val="single" w:sz="2" w:space="0" w:color="D9D9E3"/>
                        <w:bottom w:val="single" w:sz="2" w:space="0" w:color="D9D9E3"/>
                        <w:right w:val="single" w:sz="2" w:space="0" w:color="D9D9E3"/>
                      </w:divBdr>
                      <w:divsChild>
                        <w:div w:id="289940598">
                          <w:marLeft w:val="0"/>
                          <w:marRight w:val="0"/>
                          <w:marTop w:val="0"/>
                          <w:marBottom w:val="0"/>
                          <w:divBdr>
                            <w:top w:val="single" w:sz="2" w:space="0" w:color="D9D9E3"/>
                            <w:left w:val="single" w:sz="2" w:space="0" w:color="D9D9E3"/>
                            <w:bottom w:val="single" w:sz="2" w:space="0" w:color="D9D9E3"/>
                            <w:right w:val="single" w:sz="2" w:space="0" w:color="D9D9E3"/>
                          </w:divBdr>
                          <w:divsChild>
                            <w:div w:id="1297949792">
                              <w:marLeft w:val="0"/>
                              <w:marRight w:val="0"/>
                              <w:marTop w:val="100"/>
                              <w:marBottom w:val="100"/>
                              <w:divBdr>
                                <w:top w:val="single" w:sz="2" w:space="0" w:color="D9D9E3"/>
                                <w:left w:val="single" w:sz="2" w:space="0" w:color="D9D9E3"/>
                                <w:bottom w:val="single" w:sz="2" w:space="0" w:color="D9D9E3"/>
                                <w:right w:val="single" w:sz="2" w:space="0" w:color="D9D9E3"/>
                              </w:divBdr>
                              <w:divsChild>
                                <w:div w:id="734398600">
                                  <w:marLeft w:val="0"/>
                                  <w:marRight w:val="0"/>
                                  <w:marTop w:val="0"/>
                                  <w:marBottom w:val="0"/>
                                  <w:divBdr>
                                    <w:top w:val="single" w:sz="2" w:space="0" w:color="D9D9E3"/>
                                    <w:left w:val="single" w:sz="2" w:space="0" w:color="D9D9E3"/>
                                    <w:bottom w:val="single" w:sz="2" w:space="0" w:color="D9D9E3"/>
                                    <w:right w:val="single" w:sz="2" w:space="0" w:color="D9D9E3"/>
                                  </w:divBdr>
                                  <w:divsChild>
                                    <w:div w:id="917330434">
                                      <w:marLeft w:val="0"/>
                                      <w:marRight w:val="0"/>
                                      <w:marTop w:val="0"/>
                                      <w:marBottom w:val="0"/>
                                      <w:divBdr>
                                        <w:top w:val="single" w:sz="2" w:space="0" w:color="D9D9E3"/>
                                        <w:left w:val="single" w:sz="2" w:space="0" w:color="D9D9E3"/>
                                        <w:bottom w:val="single" w:sz="2" w:space="0" w:color="D9D9E3"/>
                                        <w:right w:val="single" w:sz="2" w:space="0" w:color="D9D9E3"/>
                                      </w:divBdr>
                                      <w:divsChild>
                                        <w:div w:id="905458753">
                                          <w:marLeft w:val="0"/>
                                          <w:marRight w:val="0"/>
                                          <w:marTop w:val="0"/>
                                          <w:marBottom w:val="0"/>
                                          <w:divBdr>
                                            <w:top w:val="single" w:sz="2" w:space="0" w:color="D9D9E3"/>
                                            <w:left w:val="single" w:sz="2" w:space="0" w:color="D9D9E3"/>
                                            <w:bottom w:val="single" w:sz="2" w:space="0" w:color="D9D9E3"/>
                                            <w:right w:val="single" w:sz="2" w:space="0" w:color="D9D9E3"/>
                                          </w:divBdr>
                                          <w:divsChild>
                                            <w:div w:id="34547199">
                                              <w:marLeft w:val="0"/>
                                              <w:marRight w:val="0"/>
                                              <w:marTop w:val="0"/>
                                              <w:marBottom w:val="0"/>
                                              <w:divBdr>
                                                <w:top w:val="single" w:sz="2" w:space="0" w:color="D9D9E3"/>
                                                <w:left w:val="single" w:sz="2" w:space="0" w:color="D9D9E3"/>
                                                <w:bottom w:val="single" w:sz="2" w:space="0" w:color="D9D9E3"/>
                                                <w:right w:val="single" w:sz="2" w:space="0" w:color="D9D9E3"/>
                                              </w:divBdr>
                                              <w:divsChild>
                                                <w:div w:id="400177269">
                                                  <w:marLeft w:val="0"/>
                                                  <w:marRight w:val="0"/>
                                                  <w:marTop w:val="0"/>
                                                  <w:marBottom w:val="0"/>
                                                  <w:divBdr>
                                                    <w:top w:val="single" w:sz="2" w:space="0" w:color="D9D9E3"/>
                                                    <w:left w:val="single" w:sz="2" w:space="0" w:color="D9D9E3"/>
                                                    <w:bottom w:val="single" w:sz="2" w:space="0" w:color="D9D9E3"/>
                                                    <w:right w:val="single" w:sz="2" w:space="0" w:color="D9D9E3"/>
                                                  </w:divBdr>
                                                  <w:divsChild>
                                                    <w:div w:id="674963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25347299">
          <w:marLeft w:val="0"/>
          <w:marRight w:val="0"/>
          <w:marTop w:val="0"/>
          <w:marBottom w:val="0"/>
          <w:divBdr>
            <w:top w:val="none" w:sz="0" w:space="0" w:color="auto"/>
            <w:left w:val="none" w:sz="0" w:space="0" w:color="auto"/>
            <w:bottom w:val="none" w:sz="0" w:space="0" w:color="auto"/>
            <w:right w:val="none" w:sz="0" w:space="0" w:color="auto"/>
          </w:divBdr>
        </w:div>
      </w:divsChild>
    </w:div>
    <w:div w:id="2052537206">
      <w:bodyDiv w:val="1"/>
      <w:marLeft w:val="0"/>
      <w:marRight w:val="0"/>
      <w:marTop w:val="0"/>
      <w:marBottom w:val="0"/>
      <w:divBdr>
        <w:top w:val="none" w:sz="0" w:space="0" w:color="auto"/>
        <w:left w:val="none" w:sz="0" w:space="0" w:color="auto"/>
        <w:bottom w:val="none" w:sz="0" w:space="0" w:color="auto"/>
        <w:right w:val="none" w:sz="0" w:space="0" w:color="auto"/>
      </w:divBdr>
    </w:div>
    <w:div w:id="2120295307">
      <w:bodyDiv w:val="1"/>
      <w:marLeft w:val="0"/>
      <w:marRight w:val="0"/>
      <w:marTop w:val="0"/>
      <w:marBottom w:val="0"/>
      <w:divBdr>
        <w:top w:val="none" w:sz="0" w:space="0" w:color="auto"/>
        <w:left w:val="none" w:sz="0" w:space="0" w:color="auto"/>
        <w:bottom w:val="none" w:sz="0" w:space="0" w:color="auto"/>
        <w:right w:val="none" w:sz="0" w:space="0" w:color="auto"/>
      </w:divBdr>
      <w:divsChild>
        <w:div w:id="1319917200">
          <w:marLeft w:val="0"/>
          <w:marRight w:val="0"/>
          <w:marTop w:val="0"/>
          <w:marBottom w:val="0"/>
          <w:divBdr>
            <w:top w:val="single" w:sz="2" w:space="0" w:color="D9D9E3"/>
            <w:left w:val="single" w:sz="2" w:space="0" w:color="D9D9E3"/>
            <w:bottom w:val="single" w:sz="2" w:space="0" w:color="D9D9E3"/>
            <w:right w:val="single" w:sz="2" w:space="0" w:color="D9D9E3"/>
          </w:divBdr>
          <w:divsChild>
            <w:div w:id="2075159348">
              <w:marLeft w:val="0"/>
              <w:marRight w:val="0"/>
              <w:marTop w:val="0"/>
              <w:marBottom w:val="0"/>
              <w:divBdr>
                <w:top w:val="single" w:sz="2" w:space="0" w:color="D9D9E3"/>
                <w:left w:val="single" w:sz="2" w:space="0" w:color="D9D9E3"/>
                <w:bottom w:val="single" w:sz="2" w:space="0" w:color="D9D9E3"/>
                <w:right w:val="single" w:sz="2" w:space="0" w:color="D9D9E3"/>
              </w:divBdr>
              <w:divsChild>
                <w:div w:id="2005089164">
                  <w:marLeft w:val="0"/>
                  <w:marRight w:val="0"/>
                  <w:marTop w:val="0"/>
                  <w:marBottom w:val="0"/>
                  <w:divBdr>
                    <w:top w:val="single" w:sz="2" w:space="0" w:color="D9D9E3"/>
                    <w:left w:val="single" w:sz="2" w:space="0" w:color="D9D9E3"/>
                    <w:bottom w:val="single" w:sz="2" w:space="0" w:color="D9D9E3"/>
                    <w:right w:val="single" w:sz="2" w:space="0" w:color="D9D9E3"/>
                  </w:divBdr>
                  <w:divsChild>
                    <w:div w:id="700132635">
                      <w:marLeft w:val="0"/>
                      <w:marRight w:val="0"/>
                      <w:marTop w:val="0"/>
                      <w:marBottom w:val="0"/>
                      <w:divBdr>
                        <w:top w:val="single" w:sz="2" w:space="0" w:color="D9D9E3"/>
                        <w:left w:val="single" w:sz="2" w:space="0" w:color="D9D9E3"/>
                        <w:bottom w:val="single" w:sz="2" w:space="0" w:color="D9D9E3"/>
                        <w:right w:val="single" w:sz="2" w:space="0" w:color="D9D9E3"/>
                      </w:divBdr>
                      <w:divsChild>
                        <w:div w:id="1695885776">
                          <w:marLeft w:val="0"/>
                          <w:marRight w:val="0"/>
                          <w:marTop w:val="0"/>
                          <w:marBottom w:val="0"/>
                          <w:divBdr>
                            <w:top w:val="single" w:sz="2" w:space="0" w:color="D9D9E3"/>
                            <w:left w:val="single" w:sz="2" w:space="0" w:color="D9D9E3"/>
                            <w:bottom w:val="single" w:sz="2" w:space="0" w:color="D9D9E3"/>
                            <w:right w:val="single" w:sz="2" w:space="0" w:color="D9D9E3"/>
                          </w:divBdr>
                          <w:divsChild>
                            <w:div w:id="102306506">
                              <w:marLeft w:val="0"/>
                              <w:marRight w:val="0"/>
                              <w:marTop w:val="100"/>
                              <w:marBottom w:val="100"/>
                              <w:divBdr>
                                <w:top w:val="single" w:sz="2" w:space="0" w:color="D9D9E3"/>
                                <w:left w:val="single" w:sz="2" w:space="0" w:color="D9D9E3"/>
                                <w:bottom w:val="single" w:sz="2" w:space="0" w:color="D9D9E3"/>
                                <w:right w:val="single" w:sz="2" w:space="0" w:color="D9D9E3"/>
                              </w:divBdr>
                              <w:divsChild>
                                <w:div w:id="1109741403">
                                  <w:marLeft w:val="0"/>
                                  <w:marRight w:val="0"/>
                                  <w:marTop w:val="0"/>
                                  <w:marBottom w:val="0"/>
                                  <w:divBdr>
                                    <w:top w:val="single" w:sz="2" w:space="0" w:color="D9D9E3"/>
                                    <w:left w:val="single" w:sz="2" w:space="0" w:color="D9D9E3"/>
                                    <w:bottom w:val="single" w:sz="2" w:space="0" w:color="D9D9E3"/>
                                    <w:right w:val="single" w:sz="2" w:space="0" w:color="D9D9E3"/>
                                  </w:divBdr>
                                  <w:divsChild>
                                    <w:div w:id="2094933186">
                                      <w:marLeft w:val="0"/>
                                      <w:marRight w:val="0"/>
                                      <w:marTop w:val="0"/>
                                      <w:marBottom w:val="0"/>
                                      <w:divBdr>
                                        <w:top w:val="single" w:sz="2" w:space="0" w:color="D9D9E3"/>
                                        <w:left w:val="single" w:sz="2" w:space="0" w:color="D9D9E3"/>
                                        <w:bottom w:val="single" w:sz="2" w:space="0" w:color="D9D9E3"/>
                                        <w:right w:val="single" w:sz="2" w:space="0" w:color="D9D9E3"/>
                                      </w:divBdr>
                                      <w:divsChild>
                                        <w:div w:id="1710883717">
                                          <w:marLeft w:val="0"/>
                                          <w:marRight w:val="0"/>
                                          <w:marTop w:val="0"/>
                                          <w:marBottom w:val="0"/>
                                          <w:divBdr>
                                            <w:top w:val="single" w:sz="2" w:space="0" w:color="D9D9E3"/>
                                            <w:left w:val="single" w:sz="2" w:space="0" w:color="D9D9E3"/>
                                            <w:bottom w:val="single" w:sz="2" w:space="0" w:color="D9D9E3"/>
                                            <w:right w:val="single" w:sz="2" w:space="0" w:color="D9D9E3"/>
                                          </w:divBdr>
                                          <w:divsChild>
                                            <w:div w:id="2114089591">
                                              <w:marLeft w:val="0"/>
                                              <w:marRight w:val="0"/>
                                              <w:marTop w:val="0"/>
                                              <w:marBottom w:val="0"/>
                                              <w:divBdr>
                                                <w:top w:val="single" w:sz="2" w:space="0" w:color="D9D9E3"/>
                                                <w:left w:val="single" w:sz="2" w:space="0" w:color="D9D9E3"/>
                                                <w:bottom w:val="single" w:sz="2" w:space="0" w:color="D9D9E3"/>
                                                <w:right w:val="single" w:sz="2" w:space="0" w:color="D9D9E3"/>
                                              </w:divBdr>
                                              <w:divsChild>
                                                <w:div w:id="1620141046">
                                                  <w:marLeft w:val="0"/>
                                                  <w:marRight w:val="0"/>
                                                  <w:marTop w:val="0"/>
                                                  <w:marBottom w:val="0"/>
                                                  <w:divBdr>
                                                    <w:top w:val="single" w:sz="2" w:space="0" w:color="D9D9E3"/>
                                                    <w:left w:val="single" w:sz="2" w:space="0" w:color="D9D9E3"/>
                                                    <w:bottom w:val="single" w:sz="2" w:space="0" w:color="D9D9E3"/>
                                                    <w:right w:val="single" w:sz="2" w:space="0" w:color="D9D9E3"/>
                                                  </w:divBdr>
                                                  <w:divsChild>
                                                    <w:div w:id="1827209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88126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journals.sagepub.com/doi/full/10.1177/0734242X21102908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cikerisim.alanya.edu.tr/xmlui/handle/20.500.12868/1617" TargetMode="External"/><Relationship Id="rId5" Type="http://schemas.openxmlformats.org/officeDocument/2006/relationships/hyperlink" Target="https://www.taylorfrancis.com/chapters/edit/10.4324/9781003018551-10/implementing-circular-economy-textile-clothing-industry-krishnendu-saha-prasanta-kumar-dey-eleni-papagiannaki" TargetMode="External"/><Relationship Id="rId4" Type="http://schemas.openxmlformats.org/officeDocument/2006/relationships/hyperlink" Target="https://www.e3s-conferences.org/articles/e3sconf/abs/2021/31/e3sconf_iscmee2021_01026/e3sconf_iscmee2021_01026.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10</Pages>
  <Words>3279</Words>
  <Characters>17708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Raquel De Oliveira Vazao (2027266)</cp:lastModifiedBy>
  <cp:revision>93</cp:revision>
  <dcterms:created xsi:type="dcterms:W3CDTF">2024-01-24T11:36:00Z</dcterms:created>
  <dcterms:modified xsi:type="dcterms:W3CDTF">2024-01-31T09:21:00Z</dcterms:modified>
</cp:coreProperties>
</file>