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E553DA" w14:textId="77777777" w:rsidR="004E66BB" w:rsidRDefault="004E66BB" w:rsidP="004E66BB">
      <w:pPr>
        <w:jc w:val="center"/>
        <w:rPr>
          <w:b/>
          <w:sz w:val="36"/>
        </w:rPr>
      </w:pPr>
    </w:p>
    <w:p w14:paraId="67432B98" w14:textId="77777777" w:rsidR="004E66BB" w:rsidRDefault="004E66BB" w:rsidP="004E66BB">
      <w:pPr>
        <w:jc w:val="center"/>
        <w:rPr>
          <w:b/>
          <w:sz w:val="36"/>
        </w:rPr>
      </w:pPr>
    </w:p>
    <w:p w14:paraId="054D587B" w14:textId="77777777" w:rsidR="004E66BB" w:rsidRDefault="004E66BB" w:rsidP="004E66BB">
      <w:pPr>
        <w:jc w:val="center"/>
        <w:rPr>
          <w:b/>
          <w:sz w:val="36"/>
        </w:rPr>
      </w:pPr>
    </w:p>
    <w:p w14:paraId="7FC46CB4" w14:textId="77777777" w:rsidR="004E66BB" w:rsidRDefault="004E66BB" w:rsidP="004E66BB">
      <w:pPr>
        <w:jc w:val="center"/>
        <w:rPr>
          <w:b/>
          <w:sz w:val="36"/>
        </w:rPr>
      </w:pPr>
    </w:p>
    <w:p w14:paraId="4D46D6EA" w14:textId="77777777" w:rsidR="004E66BB" w:rsidRDefault="004E66BB" w:rsidP="004E66BB">
      <w:pPr>
        <w:jc w:val="center"/>
        <w:rPr>
          <w:b/>
          <w:sz w:val="36"/>
        </w:rPr>
      </w:pPr>
    </w:p>
    <w:p w14:paraId="3CD8E864" w14:textId="77777777" w:rsidR="004E66BB" w:rsidRDefault="004E66BB" w:rsidP="004E66BB">
      <w:pPr>
        <w:jc w:val="center"/>
        <w:rPr>
          <w:b/>
          <w:sz w:val="36"/>
        </w:rPr>
      </w:pPr>
    </w:p>
    <w:p w14:paraId="1559A284" w14:textId="77777777" w:rsidR="004E66BB" w:rsidRDefault="004E66BB" w:rsidP="004E66BB">
      <w:pPr>
        <w:jc w:val="center"/>
        <w:rPr>
          <w:b/>
          <w:sz w:val="36"/>
        </w:rPr>
      </w:pPr>
    </w:p>
    <w:p w14:paraId="419FF1AD" w14:textId="68580F8E" w:rsidR="004E66BB" w:rsidRPr="00E34D39" w:rsidRDefault="004E66BB" w:rsidP="004E66BB">
      <w:pPr>
        <w:jc w:val="center"/>
        <w:rPr>
          <w:b/>
          <w:sz w:val="36"/>
        </w:rPr>
      </w:pPr>
      <w:r w:rsidRPr="00E34D39">
        <w:rPr>
          <w:b/>
          <w:sz w:val="36"/>
        </w:rPr>
        <w:t>“Financial Management for the Hotel Industry”</w:t>
      </w:r>
    </w:p>
    <w:p w14:paraId="30074620" w14:textId="77777777" w:rsidR="004E66BB" w:rsidRDefault="004E66BB" w:rsidP="004E66BB">
      <w:pPr>
        <w:jc w:val="center"/>
        <w:rPr>
          <w:b/>
          <w:sz w:val="36"/>
        </w:rPr>
      </w:pPr>
      <w:r>
        <w:rPr>
          <w:b/>
          <w:sz w:val="36"/>
        </w:rPr>
        <w:t>“Component 2</w:t>
      </w:r>
      <w:r w:rsidRPr="00E34D39">
        <w:rPr>
          <w:b/>
          <w:sz w:val="36"/>
        </w:rPr>
        <w:t>”</w:t>
      </w:r>
    </w:p>
    <w:p w14:paraId="14D61199" w14:textId="77777777" w:rsidR="009F11AD" w:rsidRDefault="009F11AD" w:rsidP="004E66BB">
      <w:pPr>
        <w:jc w:val="center"/>
        <w:rPr>
          <w:b/>
          <w:sz w:val="36"/>
        </w:rPr>
      </w:pPr>
    </w:p>
    <w:p w14:paraId="560B4CAE" w14:textId="77777777" w:rsidR="009F11AD" w:rsidRDefault="009F11AD" w:rsidP="004E66BB">
      <w:pPr>
        <w:jc w:val="center"/>
        <w:rPr>
          <w:b/>
          <w:sz w:val="36"/>
        </w:rPr>
      </w:pPr>
    </w:p>
    <w:p w14:paraId="5CDC610B" w14:textId="77777777" w:rsidR="009F11AD" w:rsidRDefault="009F11AD" w:rsidP="004E66BB">
      <w:pPr>
        <w:jc w:val="center"/>
        <w:rPr>
          <w:b/>
          <w:sz w:val="36"/>
        </w:rPr>
      </w:pPr>
    </w:p>
    <w:p w14:paraId="24C5608A" w14:textId="0A89A06E" w:rsidR="0022687C" w:rsidRDefault="009F11AD" w:rsidP="004E66BB">
      <w:pPr>
        <w:jc w:val="center"/>
        <w:rPr>
          <w:b/>
          <w:sz w:val="36"/>
        </w:rPr>
      </w:pPr>
      <w:r>
        <w:rPr>
          <w:b/>
          <w:sz w:val="36"/>
        </w:rPr>
        <w:t>2214591</w:t>
      </w:r>
    </w:p>
    <w:p w14:paraId="2E7BA941" w14:textId="5C4F3EB2" w:rsidR="009F11AD" w:rsidRDefault="009F11AD" w:rsidP="004E66BB">
      <w:pPr>
        <w:jc w:val="center"/>
        <w:rPr>
          <w:b/>
        </w:rPr>
      </w:pPr>
      <w:r>
        <w:rPr>
          <w:b/>
          <w:sz w:val="36"/>
        </w:rPr>
        <w:t>Catalin Alexandru Cocos</w:t>
      </w:r>
    </w:p>
    <w:p w14:paraId="5E7E083C" w14:textId="77777777" w:rsidR="004E66BB" w:rsidRDefault="004E66BB">
      <w:pPr>
        <w:rPr>
          <w:b/>
        </w:rPr>
      </w:pPr>
      <w:r>
        <w:rPr>
          <w:b/>
        </w:rPr>
        <w:br w:type="page"/>
      </w:r>
    </w:p>
    <w:sdt>
      <w:sdtPr>
        <w:rPr>
          <w:rFonts w:ascii="Times New Roman" w:eastAsia="Times New Roman" w:hAnsi="Times New Roman" w:cs="Times New Roman"/>
          <w:color w:val="auto"/>
          <w:sz w:val="24"/>
          <w:szCs w:val="24"/>
          <w:lang w:val="en-GB" w:eastAsia="en-IN"/>
        </w:rPr>
        <w:id w:val="586736686"/>
        <w:docPartObj>
          <w:docPartGallery w:val="Table of Contents"/>
          <w:docPartUnique/>
        </w:docPartObj>
      </w:sdtPr>
      <w:sdtEndPr>
        <w:rPr>
          <w:b/>
          <w:bCs/>
          <w:noProof/>
        </w:rPr>
      </w:sdtEndPr>
      <w:sdtContent>
        <w:p w14:paraId="01012514" w14:textId="7783AC79" w:rsidR="004E66BB" w:rsidRPr="004E66BB" w:rsidRDefault="004E66BB" w:rsidP="004E66BB">
          <w:pPr>
            <w:pStyle w:val="TOCHeading"/>
            <w:jc w:val="center"/>
            <w:rPr>
              <w:rFonts w:ascii="Times New Roman" w:hAnsi="Times New Roman" w:cs="Times New Roman"/>
              <w:b/>
              <w:color w:val="000000" w:themeColor="text1"/>
            </w:rPr>
          </w:pPr>
          <w:r w:rsidRPr="004E66BB">
            <w:rPr>
              <w:rFonts w:ascii="Times New Roman" w:hAnsi="Times New Roman" w:cs="Times New Roman"/>
              <w:b/>
              <w:color w:val="000000" w:themeColor="text1"/>
            </w:rPr>
            <w:t>Table of Contents</w:t>
          </w:r>
        </w:p>
        <w:p w14:paraId="6A51A19C" w14:textId="0398E903" w:rsidR="004E66BB" w:rsidRDefault="004E66BB">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67212353" w:history="1">
            <w:r w:rsidRPr="005B2456">
              <w:rPr>
                <w:rStyle w:val="Hyperlink"/>
                <w:noProof/>
              </w:rPr>
              <w:t>Introduction</w:t>
            </w:r>
            <w:r>
              <w:rPr>
                <w:noProof/>
                <w:webHidden/>
              </w:rPr>
              <w:tab/>
            </w:r>
            <w:r>
              <w:rPr>
                <w:noProof/>
                <w:webHidden/>
              </w:rPr>
              <w:fldChar w:fldCharType="begin"/>
            </w:r>
            <w:r>
              <w:rPr>
                <w:noProof/>
                <w:webHidden/>
              </w:rPr>
              <w:instrText xml:space="preserve"> PAGEREF _Toc167212353 \h </w:instrText>
            </w:r>
            <w:r>
              <w:rPr>
                <w:noProof/>
                <w:webHidden/>
              </w:rPr>
            </w:r>
            <w:r>
              <w:rPr>
                <w:noProof/>
                <w:webHidden/>
              </w:rPr>
              <w:fldChar w:fldCharType="separate"/>
            </w:r>
            <w:r>
              <w:rPr>
                <w:noProof/>
                <w:webHidden/>
              </w:rPr>
              <w:t>3</w:t>
            </w:r>
            <w:r>
              <w:rPr>
                <w:noProof/>
                <w:webHidden/>
              </w:rPr>
              <w:fldChar w:fldCharType="end"/>
            </w:r>
          </w:hyperlink>
        </w:p>
        <w:p w14:paraId="58B1BEA1" w14:textId="4AF64905" w:rsidR="004E66BB" w:rsidRDefault="00000000">
          <w:pPr>
            <w:pStyle w:val="TOC1"/>
            <w:tabs>
              <w:tab w:val="right" w:leader="dot" w:pos="9350"/>
            </w:tabs>
            <w:rPr>
              <w:rFonts w:asciiTheme="minorHAnsi" w:eastAsiaTheme="minorEastAsia" w:hAnsiTheme="minorHAnsi" w:cstheme="minorBidi"/>
              <w:noProof/>
              <w:sz w:val="22"/>
              <w:szCs w:val="22"/>
              <w:lang w:val="en-IN"/>
            </w:rPr>
          </w:pPr>
          <w:hyperlink w:anchor="_Toc167212354" w:history="1">
            <w:r w:rsidR="004E66BB" w:rsidRPr="005B2456">
              <w:rPr>
                <w:rStyle w:val="Hyperlink"/>
                <w:noProof/>
              </w:rPr>
              <w:t>Evaluating the trending performances of Finance in this business over the last 3 years</w:t>
            </w:r>
            <w:r w:rsidR="004E66BB">
              <w:rPr>
                <w:noProof/>
                <w:webHidden/>
              </w:rPr>
              <w:tab/>
            </w:r>
            <w:r w:rsidR="004E66BB">
              <w:rPr>
                <w:noProof/>
                <w:webHidden/>
              </w:rPr>
              <w:fldChar w:fldCharType="begin"/>
            </w:r>
            <w:r w:rsidR="004E66BB">
              <w:rPr>
                <w:noProof/>
                <w:webHidden/>
              </w:rPr>
              <w:instrText xml:space="preserve"> PAGEREF _Toc167212354 \h </w:instrText>
            </w:r>
            <w:r w:rsidR="004E66BB">
              <w:rPr>
                <w:noProof/>
                <w:webHidden/>
              </w:rPr>
            </w:r>
            <w:r w:rsidR="004E66BB">
              <w:rPr>
                <w:noProof/>
                <w:webHidden/>
              </w:rPr>
              <w:fldChar w:fldCharType="separate"/>
            </w:r>
            <w:r w:rsidR="004E66BB">
              <w:rPr>
                <w:noProof/>
                <w:webHidden/>
              </w:rPr>
              <w:t>3</w:t>
            </w:r>
            <w:r w:rsidR="004E66BB">
              <w:rPr>
                <w:noProof/>
                <w:webHidden/>
              </w:rPr>
              <w:fldChar w:fldCharType="end"/>
            </w:r>
          </w:hyperlink>
        </w:p>
        <w:p w14:paraId="35EB01FA" w14:textId="720570F5" w:rsidR="004E66BB" w:rsidRDefault="00000000">
          <w:pPr>
            <w:pStyle w:val="TOC1"/>
            <w:tabs>
              <w:tab w:val="right" w:leader="dot" w:pos="9350"/>
            </w:tabs>
            <w:rPr>
              <w:rFonts w:asciiTheme="minorHAnsi" w:eastAsiaTheme="minorEastAsia" w:hAnsiTheme="minorHAnsi" w:cstheme="minorBidi"/>
              <w:noProof/>
              <w:sz w:val="22"/>
              <w:szCs w:val="22"/>
              <w:lang w:val="en-IN"/>
            </w:rPr>
          </w:pPr>
          <w:hyperlink w:anchor="_Toc167212355" w:history="1">
            <w:r w:rsidR="004E66BB" w:rsidRPr="005B2456">
              <w:rPr>
                <w:rStyle w:val="Hyperlink"/>
                <w:noProof/>
              </w:rPr>
              <w:t>Evaluated reasons regarding the declined profit position of the business</w:t>
            </w:r>
            <w:r w:rsidR="004E66BB">
              <w:rPr>
                <w:noProof/>
                <w:webHidden/>
              </w:rPr>
              <w:tab/>
            </w:r>
            <w:r w:rsidR="004E66BB">
              <w:rPr>
                <w:noProof/>
                <w:webHidden/>
              </w:rPr>
              <w:fldChar w:fldCharType="begin"/>
            </w:r>
            <w:r w:rsidR="004E66BB">
              <w:rPr>
                <w:noProof/>
                <w:webHidden/>
              </w:rPr>
              <w:instrText xml:space="preserve"> PAGEREF _Toc167212355 \h </w:instrText>
            </w:r>
            <w:r w:rsidR="004E66BB">
              <w:rPr>
                <w:noProof/>
                <w:webHidden/>
              </w:rPr>
            </w:r>
            <w:r w:rsidR="004E66BB">
              <w:rPr>
                <w:noProof/>
                <w:webHidden/>
              </w:rPr>
              <w:fldChar w:fldCharType="separate"/>
            </w:r>
            <w:r w:rsidR="004E66BB">
              <w:rPr>
                <w:noProof/>
                <w:webHidden/>
              </w:rPr>
              <w:t>5</w:t>
            </w:r>
            <w:r w:rsidR="004E66BB">
              <w:rPr>
                <w:noProof/>
                <w:webHidden/>
              </w:rPr>
              <w:fldChar w:fldCharType="end"/>
            </w:r>
          </w:hyperlink>
        </w:p>
        <w:p w14:paraId="13B7A558" w14:textId="00B30E8C" w:rsidR="004E66BB" w:rsidRDefault="00000000">
          <w:pPr>
            <w:pStyle w:val="TOC1"/>
            <w:tabs>
              <w:tab w:val="right" w:leader="dot" w:pos="9350"/>
            </w:tabs>
            <w:rPr>
              <w:rFonts w:asciiTheme="minorHAnsi" w:eastAsiaTheme="minorEastAsia" w:hAnsiTheme="minorHAnsi" w:cstheme="minorBidi"/>
              <w:noProof/>
              <w:sz w:val="22"/>
              <w:szCs w:val="22"/>
              <w:lang w:val="en-IN"/>
            </w:rPr>
          </w:pPr>
          <w:hyperlink w:anchor="_Toc167212356" w:history="1">
            <w:r w:rsidR="004E66BB" w:rsidRPr="005B2456">
              <w:rPr>
                <w:rStyle w:val="Hyperlink"/>
                <w:noProof/>
                <w:highlight w:val="white"/>
              </w:rPr>
              <w:t>Applied turnaround strategy for business development</w:t>
            </w:r>
            <w:r w:rsidR="004E66BB">
              <w:rPr>
                <w:noProof/>
                <w:webHidden/>
              </w:rPr>
              <w:tab/>
            </w:r>
            <w:r w:rsidR="004E66BB">
              <w:rPr>
                <w:noProof/>
                <w:webHidden/>
              </w:rPr>
              <w:fldChar w:fldCharType="begin"/>
            </w:r>
            <w:r w:rsidR="004E66BB">
              <w:rPr>
                <w:noProof/>
                <w:webHidden/>
              </w:rPr>
              <w:instrText xml:space="preserve"> PAGEREF _Toc167212356 \h </w:instrText>
            </w:r>
            <w:r w:rsidR="004E66BB">
              <w:rPr>
                <w:noProof/>
                <w:webHidden/>
              </w:rPr>
            </w:r>
            <w:r w:rsidR="004E66BB">
              <w:rPr>
                <w:noProof/>
                <w:webHidden/>
              </w:rPr>
              <w:fldChar w:fldCharType="separate"/>
            </w:r>
            <w:r w:rsidR="004E66BB">
              <w:rPr>
                <w:noProof/>
                <w:webHidden/>
              </w:rPr>
              <w:t>6</w:t>
            </w:r>
            <w:r w:rsidR="004E66BB">
              <w:rPr>
                <w:noProof/>
                <w:webHidden/>
              </w:rPr>
              <w:fldChar w:fldCharType="end"/>
            </w:r>
          </w:hyperlink>
        </w:p>
        <w:p w14:paraId="074EEC6D" w14:textId="25E6D10B" w:rsidR="004E66BB" w:rsidRDefault="00000000">
          <w:pPr>
            <w:pStyle w:val="TOC1"/>
            <w:tabs>
              <w:tab w:val="right" w:leader="dot" w:pos="9350"/>
            </w:tabs>
            <w:rPr>
              <w:rFonts w:asciiTheme="minorHAnsi" w:eastAsiaTheme="minorEastAsia" w:hAnsiTheme="minorHAnsi" w:cstheme="minorBidi"/>
              <w:noProof/>
              <w:sz w:val="22"/>
              <w:szCs w:val="22"/>
              <w:lang w:val="en-IN"/>
            </w:rPr>
          </w:pPr>
          <w:hyperlink w:anchor="_Toc167212357" w:history="1">
            <w:r w:rsidR="004E66BB" w:rsidRPr="005B2456">
              <w:rPr>
                <w:rStyle w:val="Hyperlink"/>
                <w:noProof/>
              </w:rPr>
              <w:t>Conclusions</w:t>
            </w:r>
            <w:r w:rsidR="004E66BB">
              <w:rPr>
                <w:noProof/>
                <w:webHidden/>
              </w:rPr>
              <w:tab/>
            </w:r>
            <w:r w:rsidR="004E66BB">
              <w:rPr>
                <w:noProof/>
                <w:webHidden/>
              </w:rPr>
              <w:fldChar w:fldCharType="begin"/>
            </w:r>
            <w:r w:rsidR="004E66BB">
              <w:rPr>
                <w:noProof/>
                <w:webHidden/>
              </w:rPr>
              <w:instrText xml:space="preserve"> PAGEREF _Toc167212357 \h </w:instrText>
            </w:r>
            <w:r w:rsidR="004E66BB">
              <w:rPr>
                <w:noProof/>
                <w:webHidden/>
              </w:rPr>
            </w:r>
            <w:r w:rsidR="004E66BB">
              <w:rPr>
                <w:noProof/>
                <w:webHidden/>
              </w:rPr>
              <w:fldChar w:fldCharType="separate"/>
            </w:r>
            <w:r w:rsidR="004E66BB">
              <w:rPr>
                <w:noProof/>
                <w:webHidden/>
              </w:rPr>
              <w:t>7</w:t>
            </w:r>
            <w:r w:rsidR="004E66BB">
              <w:rPr>
                <w:noProof/>
                <w:webHidden/>
              </w:rPr>
              <w:fldChar w:fldCharType="end"/>
            </w:r>
          </w:hyperlink>
        </w:p>
        <w:p w14:paraId="79D0C1B3" w14:textId="4EF7ED6B" w:rsidR="004E66BB" w:rsidRDefault="00000000">
          <w:pPr>
            <w:pStyle w:val="TOC1"/>
            <w:tabs>
              <w:tab w:val="right" w:leader="dot" w:pos="9350"/>
            </w:tabs>
            <w:rPr>
              <w:rFonts w:asciiTheme="minorHAnsi" w:eastAsiaTheme="minorEastAsia" w:hAnsiTheme="minorHAnsi" w:cstheme="minorBidi"/>
              <w:noProof/>
              <w:sz w:val="22"/>
              <w:szCs w:val="22"/>
              <w:lang w:val="en-IN"/>
            </w:rPr>
          </w:pPr>
          <w:hyperlink w:anchor="_Toc167212358" w:history="1">
            <w:r w:rsidR="004E66BB" w:rsidRPr="005B2456">
              <w:rPr>
                <w:rStyle w:val="Hyperlink"/>
                <w:noProof/>
                <w:highlight w:val="white"/>
              </w:rPr>
              <w:t>References</w:t>
            </w:r>
            <w:r w:rsidR="004E66BB">
              <w:rPr>
                <w:noProof/>
                <w:webHidden/>
              </w:rPr>
              <w:tab/>
            </w:r>
            <w:r w:rsidR="004E66BB">
              <w:rPr>
                <w:noProof/>
                <w:webHidden/>
              </w:rPr>
              <w:fldChar w:fldCharType="begin"/>
            </w:r>
            <w:r w:rsidR="004E66BB">
              <w:rPr>
                <w:noProof/>
                <w:webHidden/>
              </w:rPr>
              <w:instrText xml:space="preserve"> PAGEREF _Toc167212358 \h </w:instrText>
            </w:r>
            <w:r w:rsidR="004E66BB">
              <w:rPr>
                <w:noProof/>
                <w:webHidden/>
              </w:rPr>
            </w:r>
            <w:r w:rsidR="004E66BB">
              <w:rPr>
                <w:noProof/>
                <w:webHidden/>
              </w:rPr>
              <w:fldChar w:fldCharType="separate"/>
            </w:r>
            <w:r w:rsidR="004E66BB">
              <w:rPr>
                <w:noProof/>
                <w:webHidden/>
              </w:rPr>
              <w:t>8</w:t>
            </w:r>
            <w:r w:rsidR="004E66BB">
              <w:rPr>
                <w:noProof/>
                <w:webHidden/>
              </w:rPr>
              <w:fldChar w:fldCharType="end"/>
            </w:r>
          </w:hyperlink>
        </w:p>
        <w:p w14:paraId="23F82EFC" w14:textId="35D93EF9" w:rsidR="004E66BB" w:rsidRDefault="004E66BB">
          <w:r>
            <w:rPr>
              <w:b/>
              <w:bCs/>
              <w:noProof/>
            </w:rPr>
            <w:fldChar w:fldCharType="end"/>
          </w:r>
        </w:p>
      </w:sdtContent>
    </w:sdt>
    <w:p w14:paraId="6544FD1A" w14:textId="77777777" w:rsidR="004E66BB" w:rsidRDefault="004E66BB">
      <w:pPr>
        <w:rPr>
          <w:b/>
        </w:rPr>
      </w:pPr>
      <w:r>
        <w:rPr>
          <w:b/>
        </w:rPr>
        <w:br w:type="page"/>
      </w:r>
    </w:p>
    <w:p w14:paraId="00000001" w14:textId="240EC269" w:rsidR="00216071" w:rsidRDefault="002D60D0" w:rsidP="004E66BB">
      <w:pPr>
        <w:pStyle w:val="Heading1"/>
      </w:pPr>
      <w:bookmarkStart w:id="0" w:name="_Toc167212353"/>
      <w:r w:rsidRPr="004E66BB">
        <w:lastRenderedPageBreak/>
        <w:t>Introduction</w:t>
      </w:r>
      <w:bookmarkEnd w:id="0"/>
      <w:r>
        <w:t xml:space="preserve"> </w:t>
      </w:r>
    </w:p>
    <w:p w14:paraId="00000002" w14:textId="77777777" w:rsidR="00216071" w:rsidRDefault="002D60D0">
      <w:r>
        <w:t xml:space="preserve">The primary approach of strategy for every individual business provides an equivalent focus for both the financial and non-financial elements. The appearance of the financial factors generally represents the financial returning position and other investment factors in general while the non-financial focus on the strategic initiative related to the operating reformulations and compatibility. A diversification approach related to the strategic initiative for every business is generally applied to initiate the risk assessment support that can be defined as a contemporary initiative and compatibility progress for the business strategy (Drury, 2021). </w:t>
      </w:r>
    </w:p>
    <w:p w14:paraId="00000003" w14:textId="77777777" w:rsidR="00216071" w:rsidRDefault="002D60D0">
      <w:r>
        <w:t xml:space="preserve">The application of this report provides general recognition of the financial and some of the non-financial areas of development for Urban Heights Hotel, which is a hospitality business recognised as a bar cum restaurant with room services and located in the Urban Landscape. As per the details in the present position of the business mainly represents a declined approach in the context of revenue, Occupancy rate </w:t>
      </w:r>
      <w:proofErr w:type="gramStart"/>
      <w:r>
        <w:t>and also</w:t>
      </w:r>
      <w:proofErr w:type="gramEnd"/>
      <w:r>
        <w:t xml:space="preserve"> the satisfaction solutions of the customer due to some certain insufficiencies that have been enumerated and analysed in this report. </w:t>
      </w:r>
    </w:p>
    <w:p w14:paraId="00000004" w14:textId="77777777" w:rsidR="00216071" w:rsidRDefault="002D60D0" w:rsidP="004E66BB">
      <w:pPr>
        <w:pStyle w:val="Heading1"/>
      </w:pPr>
      <w:bookmarkStart w:id="1" w:name="_Toc167212354"/>
      <w:r>
        <w:t>Evaluating the trending performances of Finance in this business over the last 3 years</w:t>
      </w:r>
      <w:bookmarkEnd w:id="1"/>
      <w:r>
        <w:t xml:space="preserve"> </w:t>
      </w:r>
    </w:p>
    <w:p w14:paraId="00000005" w14:textId="77777777" w:rsidR="00216071" w:rsidRDefault="002D60D0">
      <w:r>
        <w:t>Accounting policy is generally defined as a form of tool that accumulates relevant information and some of the techniques associated with financial reporting.  the applied involvement of IFRS has been initiated to reformulate the policies in a structural order associated with the accounting transactions so that proper financial statements can be deliberate. The presence of these financial disclosures in the form of reporting is used to represent all the relevant details of the business in a systematic manner that is appreciable to identify the financial health positioning (</w:t>
      </w:r>
      <w:proofErr w:type="spellStart"/>
      <w:r>
        <w:t>Schmidthuber</w:t>
      </w:r>
      <w:proofErr w:type="spellEnd"/>
      <w:r>
        <w:t xml:space="preserve"> </w:t>
      </w:r>
      <w:r>
        <w:rPr>
          <w:i/>
        </w:rPr>
        <w:t>et al.,</w:t>
      </w:r>
      <w:r>
        <w:t xml:space="preserve"> 2022). </w:t>
      </w:r>
    </w:p>
    <w:p w14:paraId="00000006" w14:textId="77777777" w:rsidR="00216071" w:rsidRDefault="002D60D0">
      <w:r>
        <w:t xml:space="preserve">According to Zhang </w:t>
      </w:r>
      <w:r>
        <w:rPr>
          <w:i/>
        </w:rPr>
        <w:t>et al.</w:t>
      </w:r>
      <w:r>
        <w:t xml:space="preserve"> (2024), the applied initiative of benchmarking concept related to business has been initiated for the conducting support of comparative analysis that is optimisable for the recognition of business performance growth. Evaluations related to the comparative analysis for every business provide an opportunity for the reformation of strategic approach </w:t>
      </w:r>
      <w:proofErr w:type="gramStart"/>
      <w:r>
        <w:t>and also</w:t>
      </w:r>
      <w:proofErr w:type="gramEnd"/>
      <w:r>
        <w:t xml:space="preserve"> identify the positions under the competitive edge that are accountable for the business values. With respect to present positioning support and the financial structure related to the business of Urban Heights Hotel, a general comparative analysis has been provided with the support of three different periods 2021, 2022 and 2023. The provided details of the income statement represent the positioning value for the business revenue, expenditure </w:t>
      </w:r>
      <w:proofErr w:type="gramStart"/>
      <w:r>
        <w:t>and also</w:t>
      </w:r>
      <w:proofErr w:type="gramEnd"/>
      <w:r>
        <w:t xml:space="preserve"> the profit initiative of this </w:t>
      </w:r>
      <w:r>
        <w:lastRenderedPageBreak/>
        <w:t xml:space="preserve">business, while the position of the balance sheet indicates the level of liability, assets and capital engagement on a formulated basis. The identification of general intra-comparison for this business represents progressive growth and formulated support for the trending performance evaluation purpose. </w:t>
      </w:r>
    </w:p>
    <w:p w14:paraId="00000007" w14:textId="77777777" w:rsidR="00216071" w:rsidRDefault="002D60D0">
      <w:r>
        <w:rPr>
          <w:b/>
        </w:rPr>
        <w:t xml:space="preserve">Income statement: </w:t>
      </w:r>
      <w:r>
        <w:t>The profit and loss structure related to the business mainly represents the detailed support of business revenue position which is a decline from the previous stage of £2,500,000 to £1,800,000 in 2023. It mainly represents around 38% level of decline revenue position due to decreased market demand structure. Simultaneously the presence of operating expenditure of the business represents and expanded results from £1,800,000 to £2,300,000 in 2023. As per the basic approach, a high volume of Expenditure burden over the decline in revenue positions generally imposed a negative impact which ultimately declined the net profit structure (</w:t>
      </w:r>
      <w:proofErr w:type="spellStart"/>
      <w:r>
        <w:t>Atrill</w:t>
      </w:r>
      <w:proofErr w:type="spellEnd"/>
      <w:r>
        <w:t xml:space="preserve"> and McLaney, 2018). As per the primary engagement after the pandemic, the overall development positions are not supportively impacted in every individual business even the overall expanded approach of inflation level also initiates a certain volume of market negativity. With the inflations, the general price rise positions are imposed in the UK that ultimately declined the market standard values (Broadbent, 2020). Additionally, the current approach to the Russia-Ukraine war is generally expanding the energy cost prices including some of the labour market charges expansions also which ultimately expand the operating cost positions of individual businesses.  this negative approach generally imposes an additional burden on the UK business that ultimately declined the standard of values for individual organisations (Tank and </w:t>
      </w:r>
      <w:proofErr w:type="spellStart"/>
      <w:r>
        <w:t>Ospanova</w:t>
      </w:r>
      <w:proofErr w:type="spellEnd"/>
      <w:r>
        <w:t xml:space="preserve">, 2022). </w:t>
      </w:r>
    </w:p>
    <w:p w14:paraId="00000008" w14:textId="0298786E" w:rsidR="00216071" w:rsidRDefault="002D60D0">
      <w:r>
        <w:rPr>
          <w:b/>
        </w:rPr>
        <w:t>Balance sheet:</w:t>
      </w:r>
      <w:r>
        <w:t xml:space="preserve"> The presence of this type of disclosure or this </w:t>
      </w:r>
      <w:proofErr w:type="gramStart"/>
      <w:r>
        <w:t>particular statement</w:t>
      </w:r>
      <w:proofErr w:type="gramEnd"/>
      <w:r>
        <w:t xml:space="preserve"> has been initiated to elaborate a general recognition of the business's financial health. The primary measurements related to the available position of total Assets and liability structure of the business are formulated in this </w:t>
      </w:r>
      <w:proofErr w:type="gramStart"/>
      <w:r>
        <w:t>particular statement</w:t>
      </w:r>
      <w:proofErr w:type="gramEnd"/>
      <w:r>
        <w:t xml:space="preserve"> which indicates a general declining position related to the total asset structure from the value of £5,450,000 in 2021 to £4,680,000 in 2023 (Weetman, 2019). It can be identified that the primary engagement of the decline revenue approach mainly imposes a negative impact on the business as its positions and as a result is certain volume of declining initiatives related to the total assets can be identified for selling purposes. The formulated positions related to the total liabilities structure of the business on the other side represent a </w:t>
      </w:r>
      <w:proofErr w:type="gramStart"/>
      <w:r>
        <w:t>General</w:t>
      </w:r>
      <w:proofErr w:type="gramEnd"/>
      <w:r>
        <w:t xml:space="preserve"> expansion from the level of £3,250,000 to the general standard position of £3,300,000 in 2023 </w:t>
      </w:r>
      <w:r>
        <w:lastRenderedPageBreak/>
        <w:t xml:space="preserve">Mainly indicates the insufficiency position of the current liability and other borrowing approach mainly </w:t>
      </w:r>
      <w:r w:rsidR="004E66BB">
        <w:t>formulate</w:t>
      </w:r>
      <w:r>
        <w:t xml:space="preserve"> this type of negative impact over the liabilities structure. It means the non-payment approach to the creditor mainly expands the current liability volume while some additional borrowing also imposes negatively through the expansions of non-current liability. The primary engagement related to the positioning level of equity capital of the business also represents a declining standard from the level of £2,200,000 to £1,380,000 in 2023 that mainly initiated a certain level of challenges due to expanded level of market beta of this business </w:t>
      </w:r>
      <w:proofErr w:type="gramStart"/>
      <w:r>
        <w:t>and also</w:t>
      </w:r>
      <w:proofErr w:type="gramEnd"/>
      <w:r>
        <w:t xml:space="preserve"> declined portfolio positioning approach.  </w:t>
      </w:r>
    </w:p>
    <w:p w14:paraId="00000009" w14:textId="77777777" w:rsidR="00216071" w:rsidRDefault="002D60D0" w:rsidP="004E66BB">
      <w:pPr>
        <w:pStyle w:val="Heading1"/>
      </w:pPr>
      <w:bookmarkStart w:id="2" w:name="_Toc167212355"/>
      <w:r>
        <w:t xml:space="preserve">Evaluated reasons regarding the declined profit position of the </w:t>
      </w:r>
      <w:proofErr w:type="gramStart"/>
      <w:r>
        <w:t>business</w:t>
      </w:r>
      <w:bookmarkEnd w:id="2"/>
      <w:proofErr w:type="gramEnd"/>
      <w:r>
        <w:t xml:space="preserve"> </w:t>
      </w:r>
    </w:p>
    <w:p w14:paraId="0000000A" w14:textId="77777777" w:rsidR="00216071" w:rsidRDefault="002D60D0">
      <w:r>
        <w:t xml:space="preserve">As per the basic recognitions while the volume of business revenue resulted in a declined approach compared to the expanded position of business expenditure the volume of business profitability generally declined. Therefore, two reasons can be recognised as the declined revenue position and expanded expenditure approach mainly which ultimately initiate a certain volume of challenging approaches for the business profitability. </w:t>
      </w:r>
    </w:p>
    <w:p w14:paraId="0000000B" w14:textId="3991394A" w:rsidR="00216071" w:rsidRDefault="002D60D0">
      <w:r>
        <w:t xml:space="preserve">As per the basic identifications with the enactment of Brexit, a certain volume of trade initiatives is negatively impacted due to a certain volume of employee shortage associated with immigration issues </w:t>
      </w:r>
      <w:proofErr w:type="gramStart"/>
      <w:r>
        <w:t>and also</w:t>
      </w:r>
      <w:proofErr w:type="gramEnd"/>
      <w:r>
        <w:t xml:space="preserve"> the availability of supply chain positioning mainly. Due to this enactment, the overall supply chain positions in the UK industry have been disrupted initiating a certain challenging approach for the business trade formulation (Bakker</w:t>
      </w:r>
      <w:r>
        <w:rPr>
          <w:i/>
        </w:rPr>
        <w:t xml:space="preserve"> et al., </w:t>
      </w:r>
      <w:r>
        <w:t xml:space="preserve">2022). Along with this the global pandemic related to COVID-19 since the period of last 2019 imposed a certain level of crisis approach that mainly declines the standard of living values for individual nations. With the pandemic, the primary initiative of market standard mainly </w:t>
      </w:r>
      <w:r w:rsidR="004E66BB">
        <w:t>declines</w:t>
      </w:r>
      <w:r>
        <w:t xml:space="preserve"> and the initiative lockdown approach by the government also decline the general standard of demand of the market on a significant order. Due to the reason of this type of initiative probable social development has been initiated however, the overall root of economic standard has been </w:t>
      </w:r>
      <w:r w:rsidR="004E66BB">
        <w:t>vibrated</w:t>
      </w:r>
      <w:r>
        <w:t xml:space="preserve"> (</w:t>
      </w:r>
      <w:proofErr w:type="spellStart"/>
      <w:r>
        <w:t>Ntounis</w:t>
      </w:r>
      <w:proofErr w:type="spellEnd"/>
      <w:r>
        <w:t xml:space="preserve"> </w:t>
      </w:r>
      <w:r>
        <w:rPr>
          <w:i/>
        </w:rPr>
        <w:t xml:space="preserve">et al., </w:t>
      </w:r>
      <w:r>
        <w:t xml:space="preserve">2022). </w:t>
      </w:r>
    </w:p>
    <w:p w14:paraId="0000000C" w14:textId="77777777" w:rsidR="00216071" w:rsidRDefault="002D60D0">
      <w:pPr>
        <w:rPr>
          <w:color w:val="222222"/>
          <w:highlight w:val="white"/>
        </w:rPr>
      </w:pPr>
      <w:r>
        <w:t xml:space="preserve">According to Otte (2023), more than one-third of the UK hospitality business responded that in the presence situation due to the reasons of Russia-Ukrainian War, the overall energy bill charges are rapidly expanded ultimately imposing a negative impact due to the expansions of operating charges in every business. The reason for this war also initiated the consequences of staff crisis, patchy customer demand and soaring interest rates have had knock-on effects on various parts of the industry. The approach of this type of initiative generally expands the preliminary expenditure </w:t>
      </w:r>
      <w:r>
        <w:lastRenderedPageBreak/>
        <w:t>level of the business which ultimately imposes a certain volume of negative approach over the profitability standard of individual business. According to the basic identifications due to some of the basic political influences, the overall corporate tax label in the UK has been revised from the level of 19% to 25% which initiates some of the basic negative impacts over the general profit positioning approach for individual business (</w:t>
      </w:r>
      <w:r>
        <w:rPr>
          <w:color w:val="222222"/>
          <w:highlight w:val="white"/>
        </w:rPr>
        <w:t xml:space="preserve">PWC, 2024). Even the present level of expansions related to the CPIH inflations level are also expanded up to the position of 5.2% growth on a gradual basis ultimately expanding the price rise consequences in the UK industry (ons.gov.uk. 2024). The primary volume of the high levels of inflation is generally imposing a certain volume of crisis related to the supply chain engagement of individual material </w:t>
      </w:r>
      <w:proofErr w:type="gramStart"/>
      <w:r>
        <w:rPr>
          <w:color w:val="222222"/>
          <w:highlight w:val="white"/>
        </w:rPr>
        <w:t>and also</w:t>
      </w:r>
      <w:proofErr w:type="gramEnd"/>
      <w:r>
        <w:rPr>
          <w:color w:val="222222"/>
          <w:highlight w:val="white"/>
        </w:rPr>
        <w:t xml:space="preserve"> the labour market positions mainly that ultimately imposing a certain volume of challenging approach for the service availability and also declining the general standard of profit approach for hospitality business. </w:t>
      </w:r>
    </w:p>
    <w:p w14:paraId="0000000D" w14:textId="721F75AB" w:rsidR="00216071" w:rsidRDefault="002D60D0">
      <w:pPr>
        <w:rPr>
          <w:color w:val="222222"/>
          <w:highlight w:val="white"/>
        </w:rPr>
      </w:pPr>
      <w:r>
        <w:rPr>
          <w:color w:val="222222"/>
          <w:highlight w:val="white"/>
        </w:rPr>
        <w:t xml:space="preserve">Apart from that basic approach, the existence of expansions related to the substitute product in the case of a competitive market environment is also defined as a challenging approach for a declining business profitability position which is also noticed in the case of the hospitality business in the UK. As per basic identifications in the last year, the additional accommodations related to </w:t>
      </w:r>
      <w:r w:rsidR="004E66BB">
        <w:rPr>
          <w:color w:val="222222"/>
          <w:highlight w:val="white"/>
        </w:rPr>
        <w:t>Airbnb</w:t>
      </w:r>
      <w:r>
        <w:rPr>
          <w:color w:val="222222"/>
          <w:highlight w:val="white"/>
        </w:rPr>
        <w:t xml:space="preserve"> are supportively expanded representing around 7 million guest arrivals and community development support in the UK economy (Shabrina </w:t>
      </w:r>
      <w:r>
        <w:rPr>
          <w:i/>
          <w:color w:val="222222"/>
          <w:highlight w:val="white"/>
        </w:rPr>
        <w:t>et al.,</w:t>
      </w:r>
      <w:r>
        <w:rPr>
          <w:color w:val="222222"/>
          <w:highlight w:val="white"/>
        </w:rPr>
        <w:t xml:space="preserve"> 2022). Additionally, the present period of the competitive operating structure and the existence of Premier Inn, Park Manor and Crown Spa Hotel have mainly initiated a certain operating challenge for the Urban company that is unable to manage the business value positioning support. </w:t>
      </w:r>
    </w:p>
    <w:p w14:paraId="0000000E" w14:textId="19D34B51" w:rsidR="00216071" w:rsidRDefault="004E66BB">
      <w:pPr>
        <w:rPr>
          <w:color w:val="222222"/>
          <w:highlight w:val="white"/>
        </w:rPr>
      </w:pPr>
      <w:r>
        <w:rPr>
          <w:color w:val="222222"/>
          <w:highlight w:val="white"/>
        </w:rPr>
        <w:t>Additionally,</w:t>
      </w:r>
      <w:r w:rsidR="002D60D0">
        <w:rPr>
          <w:color w:val="222222"/>
          <w:highlight w:val="white"/>
        </w:rPr>
        <w:t xml:space="preserve"> in the present situation, the enactment and mandatory implementations of the National Minimum Wages Act of 1998 including the additional facilities of pension scheme in the UK formulated as mandatory which ultimately imposes an additional burden on the business towards the employment management. In practice, it is necessary for the development of employee engagement and some development initiative support in the form of employee retention however, it imposes a certain volume of burden on the business's financial development. Under the present situation while the Russia-Ukraine war is mainly imposing a burden on the labour market position this type of mandatory implementation initiates a certain challenging approach (Rubery, 2024).  </w:t>
      </w:r>
    </w:p>
    <w:p w14:paraId="0000000F" w14:textId="77777777" w:rsidR="00216071" w:rsidRDefault="002D60D0" w:rsidP="004E66BB">
      <w:pPr>
        <w:pStyle w:val="Heading1"/>
        <w:rPr>
          <w:highlight w:val="white"/>
        </w:rPr>
      </w:pPr>
      <w:bookmarkStart w:id="3" w:name="_Toc167212356"/>
      <w:r>
        <w:rPr>
          <w:highlight w:val="white"/>
        </w:rPr>
        <w:t xml:space="preserve">Applied turnaround strategy for business </w:t>
      </w:r>
      <w:proofErr w:type="gramStart"/>
      <w:r>
        <w:rPr>
          <w:highlight w:val="white"/>
        </w:rPr>
        <w:t>development</w:t>
      </w:r>
      <w:bookmarkEnd w:id="3"/>
      <w:proofErr w:type="gramEnd"/>
    </w:p>
    <w:p w14:paraId="00000010" w14:textId="1AAE2043" w:rsidR="00216071" w:rsidRDefault="002D60D0">
      <w:r>
        <w:t xml:space="preserve">The primary applicability of this strategic approach is mainly initiated as a recovery initiative which is committed in a business for the reasons of developing the financial positions and also </w:t>
      </w:r>
      <w:r>
        <w:lastRenderedPageBreak/>
        <w:t xml:space="preserve">formulating the operating structure properly along with some of the </w:t>
      </w:r>
      <w:proofErr w:type="gramStart"/>
      <w:r>
        <w:t>basics</w:t>
      </w:r>
      <w:proofErr w:type="gramEnd"/>
      <w:r>
        <w:t xml:space="preserve"> strategic formulation. In relation to the current declining positioning level of the business Urban Heights Hotel, the implementation of this type of strategic approach is generally formulated through the support of pricing development, which is influential for growth and operating accountability support. In the present situation, the engagement of positive employed development through the process of employee retention and training and development programs are sustainable and supportive which can be influenced for the maintenance of cultural development in this business (</w:t>
      </w:r>
      <w:proofErr w:type="spellStart"/>
      <w:r>
        <w:t>Urbancová</w:t>
      </w:r>
      <w:proofErr w:type="spellEnd"/>
      <w:r>
        <w:t xml:space="preserve"> </w:t>
      </w:r>
      <w:r>
        <w:rPr>
          <w:i/>
        </w:rPr>
        <w:t>et al.,</w:t>
      </w:r>
      <w:r>
        <w:t xml:space="preserve"> 2021). In the present period of Technical Advancement, the promotional strategy including the formulation of AI engagement is influential. Considering this approach if the business can formulate the social media involvement for the promotional purpose there for a proper volume of customer retention approach can be initiated. Even if the business is also focused on AI support related to their services including for booking </w:t>
      </w:r>
      <w:r w:rsidR="004E66BB">
        <w:t>facilitations</w:t>
      </w:r>
      <w:r>
        <w:t xml:space="preserve"> purposes </w:t>
      </w:r>
      <w:proofErr w:type="gramStart"/>
      <w:r>
        <w:t>it</w:t>
      </w:r>
      <w:proofErr w:type="gramEnd"/>
      <w:r>
        <w:t xml:space="preserve"> proper volume of customer experience can be enabled. </w:t>
      </w:r>
    </w:p>
    <w:p w14:paraId="00000011" w14:textId="77777777" w:rsidR="00216071" w:rsidRDefault="002D60D0">
      <w:r>
        <w:t xml:space="preserve">Depending on the present competitive market positioning a proper volume of investment support and the development of the traditional marketing initiative also need to be initiated in this business currently so that the general approach of operating growth and marketing development can be managed (Kumar and Mittal, 2020). In the present situation, the green tourism approach is one of the most trending initiatives in the hospitality business through the formulation of which the sustainability commitment including the renewable energy processing is generally initiated (Yousaf </w:t>
      </w:r>
      <w:r>
        <w:rPr>
          <w:i/>
        </w:rPr>
        <w:t xml:space="preserve">et al., </w:t>
      </w:r>
      <w:r>
        <w:t xml:space="preserve">2021). Application of this type of strategic approach over the business will be identified as a supportive commitment towards the CSR </w:t>
      </w:r>
      <w:proofErr w:type="gramStart"/>
      <w:r>
        <w:t>and also</w:t>
      </w:r>
      <w:proofErr w:type="gramEnd"/>
      <w:r>
        <w:t xml:space="preserve"> some of the compatibility growth for the marketing development.  </w:t>
      </w:r>
    </w:p>
    <w:p w14:paraId="00000012" w14:textId="77777777" w:rsidR="00216071" w:rsidRDefault="002D60D0" w:rsidP="004E66BB">
      <w:pPr>
        <w:pStyle w:val="Heading1"/>
      </w:pPr>
      <w:bookmarkStart w:id="4" w:name="_Toc167212357"/>
      <w:r>
        <w:t>Conclusions</w:t>
      </w:r>
      <w:bookmarkEnd w:id="4"/>
      <w:r>
        <w:t xml:space="preserve"> </w:t>
      </w:r>
    </w:p>
    <w:p w14:paraId="00000013" w14:textId="77777777" w:rsidR="00216071" w:rsidRDefault="002D60D0">
      <w:r>
        <w:t xml:space="preserve">A proper benchmarking support including the comparative formulation for every individual business necessary as it approaches defining the compatibility positioning support. The primary identification and positioning support of the business mainly represents a comprehensive structural value for this </w:t>
      </w:r>
      <w:proofErr w:type="gramStart"/>
      <w:r>
        <w:t>particular business</w:t>
      </w:r>
      <w:proofErr w:type="gramEnd"/>
      <w:r>
        <w:t xml:space="preserve"> that indicates some of the basic reformulation and strategic approaches required for the development of the business profitability in the upcoming period. Along with the internal operation, some of the basic external factors including the stakeholder approach are also required to be initiated in this business in a standardised order so that the future values of the business can reformulated for the profitability expansion. </w:t>
      </w:r>
    </w:p>
    <w:p w14:paraId="00000014" w14:textId="4A06CC17" w:rsidR="00216071" w:rsidRDefault="004E66BB" w:rsidP="004E66BB">
      <w:pPr>
        <w:pStyle w:val="Heading1"/>
        <w:rPr>
          <w:highlight w:val="white"/>
        </w:rPr>
      </w:pPr>
      <w:bookmarkStart w:id="5" w:name="_Toc167212358"/>
      <w:r>
        <w:rPr>
          <w:highlight w:val="white"/>
        </w:rPr>
        <w:lastRenderedPageBreak/>
        <w:t>References</w:t>
      </w:r>
      <w:bookmarkEnd w:id="5"/>
      <w:r>
        <w:rPr>
          <w:highlight w:val="white"/>
        </w:rPr>
        <w:t xml:space="preserve"> </w:t>
      </w:r>
    </w:p>
    <w:p w14:paraId="26F9D681" w14:textId="77777777" w:rsidR="004E66BB" w:rsidRDefault="004E66BB" w:rsidP="004E66BB">
      <w:pPr>
        <w:rPr>
          <w:color w:val="000000" w:themeColor="text1"/>
        </w:rPr>
      </w:pPr>
      <w:proofErr w:type="spellStart"/>
      <w:r w:rsidRPr="005B39AD">
        <w:rPr>
          <w:color w:val="000000" w:themeColor="text1"/>
        </w:rPr>
        <w:t>Atrill</w:t>
      </w:r>
      <w:proofErr w:type="spellEnd"/>
      <w:r w:rsidRPr="005B39AD">
        <w:rPr>
          <w:color w:val="000000" w:themeColor="text1"/>
        </w:rPr>
        <w:t xml:space="preserve">, P. and McLaney, E. 2018. Accounting and Finance for Non-Specialists. 11th Ed. Harlow: Pearson </w:t>
      </w:r>
    </w:p>
    <w:p w14:paraId="59A6D6E6" w14:textId="77777777" w:rsidR="004E66BB" w:rsidRDefault="004E66BB" w:rsidP="004E66BB">
      <w:pPr>
        <w:rPr>
          <w:color w:val="000000" w:themeColor="text1"/>
        </w:rPr>
      </w:pPr>
      <w:r w:rsidRPr="004B017F">
        <w:rPr>
          <w:color w:val="000000" w:themeColor="text1"/>
        </w:rPr>
        <w:t>Bakker, J.D., Datta, N., De Lyon, J., Opitz, L. and Yang, D., 2022. </w:t>
      </w:r>
      <w:r w:rsidRPr="004B017F">
        <w:rPr>
          <w:i/>
          <w:iCs/>
          <w:color w:val="000000" w:themeColor="text1"/>
        </w:rPr>
        <w:t>Post-Brexit imports, supply chains, and the effect on consumer prices</w:t>
      </w:r>
      <w:r w:rsidRPr="004B017F">
        <w:rPr>
          <w:color w:val="000000" w:themeColor="text1"/>
        </w:rPr>
        <w:t>. UK in a Changing Europe.</w:t>
      </w:r>
    </w:p>
    <w:p w14:paraId="708F0CB2" w14:textId="77777777" w:rsidR="004E66BB" w:rsidRDefault="004E66BB" w:rsidP="004E66BB">
      <w:r w:rsidRPr="0088427C">
        <w:t>Broadbent, B., 2020. Inflation and beliefs about inflation. </w:t>
      </w:r>
      <w:r w:rsidRPr="0088427C">
        <w:rPr>
          <w:i/>
          <w:iCs/>
        </w:rPr>
        <w:t>Speech given at the London Business School</w:t>
      </w:r>
      <w:r w:rsidRPr="0088427C">
        <w:t>, </w:t>
      </w:r>
      <w:r w:rsidRPr="0088427C">
        <w:rPr>
          <w:i/>
          <w:iCs/>
        </w:rPr>
        <w:t>4</w:t>
      </w:r>
      <w:r w:rsidRPr="0088427C">
        <w:t>.</w:t>
      </w:r>
    </w:p>
    <w:p w14:paraId="3AE6EC05" w14:textId="77777777" w:rsidR="004E66BB" w:rsidRDefault="004E66BB" w:rsidP="004E66BB">
      <w:pPr>
        <w:pStyle w:val="NoSpacing"/>
        <w:spacing w:line="360" w:lineRule="auto"/>
      </w:pPr>
      <w:r w:rsidRPr="005861CE">
        <w:t>Dou, G., Lin, X., Chi, R. and Zheng, Z., 2020. Pricing strategy of a two-sided platform under consumer categorization. </w:t>
      </w:r>
      <w:r w:rsidRPr="005861CE">
        <w:rPr>
          <w:i/>
          <w:iCs/>
        </w:rPr>
        <w:t>Journal of Electronic Commerce Research</w:t>
      </w:r>
      <w:r w:rsidRPr="005861CE">
        <w:t>, </w:t>
      </w:r>
      <w:r w:rsidRPr="005861CE">
        <w:rPr>
          <w:i/>
          <w:iCs/>
        </w:rPr>
        <w:t>21</w:t>
      </w:r>
      <w:r w:rsidRPr="005861CE">
        <w:t>(2), pp.130-143.</w:t>
      </w:r>
    </w:p>
    <w:p w14:paraId="47F95043" w14:textId="77777777" w:rsidR="004E66BB" w:rsidRDefault="004E66BB" w:rsidP="004E66BB">
      <w:pPr>
        <w:pStyle w:val="NoSpacing"/>
        <w:spacing w:line="360" w:lineRule="auto"/>
      </w:pPr>
      <w:r w:rsidRPr="00695DAA">
        <w:t xml:space="preserve">Kumar, V. and Mittal, S., 2020. Mobile marketing campaigns: practices, </w:t>
      </w:r>
      <w:proofErr w:type="gramStart"/>
      <w:r w:rsidRPr="00695DAA">
        <w:t>challenges</w:t>
      </w:r>
      <w:proofErr w:type="gramEnd"/>
      <w:r w:rsidRPr="00695DAA">
        <w:t xml:space="preserve"> and opportunities. </w:t>
      </w:r>
      <w:r w:rsidRPr="00695DAA">
        <w:rPr>
          <w:i/>
          <w:iCs/>
        </w:rPr>
        <w:t>International Journal of Business Innovation and Research</w:t>
      </w:r>
      <w:r w:rsidRPr="00695DAA">
        <w:t>, </w:t>
      </w:r>
      <w:r w:rsidRPr="00695DAA">
        <w:rPr>
          <w:i/>
          <w:iCs/>
        </w:rPr>
        <w:t>21</w:t>
      </w:r>
      <w:r w:rsidRPr="00695DAA">
        <w:t>(4), pp.523-539.</w:t>
      </w:r>
    </w:p>
    <w:p w14:paraId="4288E904" w14:textId="77777777" w:rsidR="004E66BB" w:rsidRDefault="004E66BB" w:rsidP="004E66BB">
      <w:pPr>
        <w:rPr>
          <w:color w:val="000000" w:themeColor="text1"/>
        </w:rPr>
      </w:pPr>
      <w:proofErr w:type="spellStart"/>
      <w:r w:rsidRPr="007B7391">
        <w:rPr>
          <w:color w:val="000000" w:themeColor="text1"/>
        </w:rPr>
        <w:t>Ntounis</w:t>
      </w:r>
      <w:proofErr w:type="spellEnd"/>
      <w:r w:rsidRPr="007B7391">
        <w:rPr>
          <w:color w:val="000000" w:themeColor="text1"/>
        </w:rPr>
        <w:t xml:space="preserve">, N., Parker, C., Skinner, H., Steadman, C. and </w:t>
      </w:r>
      <w:proofErr w:type="spellStart"/>
      <w:r w:rsidRPr="007B7391">
        <w:rPr>
          <w:color w:val="000000" w:themeColor="text1"/>
        </w:rPr>
        <w:t>Warnaby</w:t>
      </w:r>
      <w:proofErr w:type="spellEnd"/>
      <w:r w:rsidRPr="007B7391">
        <w:rPr>
          <w:color w:val="000000" w:themeColor="text1"/>
        </w:rPr>
        <w:t>, G., 2022. Tourism and Hospitality industry resilience during the Covid-19 pandemic: Evidence from England. </w:t>
      </w:r>
      <w:r w:rsidRPr="007B7391">
        <w:rPr>
          <w:i/>
          <w:iCs/>
          <w:color w:val="000000" w:themeColor="text1"/>
        </w:rPr>
        <w:t>Current Issues in Tourism</w:t>
      </w:r>
      <w:r w:rsidRPr="007B7391">
        <w:rPr>
          <w:color w:val="000000" w:themeColor="text1"/>
        </w:rPr>
        <w:t>, </w:t>
      </w:r>
      <w:r w:rsidRPr="007B7391">
        <w:rPr>
          <w:i/>
          <w:iCs/>
          <w:color w:val="000000" w:themeColor="text1"/>
        </w:rPr>
        <w:t>25</w:t>
      </w:r>
      <w:r w:rsidRPr="007B7391">
        <w:rPr>
          <w:color w:val="000000" w:themeColor="text1"/>
        </w:rPr>
        <w:t>(1), pp.46-59.</w:t>
      </w:r>
    </w:p>
    <w:p w14:paraId="19600DA8" w14:textId="77777777" w:rsidR="004E66BB" w:rsidRPr="001D11BD" w:rsidRDefault="004E66BB" w:rsidP="004E66BB">
      <w:pPr>
        <w:pStyle w:val="NoSpacing"/>
        <w:spacing w:line="360" w:lineRule="auto"/>
        <w:rPr>
          <w:color w:val="222222"/>
          <w:highlight w:val="white"/>
        </w:rPr>
      </w:pPr>
      <w:r w:rsidRPr="001D11BD">
        <w:rPr>
          <w:color w:val="222222"/>
          <w:highlight w:val="white"/>
        </w:rPr>
        <w:t xml:space="preserve">ons.gov.uk. 2024. </w:t>
      </w:r>
      <w:r w:rsidRPr="001D11BD">
        <w:rPr>
          <w:i/>
          <w:color w:val="222222"/>
          <w:highlight w:val="white"/>
        </w:rPr>
        <w:t>Consumer price inflation, UK - Office for National Statistics</w:t>
      </w:r>
      <w:r w:rsidRPr="001D11BD">
        <w:rPr>
          <w:color w:val="222222"/>
          <w:highlight w:val="white"/>
        </w:rPr>
        <w:t xml:space="preserve">. [Online] Available at: &lt;https://www.ons.gov.uk/economy/inflationandpriceindices/bulletins/consumerpriceinflation/december2023#:~:text=The%20core%20CPIH%20annual%20inflation.&gt; [Accessed </w:t>
      </w:r>
      <w:r>
        <w:rPr>
          <w:color w:val="222222"/>
          <w:highlight w:val="white"/>
        </w:rPr>
        <w:t>21 May</w:t>
      </w:r>
      <w:r w:rsidRPr="001D11BD">
        <w:rPr>
          <w:color w:val="222222"/>
          <w:highlight w:val="white"/>
        </w:rPr>
        <w:t xml:space="preserve"> 2024].</w:t>
      </w:r>
    </w:p>
    <w:p w14:paraId="14F89949" w14:textId="77777777" w:rsidR="004E66BB" w:rsidRDefault="004E66BB" w:rsidP="004E66BB">
      <w:pPr>
        <w:pStyle w:val="NoSpacing"/>
        <w:spacing w:line="360" w:lineRule="auto"/>
        <w:rPr>
          <w:lang w:val="en-IN"/>
        </w:rPr>
      </w:pPr>
      <w:r w:rsidRPr="005340E0">
        <w:rPr>
          <w:lang w:val="en-IN"/>
        </w:rPr>
        <w:t xml:space="preserve">Otte, J. (2023). ‘An </w:t>
      </w:r>
      <w:proofErr w:type="spellStart"/>
      <w:r w:rsidRPr="005340E0">
        <w:rPr>
          <w:lang w:val="en-IN"/>
        </w:rPr>
        <w:t>all time</w:t>
      </w:r>
      <w:proofErr w:type="spellEnd"/>
      <w:r w:rsidRPr="005340E0">
        <w:rPr>
          <w:lang w:val="en-IN"/>
        </w:rPr>
        <w:t xml:space="preserve"> low’: UK hospitality bosses say industry is fighting for survival. </w:t>
      </w:r>
      <w:r w:rsidRPr="005340E0">
        <w:rPr>
          <w:i/>
          <w:iCs/>
          <w:lang w:val="en-IN"/>
        </w:rPr>
        <w:t>The Guardian</w:t>
      </w:r>
      <w:r w:rsidRPr="005340E0">
        <w:rPr>
          <w:lang w:val="en-IN"/>
        </w:rPr>
        <w:t>. [online] 21 Jul. Available at: https://www.theguardian.com/business/2023/jul/21/an-all-time-low-uk-hospitality-bosses-say-industry-is-fighting-for-survival [Accessed 30 Apr. 2024].</w:t>
      </w:r>
    </w:p>
    <w:p w14:paraId="201D424A" w14:textId="77777777" w:rsidR="004E66BB" w:rsidRPr="001D11BD" w:rsidRDefault="004E66BB" w:rsidP="004E66BB">
      <w:pPr>
        <w:pStyle w:val="NoSpacing"/>
        <w:spacing w:line="360" w:lineRule="auto"/>
        <w:rPr>
          <w:color w:val="222222"/>
          <w:highlight w:val="white"/>
        </w:rPr>
      </w:pPr>
      <w:r w:rsidRPr="001D11BD">
        <w:rPr>
          <w:color w:val="222222"/>
          <w:highlight w:val="white"/>
        </w:rPr>
        <w:t xml:space="preserve">PWC, 2024. </w:t>
      </w:r>
      <w:r w:rsidRPr="001D11BD">
        <w:rPr>
          <w:i/>
          <w:color w:val="222222"/>
          <w:highlight w:val="white"/>
        </w:rPr>
        <w:t>United Kingdom - Corporate - Taxes on corporate income</w:t>
      </w:r>
      <w:r w:rsidRPr="001D11BD">
        <w:rPr>
          <w:color w:val="222222"/>
          <w:highlight w:val="white"/>
        </w:rPr>
        <w:t xml:space="preserve">. [Online]. Available at: &lt;https://taxsummaries.pwc.com/united-kingdom/corporate/taxes-on-corporate-income.&gt; [Accessed </w:t>
      </w:r>
      <w:r>
        <w:rPr>
          <w:color w:val="222222"/>
          <w:highlight w:val="white"/>
        </w:rPr>
        <w:t>21 May</w:t>
      </w:r>
      <w:r w:rsidRPr="001D11BD">
        <w:rPr>
          <w:color w:val="222222"/>
          <w:highlight w:val="white"/>
        </w:rPr>
        <w:t>. 2024].</w:t>
      </w:r>
    </w:p>
    <w:p w14:paraId="1D84D046" w14:textId="77777777" w:rsidR="004E66BB" w:rsidRPr="001D11BD" w:rsidRDefault="004E66BB" w:rsidP="004E66BB">
      <w:pPr>
        <w:pStyle w:val="NoSpacing"/>
        <w:spacing w:line="360" w:lineRule="auto"/>
        <w:rPr>
          <w:color w:val="222222"/>
          <w:highlight w:val="white"/>
        </w:rPr>
      </w:pPr>
      <w:r w:rsidRPr="001D11BD">
        <w:rPr>
          <w:color w:val="222222"/>
          <w:highlight w:val="white"/>
        </w:rPr>
        <w:t xml:space="preserve">Rubery, J., 2024. Labour Markets. In </w:t>
      </w:r>
      <w:r w:rsidRPr="001D11BD">
        <w:rPr>
          <w:i/>
          <w:color w:val="222222"/>
          <w:highlight w:val="white"/>
        </w:rPr>
        <w:t>The Value of Industrial Relations</w:t>
      </w:r>
      <w:r w:rsidRPr="001D11BD">
        <w:rPr>
          <w:color w:val="222222"/>
          <w:highlight w:val="white"/>
        </w:rPr>
        <w:t xml:space="preserve"> (pp. 89-102). Bristol University Press.</w:t>
      </w:r>
    </w:p>
    <w:p w14:paraId="0B36DA89" w14:textId="77777777" w:rsidR="004E66BB" w:rsidRDefault="004E66BB" w:rsidP="004E66BB">
      <w:proofErr w:type="spellStart"/>
      <w:r w:rsidRPr="00850B2B">
        <w:t>Schmidthuber</w:t>
      </w:r>
      <w:proofErr w:type="spellEnd"/>
      <w:r w:rsidRPr="00850B2B">
        <w:t>, L., Hilgers, D. and Hofmann, S., 2022. International Public Sector Accounting Standards (IPSASs): A systematic literature review and future research agenda. </w:t>
      </w:r>
      <w:r w:rsidRPr="00850B2B">
        <w:rPr>
          <w:i/>
          <w:iCs/>
        </w:rPr>
        <w:t>Financial Accountability &amp; Management</w:t>
      </w:r>
      <w:r w:rsidRPr="00850B2B">
        <w:t>, </w:t>
      </w:r>
      <w:r w:rsidRPr="00850B2B">
        <w:rPr>
          <w:i/>
          <w:iCs/>
        </w:rPr>
        <w:t>38</w:t>
      </w:r>
      <w:r w:rsidRPr="00850B2B">
        <w:t>(1), pp.119-142.</w:t>
      </w:r>
    </w:p>
    <w:p w14:paraId="526A69B9" w14:textId="77777777" w:rsidR="004E66BB" w:rsidRPr="001D11BD" w:rsidRDefault="004E66BB" w:rsidP="004E66BB">
      <w:pPr>
        <w:pStyle w:val="NoSpacing"/>
        <w:spacing w:line="360" w:lineRule="auto"/>
        <w:rPr>
          <w:color w:val="222222"/>
          <w:highlight w:val="white"/>
        </w:rPr>
      </w:pPr>
      <w:r w:rsidRPr="001D11BD">
        <w:rPr>
          <w:color w:val="222222"/>
          <w:highlight w:val="white"/>
        </w:rPr>
        <w:t xml:space="preserve">‌Shabrina, Z., Arcaute, E. and Batty, M., 2022. Airbnb and its potential impact on the London housing market. </w:t>
      </w:r>
      <w:r w:rsidRPr="001D11BD">
        <w:rPr>
          <w:i/>
          <w:color w:val="222222"/>
          <w:highlight w:val="white"/>
        </w:rPr>
        <w:t>Urban Studies</w:t>
      </w:r>
      <w:r w:rsidRPr="001D11BD">
        <w:rPr>
          <w:color w:val="222222"/>
          <w:highlight w:val="white"/>
        </w:rPr>
        <w:t xml:space="preserve">, </w:t>
      </w:r>
      <w:r w:rsidRPr="001D11BD">
        <w:rPr>
          <w:i/>
          <w:color w:val="222222"/>
          <w:highlight w:val="white"/>
        </w:rPr>
        <w:t>59</w:t>
      </w:r>
      <w:r w:rsidRPr="001D11BD">
        <w:rPr>
          <w:color w:val="222222"/>
          <w:highlight w:val="white"/>
        </w:rPr>
        <w:t>(1), pp.197-221.</w:t>
      </w:r>
    </w:p>
    <w:p w14:paraId="5766C1A3" w14:textId="77777777" w:rsidR="004E66BB" w:rsidRPr="005340E0" w:rsidRDefault="004E66BB" w:rsidP="004E66BB">
      <w:pPr>
        <w:pStyle w:val="NoSpacing"/>
        <w:spacing w:line="360" w:lineRule="auto"/>
        <w:rPr>
          <w:lang w:val="en-IN"/>
        </w:rPr>
      </w:pPr>
      <w:r w:rsidRPr="00695DAA">
        <w:lastRenderedPageBreak/>
        <w:t xml:space="preserve">Singh, N., Sharma, L.S. and </w:t>
      </w:r>
      <w:proofErr w:type="spellStart"/>
      <w:r w:rsidRPr="00695DAA">
        <w:t>Aier</w:t>
      </w:r>
      <w:proofErr w:type="spellEnd"/>
      <w:r w:rsidRPr="00695DAA">
        <w:t>, B., 2022. Russia-Ukraine Conflict: Insights on Implications of War for Businesses.</w:t>
      </w:r>
    </w:p>
    <w:p w14:paraId="1C1F657B" w14:textId="77777777" w:rsidR="004E66BB" w:rsidRDefault="004E66BB" w:rsidP="004E66BB">
      <w:r w:rsidRPr="0088427C">
        <w:t xml:space="preserve">Tank, A. and </w:t>
      </w:r>
      <w:proofErr w:type="spellStart"/>
      <w:r w:rsidRPr="0088427C">
        <w:t>Ospanova</w:t>
      </w:r>
      <w:proofErr w:type="spellEnd"/>
      <w:r w:rsidRPr="0088427C">
        <w:t>, A., 2022. Economic impact of Russia–Ukraine war. </w:t>
      </w:r>
      <w:r w:rsidRPr="0088427C">
        <w:rPr>
          <w:i/>
          <w:iCs/>
        </w:rPr>
        <w:t>International Journal of Innovative Research in Science Engineering and Technology</w:t>
      </w:r>
      <w:r w:rsidRPr="0088427C">
        <w:t>, </w:t>
      </w:r>
      <w:r w:rsidRPr="0088427C">
        <w:rPr>
          <w:i/>
          <w:iCs/>
        </w:rPr>
        <w:t>11</w:t>
      </w:r>
      <w:r w:rsidRPr="0088427C">
        <w:t>(4).</w:t>
      </w:r>
    </w:p>
    <w:p w14:paraId="7B84DC4C" w14:textId="77777777" w:rsidR="004E66BB" w:rsidRDefault="004E66BB" w:rsidP="004E66BB">
      <w:pPr>
        <w:pStyle w:val="NoSpacing"/>
        <w:spacing w:line="360" w:lineRule="auto"/>
      </w:pPr>
      <w:proofErr w:type="spellStart"/>
      <w:r w:rsidRPr="005861CE">
        <w:t>Urbancová</w:t>
      </w:r>
      <w:proofErr w:type="spellEnd"/>
      <w:r w:rsidRPr="005861CE">
        <w:t xml:space="preserve">, H., </w:t>
      </w:r>
      <w:proofErr w:type="spellStart"/>
      <w:r w:rsidRPr="005861CE">
        <w:t>Vrabcová</w:t>
      </w:r>
      <w:proofErr w:type="spellEnd"/>
      <w:r w:rsidRPr="005861CE">
        <w:t xml:space="preserve">, P., </w:t>
      </w:r>
      <w:proofErr w:type="spellStart"/>
      <w:r w:rsidRPr="005861CE">
        <w:t>Hudáková</w:t>
      </w:r>
      <w:proofErr w:type="spellEnd"/>
      <w:r w:rsidRPr="005861CE">
        <w:t>, M. and Petrů, G.J., 2021. Effective training evaluation: The role of factors influencing the evaluation of effectiveness of employee training and development. </w:t>
      </w:r>
      <w:r w:rsidRPr="005861CE">
        <w:rPr>
          <w:i/>
          <w:iCs/>
        </w:rPr>
        <w:t>Sustainability</w:t>
      </w:r>
      <w:r w:rsidRPr="005861CE">
        <w:t>, </w:t>
      </w:r>
      <w:r w:rsidRPr="005861CE">
        <w:rPr>
          <w:i/>
          <w:iCs/>
        </w:rPr>
        <w:t>13</w:t>
      </w:r>
      <w:r w:rsidRPr="005861CE">
        <w:t>(5), p.2721.</w:t>
      </w:r>
    </w:p>
    <w:p w14:paraId="33044DCA" w14:textId="77777777" w:rsidR="004E66BB" w:rsidRDefault="004E66BB" w:rsidP="004E66BB">
      <w:pPr>
        <w:rPr>
          <w:color w:val="000000" w:themeColor="text1"/>
        </w:rPr>
      </w:pPr>
      <w:r w:rsidRPr="005B39AD">
        <w:rPr>
          <w:color w:val="000000" w:themeColor="text1"/>
        </w:rPr>
        <w:t xml:space="preserve">Weetman, P. 2019. Financial and Management Accounting: An </w:t>
      </w:r>
      <w:proofErr w:type="spellStart"/>
      <w:r w:rsidRPr="005B39AD">
        <w:rPr>
          <w:color w:val="000000" w:themeColor="text1"/>
        </w:rPr>
        <w:t>Introduction.Harlow</w:t>
      </w:r>
      <w:proofErr w:type="spellEnd"/>
      <w:r w:rsidRPr="005B39AD">
        <w:rPr>
          <w:color w:val="000000" w:themeColor="text1"/>
        </w:rPr>
        <w:t>: Pearson</w:t>
      </w:r>
    </w:p>
    <w:p w14:paraId="472913BA" w14:textId="77777777" w:rsidR="004E66BB" w:rsidRDefault="004E66BB" w:rsidP="004E66BB">
      <w:pPr>
        <w:pStyle w:val="NoSpacing"/>
        <w:spacing w:line="360" w:lineRule="auto"/>
      </w:pPr>
      <w:r w:rsidRPr="00695DAA">
        <w:t>Yousaf, Z., Radulescu, M., Sinisi, C.I., Serbanescu, L. and Paunescu, L.M., 2021. Harmonization of green motives and green business strategies towards sustainable development of hospitality and tourism industry: Green environmental policies. </w:t>
      </w:r>
      <w:r w:rsidRPr="00695DAA">
        <w:rPr>
          <w:i/>
          <w:iCs/>
        </w:rPr>
        <w:t>Sustainability</w:t>
      </w:r>
      <w:r w:rsidRPr="00695DAA">
        <w:t>, </w:t>
      </w:r>
      <w:r w:rsidRPr="00695DAA">
        <w:rPr>
          <w:i/>
          <w:iCs/>
        </w:rPr>
        <w:t>13</w:t>
      </w:r>
      <w:r w:rsidRPr="00695DAA">
        <w:t>(12), p.6592.</w:t>
      </w:r>
    </w:p>
    <w:p w14:paraId="0DE69C24" w14:textId="77777777" w:rsidR="004E66BB" w:rsidRDefault="004E66BB" w:rsidP="004E66BB">
      <w:r w:rsidRPr="00850B2B">
        <w:t>Zhang, J., Wang, C., Li, X., Tian, G., Xue, Z., Liu, Y., Pang, G. and Tao, D., 2024. Learning Feature Inversion for Multi-class Anomaly Detection under General-purpose COCO-AD Benchmark. </w:t>
      </w:r>
      <w:proofErr w:type="spellStart"/>
      <w:r w:rsidRPr="00850B2B">
        <w:rPr>
          <w:i/>
          <w:iCs/>
        </w:rPr>
        <w:t>arXiv</w:t>
      </w:r>
      <w:proofErr w:type="spellEnd"/>
      <w:r w:rsidRPr="00850B2B">
        <w:rPr>
          <w:i/>
          <w:iCs/>
        </w:rPr>
        <w:t xml:space="preserve"> preprint arXiv:2404.10760</w:t>
      </w:r>
      <w:r w:rsidRPr="00850B2B">
        <w:t>.</w:t>
      </w:r>
    </w:p>
    <w:p w14:paraId="50019D74" w14:textId="77777777" w:rsidR="004E66BB" w:rsidRPr="00850B2B" w:rsidRDefault="004E66BB" w:rsidP="004E66BB"/>
    <w:p w14:paraId="6BC34D6F" w14:textId="77777777" w:rsidR="004E66BB" w:rsidRDefault="004E66BB" w:rsidP="004E66BB">
      <w:pPr>
        <w:pStyle w:val="NoSpacing"/>
        <w:spacing w:line="360" w:lineRule="auto"/>
      </w:pPr>
    </w:p>
    <w:p w14:paraId="01D077A2" w14:textId="77777777" w:rsidR="004E66BB" w:rsidRDefault="004E66BB">
      <w:pPr>
        <w:rPr>
          <w:b/>
          <w:color w:val="222222"/>
          <w:highlight w:val="white"/>
        </w:rPr>
      </w:pPr>
    </w:p>
    <w:p w14:paraId="00000015" w14:textId="77777777" w:rsidR="00216071" w:rsidRDefault="00216071"/>
    <w:sectPr w:rsidR="00216071">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850419" w14:textId="77777777" w:rsidR="00A73F1D" w:rsidRDefault="00A73F1D">
      <w:pPr>
        <w:spacing w:line="240" w:lineRule="auto"/>
      </w:pPr>
      <w:r>
        <w:separator/>
      </w:r>
    </w:p>
  </w:endnote>
  <w:endnote w:type="continuationSeparator" w:id="0">
    <w:p w14:paraId="3017C355" w14:textId="77777777" w:rsidR="00A73F1D" w:rsidRDefault="00A73F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47434581"/>
      <w:docPartObj>
        <w:docPartGallery w:val="Page Numbers (Bottom of Page)"/>
        <w:docPartUnique/>
      </w:docPartObj>
    </w:sdtPr>
    <w:sdtEndPr>
      <w:rPr>
        <w:noProof/>
      </w:rPr>
    </w:sdtEndPr>
    <w:sdtContent>
      <w:p w14:paraId="4968F084" w14:textId="3E9C2157" w:rsidR="004E66BB" w:rsidRDefault="004E66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F9572C" w14:textId="77777777" w:rsidR="004E66BB" w:rsidRDefault="004E6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E9FE87" w14:textId="77777777" w:rsidR="00A73F1D" w:rsidRDefault="00A73F1D">
      <w:pPr>
        <w:spacing w:line="240" w:lineRule="auto"/>
      </w:pPr>
      <w:r>
        <w:separator/>
      </w:r>
    </w:p>
  </w:footnote>
  <w:footnote w:type="continuationSeparator" w:id="0">
    <w:p w14:paraId="2D705216" w14:textId="77777777" w:rsidR="00A73F1D" w:rsidRDefault="00A73F1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071"/>
    <w:rsid w:val="00216071"/>
    <w:rsid w:val="0022687C"/>
    <w:rsid w:val="002D60D0"/>
    <w:rsid w:val="004E66BB"/>
    <w:rsid w:val="009F11AD"/>
    <w:rsid w:val="00A73F1D"/>
    <w:rsid w:val="00C549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86EFA"/>
  <w15:docId w15:val="{ECD2CBFA-50F1-4814-806F-0A48B1B9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4E66BB"/>
    <w:pPr>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NoSpacing">
    <w:name w:val="No Spacing"/>
    <w:uiPriority w:val="1"/>
    <w:qFormat/>
    <w:rsid w:val="004E66BB"/>
    <w:pPr>
      <w:spacing w:line="240" w:lineRule="auto"/>
    </w:pPr>
    <w:rPr>
      <w:lang w:val="en-GB"/>
    </w:rPr>
  </w:style>
  <w:style w:type="paragraph" w:styleId="TOCHeading">
    <w:name w:val="TOC Heading"/>
    <w:basedOn w:val="Heading1"/>
    <w:next w:val="Normal"/>
    <w:uiPriority w:val="39"/>
    <w:unhideWhenUsed/>
    <w:qFormat/>
    <w:rsid w:val="004E66BB"/>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E66BB"/>
    <w:pPr>
      <w:spacing w:after="100"/>
    </w:pPr>
  </w:style>
  <w:style w:type="character" w:styleId="Hyperlink">
    <w:name w:val="Hyperlink"/>
    <w:basedOn w:val="DefaultParagraphFont"/>
    <w:uiPriority w:val="99"/>
    <w:unhideWhenUsed/>
    <w:rsid w:val="004E66BB"/>
    <w:rPr>
      <w:color w:val="0000FF" w:themeColor="hyperlink"/>
      <w:u w:val="single"/>
    </w:rPr>
  </w:style>
  <w:style w:type="paragraph" w:styleId="Header">
    <w:name w:val="header"/>
    <w:basedOn w:val="Normal"/>
    <w:link w:val="HeaderChar"/>
    <w:uiPriority w:val="99"/>
    <w:unhideWhenUsed/>
    <w:rsid w:val="004E66BB"/>
    <w:pPr>
      <w:tabs>
        <w:tab w:val="center" w:pos="4513"/>
        <w:tab w:val="right" w:pos="9026"/>
      </w:tabs>
      <w:spacing w:line="240" w:lineRule="auto"/>
    </w:pPr>
  </w:style>
  <w:style w:type="character" w:customStyle="1" w:styleId="HeaderChar">
    <w:name w:val="Header Char"/>
    <w:basedOn w:val="DefaultParagraphFont"/>
    <w:link w:val="Header"/>
    <w:uiPriority w:val="99"/>
    <w:rsid w:val="004E66BB"/>
    <w:rPr>
      <w:lang w:val="en-GB"/>
    </w:rPr>
  </w:style>
  <w:style w:type="paragraph" w:styleId="Footer">
    <w:name w:val="footer"/>
    <w:basedOn w:val="Normal"/>
    <w:link w:val="FooterChar"/>
    <w:uiPriority w:val="99"/>
    <w:unhideWhenUsed/>
    <w:rsid w:val="004E66BB"/>
    <w:pPr>
      <w:tabs>
        <w:tab w:val="center" w:pos="4513"/>
        <w:tab w:val="right" w:pos="9026"/>
      </w:tabs>
      <w:spacing w:line="240" w:lineRule="auto"/>
    </w:pPr>
  </w:style>
  <w:style w:type="character" w:customStyle="1" w:styleId="FooterChar">
    <w:name w:val="Footer Char"/>
    <w:basedOn w:val="DefaultParagraphFont"/>
    <w:link w:val="Footer"/>
    <w:uiPriority w:val="99"/>
    <w:rsid w:val="004E66B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A523B-F46F-4830-AEA9-86E492BD8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2713</Words>
  <Characters>15469</Characters>
  <DocSecurity>0</DocSecurity>
  <Lines>128</Lines>
  <Paragraphs>36</Paragraphs>
  <ScaleCrop>false</ScaleCrop>
  <Company/>
  <LinksUpToDate>false</LinksUpToDate>
  <CharactersWithSpaces>18146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2024-05-21T13:59:00Z</dcterms:created>
  <dcterms:modified xsi:type="dcterms:W3CDTF">2024-05-30T09:01:00Z</dcterms:modified>
</cp:coreProperties>
</file>