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9"/>
        <w:numPr>
          <w:ilvl w:val="0"/>
          <w:numId w:val="0"/>
        </w:numPr>
        <w:bidi w:val="0"/>
        <w:rPr>
          <w:rFonts w:hint="default"/>
          <w:lang w:val="en-US"/>
        </w:rPr>
      </w:pPr>
      <w:bookmarkStart w:id="16" w:name="_GoBack"/>
      <w:bookmarkEnd w:id="16"/>
    </w:p>
    <w:p/>
    <w:p>
      <w:pPr>
        <w:ind w:firstLine="1080" w:firstLineChars="450"/>
        <w:rPr>
          <w:rFonts w:hint="default"/>
          <w:lang w:val="en-US"/>
        </w:rPr>
      </w:pPr>
      <w:r>
        <w:rPr>
          <w:rFonts w:hint="default"/>
          <w:lang w:val="en-US"/>
        </w:rPr>
        <w:t>BA (Hons) Leadership and Management Skills for the Workplace Level 6</w:t>
      </w:r>
    </w:p>
    <w:p>
      <w:pPr>
        <w:ind w:firstLine="1080" w:firstLineChars="450"/>
        <w:rPr>
          <w:rFonts w:hint="default"/>
          <w:lang w:val="en-US"/>
        </w:rPr>
      </w:pPr>
    </w:p>
    <w:p>
      <w:pPr>
        <w:ind w:firstLine="1080" w:firstLineChars="450"/>
        <w:rPr>
          <w:rFonts w:hint="default"/>
          <w:lang w:val="en-US"/>
        </w:rPr>
      </w:pPr>
    </w:p>
    <w:p>
      <w:pPr>
        <w:ind w:firstLine="960" w:firstLineChars="400"/>
        <w:rPr>
          <w:rFonts w:hint="default"/>
          <w:lang w:val="en-US"/>
        </w:rPr>
      </w:pPr>
    </w:p>
    <w:p>
      <w:pPr>
        <w:rPr>
          <w:rFonts w:hint="default"/>
          <w:lang w:val="en-US"/>
        </w:rPr>
      </w:pPr>
      <w:r>
        <w:rPr>
          <w:rFonts w:hint="default"/>
          <w:lang w:val="en-US"/>
        </w:rPr>
        <w:t>Module code : BMSW6104</w:t>
      </w:r>
    </w:p>
    <w:p>
      <w:pPr>
        <w:rPr>
          <w:rFonts w:hint="default"/>
          <w:lang w:val="en-US"/>
        </w:rPr>
      </w:pPr>
      <w:r>
        <w:rPr>
          <w:rFonts w:hint="default"/>
          <w:lang w:val="en-US"/>
        </w:rPr>
        <w:t xml:space="preserve">Lecturer : Faizu Edu </w:t>
      </w:r>
    </w:p>
    <w:p>
      <w:pPr>
        <w:rPr>
          <w:rFonts w:hint="default"/>
          <w:lang w:val="en-US"/>
        </w:rPr>
      </w:pPr>
      <w:r>
        <w:rPr>
          <w:rFonts w:hint="default"/>
          <w:lang w:val="en-US"/>
        </w:rPr>
        <w:t xml:space="preserve">Assessment brief Author : Md Kalam </w:t>
      </w:r>
    </w:p>
    <w:p>
      <w:pPr>
        <w:rPr>
          <w:rFonts w:hint="default"/>
          <w:lang w:val="en-US"/>
        </w:rPr>
      </w:pPr>
      <w:r>
        <w:rPr>
          <w:rFonts w:hint="default"/>
          <w:lang w:val="en-US"/>
        </w:rPr>
        <w:t xml:space="preserve">Assignment Title : Strategic Development and Implementation for SMEs  </w:t>
      </w:r>
    </w:p>
    <w:p>
      <w:pPr>
        <w:rPr>
          <w:rFonts w:hint="default"/>
          <w:lang w:val="en-US"/>
        </w:rPr>
      </w:pPr>
      <w:r>
        <w:rPr>
          <w:rFonts w:hint="default"/>
          <w:lang w:val="en-US"/>
        </w:rPr>
        <w:t xml:space="preserve">Student name : Iosif Tcaciu </w:t>
      </w:r>
    </w:p>
    <w:p>
      <w:pPr>
        <w:rPr>
          <w:rFonts w:hint="default"/>
          <w:lang w:val="en-US"/>
        </w:rPr>
      </w:pPr>
      <w:r>
        <w:rPr>
          <w:rFonts w:hint="default"/>
          <w:lang w:val="en-US"/>
        </w:rPr>
        <w:t>Student id  :   2022775</w:t>
      </w:r>
    </w:p>
    <w:p>
      <w:pPr>
        <w:ind w:firstLine="960" w:firstLineChars="400"/>
        <w:rPr>
          <w:rFonts w:hint="default"/>
          <w:lang w:val="en-US"/>
        </w:rPr>
      </w:pPr>
    </w:p>
    <w:p/>
    <w:p/>
    <w:p/>
    <w:p>
      <w:pPr>
        <w:jc w:val="center"/>
        <w:rPr>
          <w:b/>
          <w:color w:val="auto"/>
          <w:sz w:val="36"/>
        </w:rPr>
      </w:pPr>
      <w:r>
        <w:rPr>
          <w:b/>
          <w:color w:val="auto"/>
          <w:sz w:val="36"/>
        </w:rPr>
        <w:t>Strategic Management for SMEs</w:t>
      </w:r>
    </w:p>
    <w:p/>
    <w:p/>
    <w:p>
      <w:pPr>
        <w:rPr>
          <w:b/>
          <w:bCs/>
          <w:sz w:val="28"/>
          <w:szCs w:val="24"/>
        </w:rPr>
      </w:pPr>
      <w:r>
        <w:rPr>
          <w:b/>
          <w:bCs/>
          <w:sz w:val="28"/>
          <w:szCs w:val="24"/>
        </w:rPr>
        <w:br w:type="page"/>
      </w:r>
    </w:p>
    <w:p>
      <w:pPr>
        <w:pStyle w:val="2"/>
      </w:pPr>
      <w:bookmarkStart w:id="0" w:name="_Toc128338773"/>
      <w:r>
        <w:t>Executive Summary</w:t>
      </w:r>
      <w:bookmarkEnd w:id="0"/>
    </w:p>
    <w:p>
      <w:r>
        <w:t xml:space="preserve">This strategic report is based on Pharmacy2U where future development and growth pathways of this organisation are outlined. The current strategic direction of Pharmacy2U is to create a competitive edge in the market by providing a unique solution to the customers of pharmaceutical products and services. According to the findings of the external environment analysis Brexit and the ongoing war between Russia and Ukraine, higher inflation rate and acute competition in the pharmaceutical industry are adversely influencing the business operation of this organisation. However, strong legal policy, the higher purchasing power of customers and the advancement of technologies are positively influencing the business operation of this organisation. With the application of Porter's generic strategy and Ansoff's matrix different strategic directions available for Pharmacy2U are identified and analysed. According to the findings of this analysis cost leadership and market development are considered effective as well as sustainable growth options for this organisation. Some applicable recommendations for Pharmacy2U in terms of its future development are the implementation of a lean business operation approach, diversification of product line, market expansion in emerging markets and improve efficiency in logistics. </w:t>
      </w:r>
    </w:p>
    <w:p/>
    <w:p/>
    <w:p/>
    <w:p/>
    <w:p/>
    <w:p/>
    <w:p/>
    <w:p/>
    <w:p/>
    <w:p/>
    <w:p/>
    <w:sdt>
      <w:sdtPr>
        <w:rPr>
          <w:rFonts w:eastAsia="Calibri" w:cs="Calibri"/>
          <w:b w:val="0"/>
          <w:color w:val="000000"/>
          <w:sz w:val="24"/>
          <w:szCs w:val="22"/>
          <w:lang w:val="en-GB" w:eastAsia="en-GB"/>
        </w:rPr>
        <w:id w:val="816126876"/>
        <w:docPartObj>
          <w:docPartGallery w:val="Table of Contents"/>
          <w:docPartUnique/>
        </w:docPartObj>
      </w:sdtPr>
      <w:sdtEndPr>
        <w:rPr>
          <w:rFonts w:eastAsia="Calibri" w:cs="Calibri"/>
          <w:b w:val="0"/>
          <w:color w:val="000000"/>
          <w:sz w:val="24"/>
          <w:szCs w:val="22"/>
          <w:lang w:val="en-GB" w:eastAsia="en-GB"/>
        </w:rPr>
      </w:sdtEndPr>
      <w:sdtContent>
        <w:p>
          <w:pPr>
            <w:pStyle w:val="32"/>
          </w:pPr>
          <w:r>
            <w:t>Contents</w:t>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TOC \o "1-3" \h \z \u </w:instrText>
          </w:r>
          <w:r>
            <w:fldChar w:fldCharType="separate"/>
          </w:r>
          <w:r>
            <w:fldChar w:fldCharType="begin"/>
          </w:r>
          <w:r>
            <w:instrText xml:space="preserve"> HYPERLINK \l "_Toc128338773" </w:instrText>
          </w:r>
          <w:r>
            <w:fldChar w:fldCharType="separate"/>
          </w:r>
          <w:r>
            <w:rPr>
              <w:rStyle w:val="14"/>
            </w:rPr>
            <w:t>Executive Summary</w:t>
          </w:r>
          <w:r>
            <w:tab/>
          </w:r>
          <w:r>
            <w:fldChar w:fldCharType="begin"/>
          </w:r>
          <w:r>
            <w:instrText xml:space="preserve"> PAGEREF _Toc128338773 \h </w:instrText>
          </w:r>
          <w:r>
            <w:fldChar w:fldCharType="separate"/>
          </w:r>
          <w:r>
            <w:t>ii</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"_Toc128338774" </w:instrText>
          </w:r>
          <w:r>
            <w:fldChar w:fldCharType="separate"/>
          </w:r>
          <w:r>
            <w:rPr>
              <w:rStyle w:val="14"/>
            </w:rPr>
            <w:t>Introduction</w:t>
          </w:r>
          <w:r>
            <w:tab/>
          </w:r>
          <w:r>
            <w:fldChar w:fldCharType="begin"/>
          </w:r>
          <w:r>
            <w:instrText xml:space="preserve"> PAGEREF _Toc128338774 \h </w:instrText>
          </w:r>
          <w:r>
            <w:fldChar w:fldCharType="separate"/>
          </w:r>
          <w:r>
            <w:t>1</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"_Toc128338775" </w:instrText>
          </w:r>
          <w:r>
            <w:fldChar w:fldCharType="separate"/>
          </w:r>
          <w:r>
            <w:rPr>
              <w:rStyle w:val="14"/>
            </w:rPr>
            <w:t>The current strategic direction of Pharmacy2U</w:t>
          </w:r>
          <w:r>
            <w:tab/>
          </w:r>
          <w:r>
            <w:fldChar w:fldCharType="begin"/>
          </w:r>
          <w:r>
            <w:instrText xml:space="preserve"> PAGEREF _Toc128338775 \h </w:instrText>
          </w:r>
          <w:r>
            <w:fldChar w:fldCharType="separate"/>
          </w:r>
          <w:r>
            <w:t>2</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"_Toc128338776" </w:instrText>
          </w:r>
          <w:r>
            <w:fldChar w:fldCharType="separate"/>
          </w:r>
          <w:r>
            <w:rPr>
              <w:rStyle w:val="14"/>
            </w:rPr>
            <w:t>Internal and external environmental analysis of Pharmacy2U</w:t>
          </w:r>
          <w:r>
            <w:tab/>
          </w:r>
          <w:r>
            <w:fldChar w:fldCharType="begin"/>
          </w:r>
          <w:r>
            <w:instrText xml:space="preserve"> PAGEREF _Toc128338776 \h </w:instrText>
          </w:r>
          <w:r>
            <w:fldChar w:fldCharType="separate"/>
          </w:r>
          <w:r>
            <w:t>4</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"_Toc128338777" </w:instrText>
          </w:r>
          <w:r>
            <w:fldChar w:fldCharType="separate"/>
          </w:r>
          <w:r>
            <w:rPr>
              <w:rStyle w:val="14"/>
            </w:rPr>
            <w:t>PESTEL analysis</w:t>
          </w:r>
          <w:r>
            <w:tab/>
          </w:r>
          <w:r>
            <w:fldChar w:fldCharType="begin"/>
          </w:r>
          <w:r>
            <w:instrText xml:space="preserve"> PAGEREF _Toc128338777 \h </w:instrText>
          </w:r>
          <w:r>
            <w:fldChar w:fldCharType="separate"/>
          </w:r>
          <w:r>
            <w:t>4</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"_Toc128338778" </w:instrText>
          </w:r>
          <w:r>
            <w:fldChar w:fldCharType="separate"/>
          </w:r>
          <w:r>
            <w:rPr>
              <w:rStyle w:val="14"/>
            </w:rPr>
            <w:t>VRIN analysis</w:t>
          </w:r>
          <w:r>
            <w:tab/>
          </w:r>
          <w:r>
            <w:fldChar w:fldCharType="begin"/>
          </w:r>
          <w:r>
            <w:instrText xml:space="preserve"> PAGEREF _Toc128338778 \h </w:instrText>
          </w:r>
          <w:r>
            <w:fldChar w:fldCharType="separate"/>
          </w:r>
          <w:r>
            <w:t>8</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"_Toc128338779" </w:instrText>
          </w:r>
          <w:r>
            <w:fldChar w:fldCharType="separate"/>
          </w:r>
          <w:r>
            <w:rPr>
              <w:rStyle w:val="14"/>
            </w:rPr>
            <w:t>SWOT analysis</w:t>
          </w:r>
          <w:r>
            <w:tab/>
          </w:r>
          <w:r>
            <w:fldChar w:fldCharType="begin"/>
          </w:r>
          <w:r>
            <w:instrText xml:space="preserve"> PAGEREF _Toc128338779 \h </w:instrText>
          </w:r>
          <w:r>
            <w:fldChar w:fldCharType="separate"/>
          </w:r>
          <w:r>
            <w:t>9</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"_Toc128338780" </w:instrText>
          </w:r>
          <w:r>
            <w:fldChar w:fldCharType="separate"/>
          </w:r>
          <w:r>
            <w:rPr>
              <w:rStyle w:val="14"/>
            </w:rPr>
            <w:t>Strategic growth choices for Pharmacy2U</w:t>
          </w:r>
          <w:r>
            <w:tab/>
          </w:r>
          <w:r>
            <w:fldChar w:fldCharType="begin"/>
          </w:r>
          <w:r>
            <w:instrText xml:space="preserve"> PAGEREF _Toc128338780 \h </w:instrText>
          </w:r>
          <w:r>
            <w:fldChar w:fldCharType="separate"/>
          </w:r>
          <w:r>
            <w:t>11</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"_Toc128338781" </w:instrText>
          </w:r>
          <w:r>
            <w:fldChar w:fldCharType="separate"/>
          </w:r>
          <w:r>
            <w:rPr>
              <w:rStyle w:val="14"/>
            </w:rPr>
            <w:t>Porter's generic strategy</w:t>
          </w:r>
          <w:r>
            <w:tab/>
          </w:r>
          <w:r>
            <w:fldChar w:fldCharType="begin"/>
          </w:r>
          <w:r>
            <w:instrText xml:space="preserve"> PAGEREF _Toc128338781 \h </w:instrText>
          </w:r>
          <w:r>
            <w:fldChar w:fldCharType="separate"/>
          </w:r>
          <w:r>
            <w:t>11</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"_Toc128338782" </w:instrText>
          </w:r>
          <w:r>
            <w:fldChar w:fldCharType="separate"/>
          </w:r>
          <w:r>
            <w:rPr>
              <w:rStyle w:val="14"/>
            </w:rPr>
            <w:t>Ansoff's growth matrix</w:t>
          </w:r>
          <w:r>
            <w:tab/>
          </w:r>
          <w:r>
            <w:fldChar w:fldCharType="begin"/>
          </w:r>
          <w:r>
            <w:instrText xml:space="preserve"> PAGEREF _Toc128338782 \h </w:instrText>
          </w:r>
          <w:r>
            <w:fldChar w:fldCharType="separate"/>
          </w:r>
          <w:r>
            <w:t>13</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"_Toc128338783" </w:instrText>
          </w:r>
          <w:r>
            <w:fldChar w:fldCharType="separate"/>
          </w:r>
          <w:r>
            <w:rPr>
              <w:rStyle w:val="14"/>
            </w:rPr>
            <w:t>Proposed strategy and its future sustainability</w:t>
          </w:r>
          <w:r>
            <w:tab/>
          </w:r>
          <w:r>
            <w:fldChar w:fldCharType="begin"/>
          </w:r>
          <w:r>
            <w:instrText xml:space="preserve"> PAGEREF _Toc128338783 \h </w:instrText>
          </w:r>
          <w:r>
            <w:fldChar w:fldCharType="separate"/>
          </w:r>
          <w:r>
            <w:t>14</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"_Toc128338784" </w:instrText>
          </w:r>
          <w:r>
            <w:fldChar w:fldCharType="separate"/>
          </w:r>
          <w:r>
            <w:rPr>
              <w:rStyle w:val="14"/>
            </w:rPr>
            <w:t>Stakeholder analysis</w:t>
          </w:r>
          <w:r>
            <w:tab/>
          </w:r>
          <w:r>
            <w:fldChar w:fldCharType="begin"/>
          </w:r>
          <w:r>
            <w:instrText xml:space="preserve"> PAGEREF _Toc128338784 \h </w:instrText>
          </w:r>
          <w:r>
            <w:fldChar w:fldCharType="separate"/>
          </w:r>
          <w:r>
            <w:t>16</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"_Toc128338785" </w:instrText>
          </w:r>
          <w:r>
            <w:fldChar w:fldCharType="separate"/>
          </w:r>
          <w:r>
            <w:rPr>
              <w:rStyle w:val="14"/>
            </w:rPr>
            <w:t>Strategic recommendations for the future development of Pharmacy2U</w:t>
          </w:r>
          <w:r>
            <w:tab/>
          </w:r>
          <w:r>
            <w:fldChar w:fldCharType="begin"/>
          </w:r>
          <w:r>
            <w:instrText xml:space="preserve"> PAGEREF _Toc128338785 \h </w:instrText>
          </w:r>
          <w:r>
            <w:fldChar w:fldCharType="separate"/>
          </w:r>
          <w:r>
            <w:t>18</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"_Toc128338786" </w:instrText>
          </w:r>
          <w:r>
            <w:fldChar w:fldCharType="separate"/>
          </w:r>
          <w:r>
            <w:rPr>
              <w:rStyle w:val="14"/>
            </w:rPr>
            <w:t>Conclusion</w:t>
          </w:r>
          <w:r>
            <w:tab/>
          </w:r>
          <w:r>
            <w:fldChar w:fldCharType="begin"/>
          </w:r>
          <w:r>
            <w:instrText xml:space="preserve"> PAGEREF _Toc128338786 \h </w:instrText>
          </w:r>
          <w:r>
            <w:fldChar w:fldCharType="separate"/>
          </w:r>
          <w:r>
            <w:t>20</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"_Toc128338787" </w:instrText>
          </w:r>
          <w:r>
            <w:fldChar w:fldCharType="separate"/>
          </w:r>
          <w:r>
            <w:rPr>
              <w:rStyle w:val="14"/>
            </w:rPr>
            <w:t>References</w:t>
          </w:r>
          <w:r>
            <w:tab/>
          </w:r>
          <w:r>
            <w:fldChar w:fldCharType="begin"/>
          </w:r>
          <w:r>
            <w:instrText xml:space="preserve"> PAGEREF _Toc128338787 \h </w:instrText>
          </w:r>
          <w:r>
            <w:fldChar w:fldCharType="separate"/>
          </w:r>
          <w:r>
            <w:t>21</w:t>
          </w:r>
          <w:r>
            <w:fldChar w:fldCharType="end"/>
          </w:r>
          <w:r>
            <w:fldChar w:fldCharType="end"/>
          </w:r>
        </w:p>
        <w:p>
          <w:r>
            <w:fldChar w:fldCharType="end"/>
          </w:r>
        </w:p>
      </w:sdtContent>
    </w:sdt>
    <w:p>
      <w:r>
        <w:br w:type="page"/>
      </w:r>
    </w:p>
    <w:p>
      <w:pPr>
        <w:sectPr>
          <w:headerReference r:id="rId7" w:type="first"/>
          <w:footerReference r:id="rId10" w:type="first"/>
          <w:headerReference r:id="rId5" w:type="default"/>
          <w:footerReference r:id="rId8" w:type="default"/>
          <w:headerReference r:id="rId6" w:type="even"/>
          <w:footerReference r:id="rId9" w:type="even"/>
          <w:pgSz w:w="12240" w:h="15840"/>
          <w:pgMar w:top="1440" w:right="1440" w:bottom="1440" w:left="1440" w:header="720" w:footer="720" w:gutter="0"/>
          <w:pgNumType w:fmt="lowerRoman"/>
          <w:cols w:space="720" w:num="1"/>
          <w:docGrid w:linePitch="299" w:charSpace="0"/>
        </w:sectPr>
      </w:pPr>
    </w:p>
    <w:p>
      <w:pPr>
        <w:pStyle w:val="2"/>
      </w:pPr>
      <w:bookmarkStart w:id="1" w:name="_Toc128338774"/>
      <w:r>
        <w:t>Introduction</w:t>
      </w:r>
      <w:bookmarkEnd w:id="1"/>
      <w:r>
        <w:t xml:space="preserve"> and Overview of the SME</w:t>
      </w:r>
    </w:p>
    <w:p>
      <w:bookmarkStart w:id="2" w:name="_u4uyy2tzdsnu" w:colFirst="0" w:colLast="0"/>
      <w:bookmarkEnd w:id="2"/>
      <w:r>
        <w:t>There are some changing internal and external environmental forces that are responsible for acute competition as well as business operation complexity within the modern organisational aspect. In this regard, business operations of SMEs (small and medium-sized business enterprises) are significantly influenced by the advancement of technologies, greater access of businesses in the global market, empowered customers, financial capabilities of businesses and changing regulations of business operation are significant.In this context, it has become imperative for an organisation to selectstrategic directions by considering both internal and external environmental forces that can shape the business operation. This strategic report is based on an SME and the name of this organisation is Pharmacy2U. It is a UK-based online pharmacy that was founded in 1999 by Daniel Lee. Currently, Pharmacy2U is operating its piloting electronic prescriptions throughout the UK and in the global market it offers retail products to customers. There are more than 350,000 nominated EPS patients in this organisation where it dispensed more than 621,128 prescription items to the patients. In terms of revenue, it is in the 16</w:t>
      </w:r>
      <w:r>
        <w:rPr>
          <w:vertAlign w:val="superscript"/>
        </w:rPr>
        <w:t>th</w:t>
      </w:r>
      <w:r>
        <w:t xml:space="preserve">position within the personal care market in the UK with £174.5 million in revenue(Manners-Bell and Lyon, 2022). In addition to this, around 210 employees are working in this organisation. Throughout this report, the current strategic direction of Pharmacy2U will be analysed in terms of its vision, mission, goals and strategic objectives. In addition to this, internal as well as external environmental factors of Pharmacy2U will be analysed with the help of PESTEL, VRIN and SWOT framework. After that, strategic growth choices available for Pharmacy2U will be identified and evaluated with the application of Porter's generic strategies and Ansoff's matrix. In addition to this, a stakeholder analysis will be conducted to identify the associated influence of different stakeholders in terms of the implementation of the strategic direction. Finally, some applicable recommendations will be demonstrated for Pharmacy2U for the future development of the organisation. </w:t>
      </w:r>
    </w:p>
    <w:p>
      <w:pPr>
        <w:spacing w:line="259" w:lineRule="auto"/>
        <w:jc w:val="left"/>
        <w:rPr>
          <w:b/>
          <w:color w:val="00B0F0"/>
          <w:sz w:val="28"/>
        </w:rPr>
      </w:pPr>
      <w:r>
        <w:br w:type="page"/>
      </w:r>
    </w:p>
    <w:p>
      <w:pPr>
        <w:pStyle w:val="2"/>
      </w:pPr>
      <w:bookmarkStart w:id="3" w:name="_Toc128338775"/>
      <w:r>
        <w:t>The current strategic direction of Pharmacy2U</w:t>
      </w:r>
      <w:bookmarkEnd w:id="3"/>
      <w:r>
        <w:t xml:space="preserve">  </w:t>
      </w:r>
    </w:p>
    <w:p>
      <w:r>
        <w:t>Pharmacy2U is operating its business within the online pharmaceutical industry in the UK and it was established to remove the distance barrier of purchasing pharmaceutical products. It wanted to create a competitive edge in the market by providing a unique solution to the customers of pharmaceutical products and services (Graydon, 2019). It was a pilot trial of EPS through which patients can request prescriptions online and can get their medication via postal delivery. It is one of the largest growing companies within the online pharmaceutical</w:t>
      </w:r>
      <w:r>
        <w:rPr>
          <w:rFonts w:hint="default"/>
          <w:lang w:val="en-US"/>
        </w:rPr>
        <w:t xml:space="preserve"> </w:t>
      </w:r>
      <w:r>
        <w:t xml:space="preserve">industry in the UK with a more than 17% growth rate in its prescription sectors and 9% in its patient nominations sectors (Johnson, 2019). However, to understand the strategic direction of Pharmacy2U it is important to review the vision, mission, objective and goal of this organisation. These are evaluated in the following part of this report: </w:t>
      </w:r>
    </w:p>
    <w:p>
      <w:pPr>
        <w:rPr>
          <w:b/>
        </w:rPr>
      </w:pPr>
      <w:r>
        <w:rPr>
          <w:b/>
        </w:rPr>
        <w:t xml:space="preserve">Vision </w:t>
      </w:r>
    </w:p>
    <w:p>
      <w:r>
        <w:t xml:space="preserve">The vision of Pharmacy2U is to become the only online or digital pharmacy in the world that can deliver repeated prescriptions of NHS through different digital platforms. </w:t>
      </w:r>
    </w:p>
    <w:p>
      <w:pPr>
        <w:rPr>
          <w:b/>
        </w:rPr>
      </w:pPr>
      <w:r>
        <w:rPr>
          <w:b/>
        </w:rPr>
        <w:t>Mission</w:t>
      </w:r>
    </w:p>
    <w:p>
      <w:r>
        <w:t xml:space="preserve">The Mission of Pharmacy2U is to provide NHS-prescribed medicine to patients on their request at their doorstep for making it convenient, better as well as less costly for the patients.  </w:t>
      </w:r>
    </w:p>
    <w:p>
      <w:pPr>
        <w:rPr>
          <w:b/>
        </w:rPr>
      </w:pPr>
      <w:r>
        <w:rPr>
          <w:b/>
        </w:rPr>
        <w:t>Values</w:t>
      </w:r>
    </w:p>
    <w:p>
      <w:r>
        <w:t xml:space="preserve">There are some core values of Pharmacy2U in terms of delivering pharmaceutical products and services to customers. First of all, it maintains the confidentiality of the patients by securing the whole process of purchasing pharmaceutical products from Pharmacy2U. Secondly, it values delivering genuine medicine to the customers for developing trust between customers and Pharmacy2U. In addition to this, it values providing pharmaceuticalproducts and services to customers at a comparatively lower price than the other related service providers. Further, Pharmacy2U considers safety, respect, compassion and empathy in its corporate values. </w:t>
      </w:r>
    </w:p>
    <w:p>
      <w:pPr>
        <w:rPr>
          <w:b/>
        </w:rPr>
      </w:pPr>
      <w:r>
        <w:rPr>
          <w:b/>
        </w:rPr>
        <w:t xml:space="preserve">Objectives </w:t>
      </w:r>
    </w:p>
    <w:p>
      <w:pPr>
        <w:pStyle w:val="29"/>
      </w:pPr>
      <w:r>
        <w:t xml:space="preserve">To provide accurate information to customers through a digital platform </w:t>
      </w:r>
    </w:p>
    <w:p>
      <w:pPr>
        <w:pStyle w:val="29"/>
      </w:pPr>
      <w:r>
        <w:t>To provide better health assessment and treatment to the patients</w:t>
      </w:r>
    </w:p>
    <w:p>
      <w:pPr>
        <w:pStyle w:val="29"/>
      </w:pPr>
      <w:r>
        <w:t>To provide high-quality services at a lower price to the patient's convenience choice</w:t>
      </w:r>
    </w:p>
    <w:p>
      <w:pPr>
        <w:pStyle w:val="29"/>
      </w:pPr>
      <w:r>
        <w:t xml:space="preserve">To make digital pharmaceutical services convenient, affordable and better for patients </w:t>
      </w:r>
    </w:p>
    <w:p>
      <w:r>
        <w:t xml:space="preserve">From the above discussion, it has been identified that Pharmacy2U is operating its business based on some core aspects. Analysis of the vision, mission, objective and goal of this organisation of Pharmacy2U provides a clear understanding of the current strategic direction of this organisation. Currently, it wants to become the better service providers in its existing market areas which indicate that Pharmacy2U is focusing on a market penetration strategy (Mcintyre, 2021). In addition to this, it is also directed towards the implementation of the cost leadership strategy by providing pharmaceutical services at a lower cost than the physical pharmacies and other online-based competitors. However, it has been identified that it ignoring market development strategy in its existing strategic directions. In addition to this, the strategic direction analysis of Pharmacy2U indicates that Pharmacy2U focuses on differentiating its products and services from the competitors with the implementation of cost differentiation and service differentiation strategy. </w:t>
      </w:r>
    </w:p>
    <w:p>
      <w:pPr>
        <w:spacing w:line="259" w:lineRule="auto"/>
        <w:jc w:val="left"/>
        <w:rPr>
          <w:b/>
          <w:color w:val="00B0F0"/>
          <w:sz w:val="28"/>
        </w:rPr>
      </w:pPr>
      <w:r>
        <w:br w:type="page"/>
      </w:r>
    </w:p>
    <w:p>
      <w:pPr>
        <w:pStyle w:val="2"/>
      </w:pPr>
      <w:bookmarkStart w:id="4" w:name="_Toc128338776"/>
      <w:r>
        <w:t>Internal and external environmental analysis of Pharmacy2U</w:t>
      </w:r>
      <w:bookmarkEnd w:id="4"/>
      <w:r>
        <w:t xml:space="preserve"> </w:t>
      </w:r>
    </w:p>
    <w:p>
      <w:r>
        <w:t xml:space="preserve">Business operation in the 21st century is more complex than ever and businesses need to develop effective strategies along with ensuring their successful implementation. In this regard, the organisation must understand the internal as well as external forces or drivers that can influence their business operation (Prieto-Merino et al., 2021). A proper understanding of the internal and external environmental forces can help to prepare accurate and justified strategic direction that can further ensure the long-term sustainability of the strategic directions for the business organisation. Throughout the following part of this report, internal and external environmental forces of Pharmacy2U are analysed with the application of different environment screening tools including PESTEL, VRIN and SWOT frameworks. </w:t>
      </w:r>
    </w:p>
    <w:p>
      <w:pPr>
        <w:pStyle w:val="3"/>
      </w:pPr>
      <w:bookmarkStart w:id="5" w:name="_Toc128338777"/>
      <w:r>
        <w:t>PESTEL analysis</w:t>
      </w:r>
      <w:bookmarkEnd w:id="5"/>
    </w:p>
    <w:p>
      <w:r>
        <w:t xml:space="preserve">PESTEL is one of the most popular external environments screening tools that considercore external forces that can have a significant impact on the success as well as business operation of an organisation. </w:t>
      </w:r>
    </w:p>
    <w:p>
      <w:pPr>
        <w:rPr>
          <w:b/>
        </w:rPr>
      </w:pPr>
      <w:r>
        <w:rPr>
          <w:b/>
        </w:rPr>
        <w:t xml:space="preserve">Political factors </w:t>
      </w:r>
    </w:p>
    <w:p>
      <w:r>
        <w:t xml:space="preserve">Political factors are closely associated with the business operation of an organisation like Pharmacy2U. For a long period, businesses in the UK enjoyed the benefits of a stable political situation (Saleh, H.A. and Derbali, 2020). However, in recent years, businesses, for example, Pharmacy2U are struggling with political unrest events including Brexit and the war between Russia and Ukraine. The supply chain activities of Pharmacy2U are getting affected by Brexit and it has increased the supply chain cost of this organisation by 13% during the last 3 years. </w:t>
      </w:r>
    </w:p>
    <w:p>
      <w:pPr>
        <w:keepNext/>
        <w:jc w:val="center"/>
      </w:pPr>
      <w:r>
        <w:rPr>
          <w:lang w:val="en-US" w:eastAsia="zh-CN"/>
        </w:rPr>
        <w:drawing>
          <wp:inline distT="0" distB="0" distL="0" distR="0">
            <wp:extent cx="4648200" cy="2666365"/>
            <wp:effectExtent l="19050" t="0" r="0" b="0"/>
            <wp:docPr id="1" name="Picture 0" descr="Corporate tax in uk 20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descr="Corporate tax in uk 2023.png"/>
                    <pic:cNvPicPr>
                      <a:picLocks noChangeAspect="1"/>
                    </pic:cNvPicPr>
                  </pic:nvPicPr>
                  <pic:blipFill>
                    <a:blip r:embed="rId12" cstate="print"/>
                    <a:srcRect t="12528" r="1122" b="6834"/>
                    <a:stretch>
                      <a:fillRect/>
                    </a:stretch>
                  </pic:blipFill>
                  <pic:spPr>
                    <a:xfrm>
                      <a:off x="0" y="0"/>
                      <a:ext cx="4648200" cy="2666876"/>
                    </a:xfrm>
                    <a:prstGeom prst="rect">
                      <a:avLst/>
                    </a:prstGeom>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1</w:t>
      </w:r>
      <w:r>
        <w:rPr>
          <w:b/>
          <w:color w:val="auto"/>
          <w:sz w:val="24"/>
        </w:rPr>
        <w:fldChar w:fldCharType="end"/>
      </w:r>
      <w:r>
        <w:rPr>
          <w:b/>
          <w:color w:val="auto"/>
          <w:sz w:val="24"/>
        </w:rPr>
        <w:t>: Corporate tax rate in the UK</w:t>
      </w:r>
    </w:p>
    <w:p>
      <w:pPr>
        <w:pStyle w:val="8"/>
        <w:jc w:val="center"/>
        <w:rPr>
          <w:b/>
          <w:color w:val="auto"/>
          <w:sz w:val="24"/>
        </w:rPr>
      </w:pPr>
      <w:r>
        <w:rPr>
          <w:b/>
          <w:color w:val="auto"/>
          <w:sz w:val="24"/>
        </w:rPr>
        <w:t xml:space="preserve"> Source: (Manners-Bell and Lyon, 2022)</w:t>
      </w:r>
    </w:p>
    <w:p>
      <w:r>
        <w:t xml:space="preserve">In addition to this, the government has increased the general tax rate in the UK from 19% to 25% from April 1, 2022. In addition to this, the war between Russia and Ukraine increased energy costs which have an adverse effect on the business operation of this organisation. However, the government is trying to support SMEslike Pharmacy2U to overcome these issues (Deschamps and Durst, 2020). In this regard, the government in the UK developed a recovery loan scheme of £2 million per smes. In addition to this, the government is also providing continuation grants to Pharmacy2U for overcoming those issues. </w:t>
      </w:r>
    </w:p>
    <w:p>
      <w:pPr>
        <w:rPr>
          <w:b/>
        </w:rPr>
      </w:pPr>
      <w:r>
        <w:rPr>
          <w:b/>
        </w:rPr>
        <w:t>Economic factors</w:t>
      </w:r>
    </w:p>
    <w:p>
      <w:r>
        <w:t xml:space="preserve">In most cases, economic forces shape the success of business organisations.Greater access to the financial market and the availability of capital in the market enabled Pharmacy2U to collect a large volume of capital (Pan et al., 2019). In addition to this, it is enjoying the benefit of a viable market within the pharmaceutical industry. In terms of,political factors, economic factors in the UK have also become unstable that are hindering the regular business operation of SMEslike Pharmacy2U. The inflation rate reached to all-time highest (14.1%) in 2022 and fell to 10.1% on January 1, 2023. In addition to this, the Bank of England increased the interest rate to 4% which further increased the business operation cost of Pharmacy2U. </w:t>
      </w:r>
    </w:p>
    <w:p>
      <w:pPr>
        <w:keepNext/>
        <w:jc w:val="center"/>
      </w:pPr>
      <w:r>
        <w:rPr>
          <w:lang w:val="en-US" w:eastAsia="zh-CN"/>
        </w:rPr>
        <w:drawing>
          <wp:inline distT="0" distB="0" distL="0" distR="0">
            <wp:extent cx="5067300" cy="2703830"/>
            <wp:effectExtent l="19050" t="0" r="0" b="0"/>
            <wp:docPr id="2" name="Picture 1" descr="_128331508_optimised-cpi-n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_128331508_optimised-cpi-nc.png"/>
                    <pic:cNvPicPr>
                      <a:picLocks noChangeAspect="1"/>
                    </pic:cNvPicPr>
                  </pic:nvPicPr>
                  <pic:blipFill>
                    <a:blip r:embed="rId13"/>
                    <a:srcRect t="16856" b="7289"/>
                    <a:stretch>
                      <a:fillRect/>
                    </a:stretch>
                  </pic:blipFill>
                  <pic:spPr>
                    <a:xfrm>
                      <a:off x="0" y="0"/>
                      <a:ext cx="5067300" cy="2704184"/>
                    </a:xfrm>
                    <a:prstGeom prst="rect">
                      <a:avLst/>
                    </a:prstGeom>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2</w:t>
      </w:r>
      <w:r>
        <w:rPr>
          <w:b/>
          <w:color w:val="auto"/>
          <w:sz w:val="24"/>
        </w:rPr>
        <w:fldChar w:fldCharType="end"/>
      </w:r>
      <w:r>
        <w:rPr>
          <w:b/>
          <w:color w:val="auto"/>
          <w:sz w:val="24"/>
        </w:rPr>
        <w:t xml:space="preserve">: Inflation rate in the UK </w:t>
      </w:r>
    </w:p>
    <w:p>
      <w:pPr>
        <w:pStyle w:val="8"/>
        <w:jc w:val="center"/>
        <w:rPr>
          <w:b/>
          <w:color w:val="auto"/>
          <w:sz w:val="24"/>
        </w:rPr>
      </w:pPr>
      <w:r>
        <w:rPr>
          <w:b/>
          <w:color w:val="auto"/>
          <w:sz w:val="24"/>
        </w:rPr>
        <w:t>Source: (Kumarasiri and Dissanayake, 2021)</w:t>
      </w:r>
    </w:p>
    <w:p>
      <w:pPr>
        <w:rPr>
          <w:b/>
        </w:rPr>
      </w:pPr>
      <w:r>
        <w:rPr>
          <w:b/>
        </w:rPr>
        <w:t>Social factors</w:t>
      </w:r>
    </w:p>
    <w:p>
      <w:r>
        <w:t xml:space="preserve">Pharmacy2U is enjoying the benefit of a sustainable pharmaceutical market in the UK with more than 67.33 million populations (Bradshaw et al., 2019). Customers in the UK are highly concerned about the quality and authenticity of pharmaceutical products and services. In this regard, Pharmacy2U is taking the advantage of building sustainable trust with the customers by delivering authentic pharmaceutical products. In addition to this, customers are empowered with information and technology that positively shape the business operation of Pharmacy2U. In addition to this, customers have higher purchasing power with more than £43,500 per-capita income in the UK (Chintalapati, 2020). The availability of human resources from diverse cultures further enabled Pharmacy2U to create a dynamic corporate culture. </w:t>
      </w:r>
    </w:p>
    <w:p>
      <w:pPr>
        <w:rPr>
          <w:b/>
        </w:rPr>
      </w:pPr>
      <w:r>
        <w:rPr>
          <w:b/>
        </w:rPr>
        <w:t>Technological factors</w:t>
      </w:r>
    </w:p>
    <w:p>
      <w:r>
        <w:t xml:space="preserve">Pharmacy2U is an online pharmaceutical business where technologies are closely associated with its business operation. In this regard, Pharmacy2U is getting advantage of advanced technologies to facilitate its business operation. In the UK, more than 93.4% of customers have access to the internet and digital platforms which made it easier for Pharmacy2U to reach its potential customers (Kumarasiri and Dissanayake, 2021). In addition to this, wide access to technologies enabled Pharmacy2U to design interactive marketing and promotional campaign. Further, the advancement of R&amp;D technologies, particularly in the healthcare industry, is facilitating the research and development activities of this organisation. However, the advancement of technologies empowered customers with a wide range of alternatives and competitors to bring alternative products and services within the shortest possible time. It has reduced the life-cycle of innovation of Pharmacy2U. </w:t>
      </w:r>
    </w:p>
    <w:p>
      <w:pPr>
        <w:keepNext/>
        <w:jc w:val="center"/>
      </w:pPr>
      <w:r>
        <w:rPr>
          <w:lang w:val="en-US" w:eastAsia="zh-CN"/>
        </w:rPr>
        <w:drawing>
          <wp:inline distT="0" distB="0" distL="0" distR="0">
            <wp:extent cx="5038725" cy="2360930"/>
            <wp:effectExtent l="19050" t="0" r="9525" b="0"/>
            <wp:docPr id="3" name="Picture 2" descr="graph_count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_country.png"/>
                    <pic:cNvPicPr>
                      <a:picLocks noChangeAspect="1"/>
                    </pic:cNvPicPr>
                  </pic:nvPicPr>
                  <pic:blipFill>
                    <a:blip r:embed="rId14"/>
                    <a:stretch>
                      <a:fillRect/>
                    </a:stretch>
                  </pic:blipFill>
                  <pic:spPr>
                    <a:xfrm>
                      <a:off x="0" y="0"/>
                      <a:ext cx="5038725" cy="2360930"/>
                    </a:xfrm>
                    <a:prstGeom prst="rect">
                      <a:avLst/>
                    </a:prstGeom>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3</w:t>
      </w:r>
      <w:r>
        <w:rPr>
          <w:b/>
          <w:color w:val="auto"/>
          <w:sz w:val="24"/>
        </w:rPr>
        <w:fldChar w:fldCharType="end"/>
      </w:r>
      <w:r>
        <w:rPr>
          <w:b/>
          <w:color w:val="auto"/>
          <w:sz w:val="24"/>
        </w:rPr>
        <w:t>: Internet user rate in the UK</w:t>
      </w:r>
    </w:p>
    <w:p>
      <w:pPr>
        <w:pStyle w:val="8"/>
        <w:jc w:val="center"/>
        <w:rPr>
          <w:b/>
          <w:color w:val="auto"/>
          <w:sz w:val="24"/>
        </w:rPr>
      </w:pPr>
      <w:r>
        <w:rPr>
          <w:b/>
          <w:color w:val="auto"/>
          <w:sz w:val="24"/>
        </w:rPr>
        <w:t xml:space="preserve"> Source: (Chintalapati, 2020)</w:t>
      </w:r>
    </w:p>
    <w:p>
      <w:pPr>
        <w:rPr>
          <w:b/>
        </w:rPr>
      </w:pPr>
      <w:r>
        <w:rPr>
          <w:b/>
        </w:rPr>
        <w:t>Environmental factors</w:t>
      </w:r>
    </w:p>
    <w:p>
      <w:r>
        <w:t>Businesses across the world are experiencing a new dimension of environmental forces in the 21</w:t>
      </w:r>
      <w:r>
        <w:rPr>
          <w:vertAlign w:val="superscript"/>
        </w:rPr>
        <w:t>st</w:t>
      </w:r>
      <w:r>
        <w:t xml:space="preserve"> century where customers, government, environmental activists and competitors are highly concerned about the environmental impact of business operations. In this regard, as an online pharmaceutical service provider Pharmacy2U is contributing to fewer emissions (Clarissia, 2020). In addition to this, the government in the UK is promoting businesses with a less environmentally costly business model like Pharmacy2U. To reduce waste and environmental effects, Pharmacy2U is following a lean waste management approach along with focusing more on recycling. In addition to this, it promotes paperless activities within its business operation to reduce the adverse effect on the environment. </w:t>
      </w:r>
    </w:p>
    <w:p>
      <w:pPr>
        <w:rPr>
          <w:b/>
        </w:rPr>
      </w:pPr>
      <w:r>
        <w:rPr>
          <w:b/>
        </w:rPr>
        <w:t>Legal factors</w:t>
      </w:r>
    </w:p>
    <w:p>
      <w:r>
        <w:t xml:space="preserve">Legal factors are responsible for regulating the day-to-day activities of businesses and hindering them from committing illegal activities. In this case, there is a strict as well as supportive legal policy for the flawless business operation of Pharmacy2U. The legal authority has developed regulations for e-commerce as well as online pharmaceutical companies to direct their business operation (Firoz et al., 2019). Further, legal factors for example strong intellectual property act enabled Pharmacy2U to protect its copyrights of innovation. In addition to this, legal forces protect the human rights of the employees of Pharmacy2U. </w:t>
      </w:r>
    </w:p>
    <w:p>
      <w:pPr>
        <w:pStyle w:val="3"/>
      </w:pPr>
      <w:bookmarkStart w:id="6" w:name="_Toc128338778"/>
      <w:r>
        <w:t>VRIN analysis</w:t>
      </w:r>
      <w:bookmarkEnd w:id="6"/>
    </w:p>
    <w:p>
      <w:r>
        <w:t>VRIN stands for valuable, rarity, imitability and non-sustainable that is an environment screening tool and it is used for identifying four key aspects of the environment. Here, VRIN analysis is conducted to analyse the internal business environment of Pharmacy2U:</w:t>
      </w:r>
    </w:p>
    <w:p>
      <w:pPr>
        <w:rPr>
          <w:b/>
        </w:rPr>
      </w:pPr>
      <w:r>
        <w:rPr>
          <w:b/>
        </w:rPr>
        <w:t>Valuable</w:t>
      </w:r>
    </w:p>
    <w:p>
      <w:r>
        <w:t xml:space="preserve">Resources of an organisation are only considered valuable once they can improve efficiency and can direct the organisation towards competitive advantage. Organisational resources of Pharmacy2U including a strong financial base, a strong brand image in the market, a skilled workforce and a large number of nominated EPS patients (350,000) are considered valuable as these resources are shaping the competitive edge of Pharmacy2U in the market. It has a strong financial base with more than £174.5 million in annual revenue (Saputra et al., 2019). It was the first pilot project to trail the EPS and it works as a source of competitive advantage for this organisation. </w:t>
      </w:r>
    </w:p>
    <w:p>
      <w:pPr>
        <w:rPr>
          <w:b/>
        </w:rPr>
      </w:pPr>
      <w:r>
        <w:rPr>
          <w:b/>
        </w:rPr>
        <w:t xml:space="preserve">Rarity </w:t>
      </w:r>
    </w:p>
    <w:p>
      <w:r>
        <w:t xml:space="preserve">The resource of an organisation can only create a competitive advantage if it is rare among the competitors. In this regard, access to a large number of online prescriptions (6.5 million) is considered a rare resource of Pharmacy2U (Tien et al., 2019). In addition to this, Pharmacy2U works with more than 40 professional researchers having more than 80 years of working experience in the pharmaceutical industry. In addition to this, it has more than £22.3 million in available funding which is also rare in the market where its close competitors, for example, Chemist Direct have only £7.2 million in funding. </w:t>
      </w:r>
    </w:p>
    <w:p/>
    <w:p/>
    <w:p>
      <w:pPr>
        <w:rPr>
          <w:b/>
        </w:rPr>
      </w:pPr>
      <w:r>
        <w:rPr>
          <w:b/>
        </w:rPr>
        <w:t>Imitable</w:t>
      </w:r>
    </w:p>
    <w:p>
      <w:r>
        <w:t xml:space="preserve">From the above analysis, it has been identified that a strong financial base, a strong brand image in the market, a skilled workforce and a large number of nominated EPS patients are key resources of Pharmacy2U. In this regard, some of these resources including skilled human resources and a strong brand image in the market are not easily imitable (Mio et al., 2020). On the other hand, resources for example financial base or funding and nominated EPS are imitable but not in the short-run. </w:t>
      </w:r>
    </w:p>
    <w:p>
      <w:pPr>
        <w:rPr>
          <w:b/>
        </w:rPr>
      </w:pPr>
      <w:r>
        <w:rPr>
          <w:b/>
        </w:rPr>
        <w:t>Non-sustainable</w:t>
      </w:r>
    </w:p>
    <w:p>
      <w:r>
        <w:t xml:space="preserve">Resources that provide a competitive advantage cannot be accessed by existing competitors. However, all the resources of Pharmacy2U are not sustainable for the long term as competitors can imitate them in the long run (Torelli et al., 2020). In this case, it can be said that true competitive advantage doesn’t exist within the pharmaceutical industry in the UK as competitors have access to similar types of resources in the market. In this regard, competitors can use a similar strategy to Pharmacy2U which can significantly damage the competitive advantage in the market. </w:t>
      </w:r>
    </w:p>
    <w:p>
      <w:pPr>
        <w:pStyle w:val="3"/>
      </w:pPr>
      <w:bookmarkStart w:id="7" w:name="_Toc128338779"/>
      <w:r>
        <w:t>SWOT analysis</w:t>
      </w:r>
      <w:bookmarkEnd w:id="7"/>
      <w:r>
        <w:t xml:space="preserve"> </w:t>
      </w:r>
    </w:p>
    <w:p>
      <w:r>
        <w:t>Another widely used tool for internal environment analysis is SWOT which evaluates internal strengths and weaknesses along with external opportunities and threats. Here, a SWOT analysis is conducted for Pharmacy2U:</w:t>
      </w:r>
    </w:p>
    <w:tbl>
      <w:tblPr>
        <w:tblStyle w:val="21"/>
        <w:tblW w:w="0" w:type="auto"/>
        <w:tblInd w:w="0" w:type="dxa"/>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Layout w:type="autofit"/>
        <w:tblCellMar>
          <w:top w:w="0" w:type="dxa"/>
          <w:left w:w="108" w:type="dxa"/>
          <w:bottom w:w="0" w:type="dxa"/>
          <w:right w:w="108" w:type="dxa"/>
        </w:tblCellMar>
      </w:tblPr>
      <w:tblGrid>
        <w:gridCol w:w="4788"/>
        <w:gridCol w:w="4788"/>
      </w:tblGrid>
      <w:tr>
        <w:tc>
          <w:tcPr>
            <w:tcW w:w="4788" w:type="dxa"/>
            <w:tcBorders>
              <w:top w:val="single" w:color="70AD47" w:themeColor="accent6" w:sz="8" w:space="0"/>
              <w:left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Strengths </w:t>
            </w:r>
          </w:p>
        </w:tc>
        <w:tc>
          <w:tcPr>
            <w:tcW w:w="4788"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Weaknesses  </w:t>
            </w:r>
          </w:p>
        </w:tc>
      </w:tr>
      <w:tr>
        <w:tc>
          <w:tcPr>
            <w:tcW w:w="4788"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b w:val="0"/>
                <w:bCs/>
                <w:sz w:val="24"/>
              </w:rPr>
            </w:pPr>
            <w:r>
              <w:rPr>
                <w:b w:val="0"/>
                <w:bCs/>
                <w:sz w:val="24"/>
              </w:rPr>
              <w:t>Strong financial base with more than £174.5 million in revenue</w:t>
            </w:r>
          </w:p>
          <w:p>
            <w:pPr>
              <w:pStyle w:val="29"/>
              <w:rPr>
                <w:b w:val="0"/>
                <w:bCs/>
                <w:sz w:val="24"/>
              </w:rPr>
            </w:pPr>
            <w:r>
              <w:rPr>
                <w:b w:val="0"/>
                <w:bCs/>
                <w:sz w:val="24"/>
              </w:rPr>
              <w:t>A large number of loyal customers in the market</w:t>
            </w:r>
          </w:p>
          <w:p>
            <w:pPr>
              <w:pStyle w:val="29"/>
              <w:rPr>
                <w:b w:val="0"/>
                <w:bCs/>
                <w:sz w:val="24"/>
              </w:rPr>
            </w:pPr>
            <w:r>
              <w:rPr>
                <w:b w:val="0"/>
                <w:bCs/>
                <w:sz w:val="24"/>
              </w:rPr>
              <w:t>Wide access to nominated EPS patients (350,000)</w:t>
            </w:r>
          </w:p>
          <w:p>
            <w:pPr>
              <w:pStyle w:val="29"/>
              <w:rPr>
                <w:b w:val="0"/>
                <w:bCs w:val="0"/>
                <w:sz w:val="24"/>
              </w:rPr>
            </w:pPr>
            <w:r>
              <w:rPr>
                <w:b w:val="0"/>
                <w:bCs/>
                <w:sz w:val="24"/>
              </w:rPr>
              <w:t xml:space="preserve">Capable workforce with skilled, trained and professional employees </w:t>
            </w:r>
          </w:p>
          <w:p>
            <w:pPr>
              <w:pStyle w:val="29"/>
              <w:rPr>
                <w:b/>
                <w:bCs/>
                <w:sz w:val="24"/>
              </w:rPr>
            </w:pPr>
            <w:r>
              <w:rPr>
                <w:b w:val="0"/>
                <w:bCs/>
                <w:sz w:val="24"/>
              </w:rPr>
              <w:t>Strong brand image in the market with a first-entry competitive edge</w:t>
            </w:r>
            <w:r>
              <w:rPr>
                <w:b/>
                <w:bCs/>
                <w:sz w:val="24"/>
              </w:rPr>
              <w:t xml:space="preserve"> </w:t>
            </w:r>
          </w:p>
        </w:tc>
        <w:tc>
          <w:tcPr>
            <w:tcW w:w="478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sz w:val="24"/>
              </w:rPr>
            </w:pPr>
            <w:r>
              <w:rPr>
                <w:sz w:val="24"/>
              </w:rPr>
              <w:t xml:space="preserve">Higher cost of business operation due to additional expense </w:t>
            </w:r>
          </w:p>
          <w:p>
            <w:pPr>
              <w:pStyle w:val="29"/>
              <w:rPr>
                <w:sz w:val="24"/>
              </w:rPr>
            </w:pPr>
            <w:r>
              <w:rPr>
                <w:sz w:val="24"/>
              </w:rPr>
              <w:t xml:space="preserve">Low-profit margin because of higher spending on marketing and promotion </w:t>
            </w:r>
          </w:p>
          <w:p>
            <w:pPr>
              <w:pStyle w:val="29"/>
              <w:rPr>
                <w:sz w:val="24"/>
              </w:rPr>
            </w:pPr>
            <w:r>
              <w:rPr>
                <w:sz w:val="24"/>
              </w:rPr>
              <w:t>Limited alternatives available for the customers</w:t>
            </w:r>
          </w:p>
          <w:p>
            <w:pPr>
              <w:pStyle w:val="29"/>
              <w:rPr>
                <w:sz w:val="24"/>
              </w:rPr>
            </w:pPr>
            <w:r>
              <w:rPr>
                <w:sz w:val="24"/>
              </w:rPr>
              <w:t xml:space="preserve">Limited budget for R&amp;D activities </w:t>
            </w:r>
          </w:p>
          <w:p>
            <w:pPr>
              <w:spacing w:after="0"/>
              <w:rPr>
                <w:sz w:val="24"/>
              </w:rPr>
            </w:pPr>
          </w:p>
        </w:tc>
      </w:tr>
      <w:tr>
        <w:tc>
          <w:tcPr>
            <w:tcW w:w="4788"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bCs/>
                <w:sz w:val="24"/>
              </w:rPr>
            </w:pPr>
            <w:r>
              <w:rPr>
                <w:b/>
                <w:bCs/>
                <w:sz w:val="24"/>
              </w:rPr>
              <w:t xml:space="preserve">Opportunities </w:t>
            </w:r>
          </w:p>
        </w:tc>
        <w:tc>
          <w:tcPr>
            <w:tcW w:w="478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sz w:val="24"/>
              </w:rPr>
            </w:pPr>
            <w:r>
              <w:rPr>
                <w:b/>
                <w:sz w:val="24"/>
              </w:rPr>
              <w:t xml:space="preserve">Threats </w:t>
            </w:r>
          </w:p>
        </w:tc>
      </w:tr>
      <w:tr>
        <w:tc>
          <w:tcPr>
            <w:tcW w:w="4788"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b w:val="0"/>
                <w:bCs w:val="0"/>
                <w:sz w:val="24"/>
              </w:rPr>
            </w:pPr>
            <w:r>
              <w:rPr>
                <w:b w:val="0"/>
                <w:bCs w:val="0"/>
                <w:sz w:val="24"/>
              </w:rPr>
              <w:t>Higher demand for online pharmaceutical services in the UK with a 17% annual growth rate</w:t>
            </w:r>
          </w:p>
          <w:p>
            <w:pPr>
              <w:pStyle w:val="29"/>
              <w:rPr>
                <w:b w:val="0"/>
                <w:bCs w:val="0"/>
                <w:sz w:val="24"/>
              </w:rPr>
            </w:pPr>
            <w:r>
              <w:rPr>
                <w:b w:val="0"/>
                <w:bCs w:val="0"/>
                <w:sz w:val="24"/>
              </w:rPr>
              <w:t xml:space="preserve">Emerging markets across the globe for online pharmaceutical services </w:t>
            </w:r>
          </w:p>
          <w:p>
            <w:pPr>
              <w:pStyle w:val="29"/>
              <w:rPr>
                <w:b w:val="0"/>
                <w:bCs w:val="0"/>
                <w:sz w:val="24"/>
              </w:rPr>
            </w:pPr>
            <w:r>
              <w:rPr>
                <w:b w:val="0"/>
                <w:bCs w:val="0"/>
                <w:sz w:val="24"/>
              </w:rPr>
              <w:t>Advancement of technologies to introduce new products and services</w:t>
            </w:r>
          </w:p>
          <w:p>
            <w:pPr>
              <w:pStyle w:val="29"/>
              <w:rPr>
                <w:b/>
                <w:bCs w:val="0"/>
                <w:sz w:val="24"/>
              </w:rPr>
            </w:pPr>
            <w:r>
              <w:rPr>
                <w:b w:val="0"/>
                <w:bCs w:val="0"/>
                <w:sz w:val="24"/>
              </w:rPr>
              <w:t xml:space="preserve">Opportunity to get access to more customers through digital platforms </w:t>
            </w:r>
          </w:p>
        </w:tc>
        <w:tc>
          <w:tcPr>
            <w:tcW w:w="478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sz w:val="24"/>
              </w:rPr>
            </w:pPr>
            <w:r>
              <w:rPr>
                <w:sz w:val="24"/>
              </w:rPr>
              <w:t>Increasing competition within the online pharmaceutical service sector</w:t>
            </w:r>
          </w:p>
          <w:p>
            <w:pPr>
              <w:pStyle w:val="29"/>
              <w:rPr>
                <w:sz w:val="24"/>
              </w:rPr>
            </w:pPr>
            <w:r>
              <w:rPr>
                <w:sz w:val="24"/>
              </w:rPr>
              <w:t>Intense political conflict across the globe</w:t>
            </w:r>
          </w:p>
          <w:p>
            <w:pPr>
              <w:pStyle w:val="29"/>
              <w:rPr>
                <w:sz w:val="24"/>
              </w:rPr>
            </w:pPr>
            <w:r>
              <w:rPr>
                <w:sz w:val="24"/>
              </w:rPr>
              <w:t xml:space="preserve">Rapid changing customer preferences and demand </w:t>
            </w:r>
          </w:p>
          <w:p>
            <w:pPr>
              <w:pStyle w:val="29"/>
              <w:rPr>
                <w:sz w:val="24"/>
              </w:rPr>
            </w:pPr>
            <w:r>
              <w:rPr>
                <w:sz w:val="24"/>
              </w:rPr>
              <w:t xml:space="preserve">Short life-cycle of innovation because of empowered competitors </w:t>
            </w:r>
          </w:p>
        </w:tc>
      </w:tr>
    </w:tbl>
    <w:p>
      <w:pPr>
        <w:pStyle w:val="8"/>
        <w:jc w:val="center"/>
      </w:pP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4</w:t>
      </w:r>
      <w:r>
        <w:rPr>
          <w:b/>
          <w:color w:val="auto"/>
          <w:sz w:val="24"/>
        </w:rPr>
        <w:fldChar w:fldCharType="end"/>
      </w:r>
      <w:r>
        <w:rPr>
          <w:b/>
          <w:color w:val="auto"/>
          <w:sz w:val="24"/>
        </w:rPr>
        <w:t>: SWOT analysis</w:t>
      </w:r>
    </w:p>
    <w:p>
      <w:pPr>
        <w:pStyle w:val="8"/>
        <w:jc w:val="center"/>
        <w:rPr>
          <w:b/>
          <w:color w:val="auto"/>
          <w:sz w:val="24"/>
        </w:rPr>
      </w:pPr>
      <w:r>
        <w:rPr>
          <w:b/>
          <w:color w:val="auto"/>
          <w:sz w:val="24"/>
        </w:rPr>
        <w:t xml:space="preserve"> Source: Author</w:t>
      </w:r>
    </w:p>
    <w:p>
      <w:pPr>
        <w:spacing w:line="259" w:lineRule="auto"/>
        <w:jc w:val="left"/>
        <w:rPr>
          <w:b/>
          <w:color w:val="00B0F0"/>
          <w:sz w:val="28"/>
        </w:rPr>
      </w:pPr>
      <w:r>
        <w:br w:type="page"/>
      </w:r>
    </w:p>
    <w:p>
      <w:pPr>
        <w:pStyle w:val="2"/>
      </w:pPr>
      <w:bookmarkStart w:id="8" w:name="_Toc128338780"/>
      <w:r>
        <w:t>Strategic growth choices for Pharmacy2U</w:t>
      </w:r>
      <w:bookmarkEnd w:id="8"/>
      <w:r>
        <w:t xml:space="preserve">  </w:t>
      </w:r>
    </w:p>
    <w:p>
      <w:r>
        <w:t>Strategic growth choices are the critical pathways selected by the business organisation to drive as well as to design long-term growth options for the organisation (Serravalle et al., 2019). In this regard, strategic growth pathways work as the point of direction for the organisation. However, businesses must consider associated benefits, drawbacks, long-term sustainability and implementation capabilities of the organisation. Here, the two most popular frameworks, Porter's generic strategies and Ansoff's matrix, are used to identify available strategic choices for Pharmacy2U:</w:t>
      </w:r>
    </w:p>
    <w:p>
      <w:pPr>
        <w:pStyle w:val="3"/>
      </w:pPr>
      <w:bookmarkStart w:id="9" w:name="_Toc128338781"/>
      <w:r>
        <w:t>Porter's generic strategy</w:t>
      </w:r>
      <w:bookmarkEnd w:id="9"/>
      <w:r>
        <w:t xml:space="preserve"> </w:t>
      </w:r>
    </w:p>
    <w:p>
      <w:r>
        <w:t xml:space="preserve">Porter's generic strategy consists of different categories of defining the competitive advantage of the business organisation. Michael E. Porter developed these strategies in 1985. These strategies are discussed throughout the following part of this report. </w:t>
      </w:r>
    </w:p>
    <w:p>
      <w:pPr>
        <w:rPr>
          <w:b/>
        </w:rPr>
      </w:pPr>
      <w:r>
        <w:rPr>
          <w:b/>
        </w:rPr>
        <w:t xml:space="preserve">Cost leadership strategy </w:t>
      </w:r>
    </w:p>
    <w:p>
      <w:r>
        <w:t xml:space="preserve">Cost leadership is a business strategy where businesses want to reduce the overall cost of business operations in their production to provide products and services to the customers at a lower cost than all the existing competitors in the market (Bouncken et al., 2021). This strategy is based on offering the lowest price products and services to the market to beat the competition. However, businesses don't compromise the quality of their products and services. Pharmacy2U can follow a cost leadership strategy where it must ensure that it is capable of charging the lowest price within the pharmaceutical industry in the UK. In this regard, Pharmacy2U can focus on two different ways for achieving a cost leadership position within the competitive market. First of all, Pharmacy2U can increase organisational profit by eliminating business operational costs along with charging the industry average price of pharmaceutical products and services. Secondly, Pharmacy2U can increase its market share by charging a lower price than the competitors while making a certain profit on sales as it will reduce the cost of its products and services. To implement a cost-leadership strategy Pharmacy2U will need to ensure that it has effective access to capital for investing in technologies, efficient logistics and lower cost-based business operation capabilities. </w:t>
      </w:r>
    </w:p>
    <w:p>
      <w:pPr>
        <w:keepNext/>
        <w:jc w:val="center"/>
      </w:pPr>
      <w:r>
        <w:rPr>
          <w:lang w:val="en-US" w:eastAsia="zh-CN"/>
        </w:rPr>
        <w:drawing>
          <wp:inline distT="0" distB="0" distL="0" distR="0">
            <wp:extent cx="4543425" cy="2947035"/>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5"/>
                    <a:srcRect/>
                    <a:stretch>
                      <a:fillRect/>
                    </a:stretch>
                  </pic:blipFill>
                  <pic:spPr>
                    <a:xfrm>
                      <a:off x="0" y="0"/>
                      <a:ext cx="4543425" cy="2947651"/>
                    </a:xfrm>
                    <a:prstGeom prst="rect">
                      <a:avLst/>
                    </a:prstGeom>
                    <a:noFill/>
                    <a:ln w="9525">
                      <a:noFill/>
                      <a:miter lim="800000"/>
                      <a:headEnd/>
                      <a:tailEnd/>
                    </a:ln>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5</w:t>
      </w:r>
      <w:r>
        <w:rPr>
          <w:b/>
          <w:color w:val="auto"/>
          <w:sz w:val="24"/>
        </w:rPr>
        <w:fldChar w:fldCharType="end"/>
      </w:r>
      <w:r>
        <w:rPr>
          <w:b/>
          <w:color w:val="auto"/>
          <w:sz w:val="24"/>
        </w:rPr>
        <w:t xml:space="preserve">: Porter's generic strategy </w:t>
      </w:r>
    </w:p>
    <w:p>
      <w:pPr>
        <w:pStyle w:val="8"/>
        <w:jc w:val="center"/>
        <w:rPr>
          <w:b/>
          <w:color w:val="auto"/>
          <w:sz w:val="24"/>
        </w:rPr>
      </w:pPr>
      <w:r>
        <w:rPr>
          <w:b/>
          <w:color w:val="auto"/>
          <w:sz w:val="24"/>
        </w:rPr>
        <w:t>Source: (Anwar and Abdullah, 2021)</w:t>
      </w:r>
    </w:p>
    <w:p>
      <w:pPr>
        <w:rPr>
          <w:b/>
        </w:rPr>
      </w:pPr>
      <w:r>
        <w:rPr>
          <w:b/>
        </w:rPr>
        <w:t xml:space="preserve">Differentiation strategy </w:t>
      </w:r>
    </w:p>
    <w:p>
      <w:r>
        <w:t xml:space="preserve">Under the differentiation strategy of Porter's generic framework businesses focus on the development and introduction of unique products and services to the customers that have a significant difference from the competitor's offerings in terms of performance, features and quality. It can allow businesses to stand out in the market along with charging higher prices for unique products and services. However, product and service differentiation for a business organisation like Pharmacy2U is not an easy task where it must ensure some core competencies (Anwar and Abdullah, 2021). First of all, Pharmacy2U needs to ensure excellent research, development and innovation practices in terms of introducing unique offerings to the customers. In addition to this, it must have the capability of delivering high-quality pharmaceutical products and services to customers. Further, it must have effective marketing, sales and promotional programs for ensuring that the market is understanding the benefits of providing unique products and services. </w:t>
      </w:r>
    </w:p>
    <w:p>
      <w:pPr>
        <w:rPr>
          <w:b/>
        </w:rPr>
      </w:pPr>
      <w:r>
        <w:rPr>
          <w:b/>
        </w:rPr>
        <w:t>Focus strategy</w:t>
      </w:r>
    </w:p>
    <w:p>
      <w:r>
        <w:t xml:space="preserve">This strategy deals with targeting a specific market niche or market segment with particular products and services. In this regard, there are two strategic options Pharmacy2U can follow to implement a focus leadership strategy. And these are cost focus and a different focus. Under cost focus, Pharmacy2U will need to attract customers based on the price of the offerings. It can serve a specific market by charging a lower price than the competitors (Fuertes et al., 2020). On the other hand, it can introduce specific products for a specific market instead of going for the whole market. In this case, it must provide unique features and remarkable differences from the offerings that the competitors in the market. </w:t>
      </w:r>
    </w:p>
    <w:p>
      <w:pPr>
        <w:pStyle w:val="3"/>
      </w:pPr>
      <w:bookmarkStart w:id="10" w:name="_Toc128338782"/>
      <w:r>
        <w:t>Ansoff's growth matrix</w:t>
      </w:r>
      <w:bookmarkEnd w:id="10"/>
      <w:r>
        <w:t xml:space="preserve"> </w:t>
      </w:r>
    </w:p>
    <w:p>
      <w:r>
        <w:t>H. Igor Ansoff developed this matrix and was first published in 1957 in the Harvard Business Review. Under this matrix, Igor suggested four different options for the strategic diversification of businesses. These are discussed here from the perspective of the strategic growth choices of Pharmacy2U:</w:t>
      </w:r>
    </w:p>
    <w:p>
      <w:pPr>
        <w:rPr>
          <w:b/>
        </w:rPr>
      </w:pPr>
      <w:r>
        <w:rPr>
          <w:b/>
        </w:rPr>
        <w:t>Market penetration strategy</w:t>
      </w:r>
    </w:p>
    <w:p>
      <w:r>
        <w:t xml:space="preserve">Market penetration is the first strategic growth option for Pharmacy2U under Ansoff's growth matrix (Graydon, 2019). This strategic option is also considered the safest of the four different options of this matrix as it focuses on selling existing products and services of the organisation to the existing market. In this regard, Pharmacy2U can implementthis strategy by increasing sales volume in its existing market area. </w:t>
      </w:r>
    </w:p>
    <w:p>
      <w:pPr>
        <w:keepNext/>
        <w:jc w:val="center"/>
      </w:pPr>
      <w:r>
        <w:rPr>
          <w:lang w:val="en-US" w:eastAsia="zh-CN"/>
        </w:rPr>
        <w:drawing>
          <wp:inline distT="0" distB="0" distL="0" distR="0">
            <wp:extent cx="4391025" cy="2562225"/>
            <wp:effectExtent l="19050" t="0" r="9525" b="0"/>
            <wp:docPr id="4" name="Picture 1" descr="Ansoff Matrix Model: Explanation, Advantages, and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nsoff Matrix Model: Explanation, Advantages, and Disadvantages"/>
                    <pic:cNvPicPr>
                      <a:picLocks noChangeAspect="1" noChangeArrowheads="1"/>
                    </pic:cNvPicPr>
                  </pic:nvPicPr>
                  <pic:blipFill>
                    <a:blip r:embed="rId16"/>
                    <a:srcRect/>
                    <a:stretch>
                      <a:fillRect/>
                    </a:stretch>
                  </pic:blipFill>
                  <pic:spPr>
                    <a:xfrm>
                      <a:off x="0" y="0"/>
                      <a:ext cx="4391025" cy="2562225"/>
                    </a:xfrm>
                    <a:prstGeom prst="rect">
                      <a:avLst/>
                    </a:prstGeom>
                    <a:noFill/>
                    <a:ln w="9525">
                      <a:noFill/>
                      <a:miter lim="800000"/>
                      <a:headEnd/>
                      <a:tailEnd/>
                    </a:ln>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6</w:t>
      </w:r>
      <w:r>
        <w:rPr>
          <w:b/>
          <w:color w:val="auto"/>
          <w:sz w:val="24"/>
        </w:rPr>
        <w:fldChar w:fldCharType="end"/>
      </w:r>
      <w:r>
        <w:rPr>
          <w:b/>
          <w:color w:val="auto"/>
          <w:sz w:val="24"/>
        </w:rPr>
        <w:t xml:space="preserve">: Ansoff's growth matrix </w:t>
      </w:r>
    </w:p>
    <w:p>
      <w:pPr>
        <w:pStyle w:val="8"/>
        <w:jc w:val="center"/>
        <w:rPr>
          <w:b/>
          <w:color w:val="auto"/>
          <w:sz w:val="24"/>
        </w:rPr>
      </w:pPr>
      <w:r>
        <w:rPr>
          <w:b/>
          <w:color w:val="auto"/>
          <w:sz w:val="24"/>
        </w:rPr>
        <w:t>Source: (Graydon, 2019)</w:t>
      </w:r>
    </w:p>
    <w:p>
      <w:pPr>
        <w:rPr>
          <w:b/>
        </w:rPr>
      </w:pPr>
      <w:r>
        <w:rPr>
          <w:b/>
        </w:rPr>
        <w:t>Market development</w:t>
      </w:r>
    </w:p>
    <w:p>
      <w:r>
        <w:t>The second strategic growth option for Pharmacy2U is market development where an organisation like Pharmacy2U focuses on expanding the existing markets into new areas. In this regard, Pharmacy2U can sell its existing products and services to the new market space for increasing sales as well as for creating a new customer base for the organisation (Johnson, 2019). Further, Pharmacy2U can consider new use for its existing products and services to ensure the sustainability of the market development strategy.</w:t>
      </w:r>
    </w:p>
    <w:p>
      <w:pPr>
        <w:rPr>
          <w:b/>
        </w:rPr>
      </w:pPr>
      <w:r>
        <w:rPr>
          <w:b/>
        </w:rPr>
        <w:t>Product development</w:t>
      </w:r>
    </w:p>
    <w:p>
      <w:r>
        <w:t xml:space="preserve">Under the product development strategic growth options business organisation introduces completely new products and services in its existing market. In this regard, a new product or service can be introduced under an existing product line or a new product line (Manners-Bell and Lyon, 2022). Product development strategy is riskier for an organisation like Pharmacy2U as it is uncertain whether the customers will accept the new offerings or not. </w:t>
      </w:r>
    </w:p>
    <w:p>
      <w:pPr>
        <w:rPr>
          <w:b/>
        </w:rPr>
      </w:pPr>
      <w:r>
        <w:rPr>
          <w:b/>
        </w:rPr>
        <w:t>Diversification strategy</w:t>
      </w:r>
    </w:p>
    <w:p>
      <w:r>
        <w:t xml:space="preserve">Diversification is the fourth strategic growth option available for Pharmacy2U where it needs to introduce new products and services in new market areas (Mcintyre, 2021). It is considered the riskiest strategic growth option for a business organisation like Pharmacy2U. The success of this growth option can open new opportunities for Pharmacy2U where the failure of the strategy can bring devastating outcomes within the organisational context. </w:t>
      </w:r>
    </w:p>
    <w:p>
      <w:pPr>
        <w:pStyle w:val="3"/>
      </w:pPr>
      <w:bookmarkStart w:id="11" w:name="_Toc128338783"/>
      <w:r>
        <w:t>Proposed strategy and its future sustainability</w:t>
      </w:r>
      <w:bookmarkEnd w:id="11"/>
      <w:r>
        <w:t xml:space="preserve"> </w:t>
      </w:r>
    </w:p>
    <w:p>
      <w:r>
        <w:t xml:space="preserve">Throughout the above strategic growth options analysis, it has been identified that Pharmacy2U can follow different strategic growth pathways. However, the selection of the strategic pathways of Pharmacy2U will be based on its internal and external environmental forces analysis (Prieto-Merino et al., 2021). By considering these aspects cost leadership strategy of Porter's generic framework is considered the most effective growth option for Pharmacy2U. It has been identified that customers of Pharmacy2U mostly value lower costs of products and services in terms of purchasing pharmaceutical productson digital platforms. In addition to this, Pharmacy2U has efficient logistics that will help to reduce the cost of products and services. In addition to this, it will enable Pharmacy2U to capture a large volume of market share along with higher sales and in this regard, higher sales will ensure higher profit for this organisation. This strategic growth option is also considered sustainable for Pharmacy2U as it is highly difficult for the competitors to imitate this leadership strategy (Saleh, H.A. and Derbali, 2020). Further, from Ansoff's growth matrix it has been identified that the market development strategy will provide long-term benefits to Pharmacy2U. As existing products and services of Pharmacy2U are highly accepted by the customers in its existing market, it is expected that customers of new markets with similar characteristics will also accept these products and services of Pharmacy2U. In addition to this, the risk of implementing this strategy is low for Pharmacy2U. </w:t>
      </w:r>
    </w:p>
    <w:p>
      <w:pPr>
        <w:spacing w:line="259" w:lineRule="auto"/>
        <w:jc w:val="left"/>
        <w:rPr>
          <w:b/>
          <w:color w:val="00B0F0"/>
          <w:sz w:val="28"/>
        </w:rPr>
      </w:pPr>
      <w:r>
        <w:br w:type="page"/>
      </w:r>
    </w:p>
    <w:p>
      <w:pPr>
        <w:pStyle w:val="2"/>
      </w:pPr>
      <w:bookmarkStart w:id="12" w:name="_Toc128338784"/>
      <w:r>
        <w:t>Stakeholder analysis</w:t>
      </w:r>
      <w:bookmarkEnd w:id="12"/>
      <w:r>
        <w:t xml:space="preserve">  </w:t>
      </w:r>
    </w:p>
    <w:p>
      <w:r>
        <w:t>Stakeholder holder analysis is a strategic process of identifying the key stakeholders of a project before beginning the project. Stakeholder analysis aims to understand the influence, interest, relative power and expectation of the different stakeholders. Different stakeholders can influence the success of the above strategic growth directions of Pharmacy2U. Some of the key stakeholders that can influence the success of the strategic growth options of Pharmacy2U are our customers, R&amp;D professionals, investors, operational managers, regulatory authority and logistic managers (Saleh, H.A. and Derbali, 2020). Their expectations, relative power and influence on the success of strategic options of Pharmacy2U are analysed in the following table:</w:t>
      </w:r>
    </w:p>
    <w:tbl>
      <w:tblPr>
        <w:tblStyle w:val="21"/>
        <w:tblW w:w="9847" w:type="dxa"/>
        <w:tblInd w:w="0" w:type="dxa"/>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Layout w:type="autofit"/>
        <w:tblCellMar>
          <w:top w:w="0" w:type="dxa"/>
          <w:left w:w="108" w:type="dxa"/>
          <w:bottom w:w="0" w:type="dxa"/>
          <w:right w:w="108" w:type="dxa"/>
        </w:tblCellMar>
      </w:tblPr>
      <w:tblGrid>
        <w:gridCol w:w="759"/>
        <w:gridCol w:w="1594"/>
        <w:gridCol w:w="1368"/>
        <w:gridCol w:w="2961"/>
        <w:gridCol w:w="3165"/>
      </w:tblGrid>
      <w:tr>
        <w:trPr>
          <w:trHeight w:val="144" w:hRule="atLeast"/>
        </w:trPr>
        <w:tc>
          <w:tcPr>
            <w:tcW w:w="759" w:type="dxa"/>
            <w:tcBorders>
              <w:top w:val="single" w:color="70AD47" w:themeColor="accent6" w:sz="8" w:space="0"/>
              <w:left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SL NO. </w:t>
            </w:r>
          </w:p>
        </w:tc>
        <w:tc>
          <w:tcPr>
            <w:tcW w:w="1594"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Stakeholders </w:t>
            </w:r>
          </w:p>
        </w:tc>
        <w:tc>
          <w:tcPr>
            <w:tcW w:w="1368"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Relative power </w:t>
            </w:r>
          </w:p>
        </w:tc>
        <w:tc>
          <w:tcPr>
            <w:tcW w:w="2961"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Expectations </w:t>
            </w:r>
          </w:p>
        </w:tc>
        <w:tc>
          <w:tcPr>
            <w:tcW w:w="3165"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Influence </w:t>
            </w:r>
          </w:p>
        </w:tc>
      </w:tr>
      <w:tr>
        <w:trPr>
          <w:trHeight w:val="144"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b/>
                <w:bCs/>
                <w:sz w:val="24"/>
              </w:rPr>
            </w:pPr>
            <w:r>
              <w:rPr>
                <w:b/>
                <w:bCs/>
                <w:sz w:val="24"/>
              </w:rPr>
              <w:t>1</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Customers </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High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Customers of Pharmacy2U expect products and services with higher quality as well as at a lower cost than the competitors. They also want to build a strong trusted relationship with Pharmacy2U.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Customers can shape the success of the strategic growth options of Pharmacy2U as sales, revenue and long-term sustainability of these strategies depend on Pharmacy2U. </w:t>
            </w:r>
          </w:p>
        </w:tc>
      </w:tr>
      <w:tr>
        <w:trPr>
          <w:trHeight w:val="144"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bCs/>
                <w:sz w:val="24"/>
              </w:rPr>
            </w:pPr>
            <w:r>
              <w:rPr>
                <w:b/>
                <w:bCs/>
                <w:sz w:val="24"/>
              </w:rPr>
              <w:t>2</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R&amp;D professionals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Low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R&amp;D professionals want to introduce unique products and services to the customers where they expect a higher investment of Pharmacy2U in advanced technologies to facilitate their research and development activities.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The introduction of new products and services in the market can create a source of competitive advantage for Pharmacy2U that can further facilitate the success of the strategic growth of this organisation. </w:t>
            </w:r>
          </w:p>
        </w:tc>
      </w:tr>
      <w:tr>
        <w:trPr>
          <w:trHeight w:val="144"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b/>
                <w:bCs/>
                <w:sz w:val="24"/>
              </w:rPr>
            </w:pPr>
            <w:r>
              <w:rPr>
                <w:b/>
                <w:bCs/>
                <w:sz w:val="24"/>
              </w:rPr>
              <w:t>3</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Investors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High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Investors want to get positive feedback on their investment with a higher profit margin and higher ROI (Return on Investment).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They can influence the success of the strategic options by providing the required capital for the implementation of these strategic growth options of Pharmacy2U. </w:t>
            </w:r>
          </w:p>
        </w:tc>
      </w:tr>
      <w:tr>
        <w:trPr>
          <w:trHeight w:val="4553"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bCs/>
                <w:sz w:val="24"/>
              </w:rPr>
            </w:pPr>
            <w:r>
              <w:rPr>
                <w:b/>
                <w:bCs/>
                <w:sz w:val="24"/>
              </w:rPr>
              <w:t>4</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Operational managers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Medium</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They expect successful implementation of the strategic options by reducing operational costs for enabling Pharmacy2U to adapt to the cost leadership strategy. In addition to this, they may also expect to follow a lean production strategy to implement these strategies.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Operational managers have a significant influence on these options as they must reduce the cost of business operations to make Pharmacy2U the cost leader in the market. </w:t>
            </w:r>
          </w:p>
        </w:tc>
      </w:tr>
      <w:tr>
        <w:trPr>
          <w:trHeight w:val="3742"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b/>
                <w:bCs/>
                <w:sz w:val="24"/>
              </w:rPr>
            </w:pPr>
            <w:r>
              <w:rPr>
                <w:b/>
                <w:bCs/>
                <w:sz w:val="24"/>
              </w:rPr>
              <w:t>5</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Logistic managers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High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Logistic managers may expect to build an efficient logistic supply chain for reducing the cost of products and services of Pharmacy2U. They may also want to find an alternative logistic chain for Pharmacy2U.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keepNext/>
              <w:spacing w:after="0"/>
              <w:rPr>
                <w:sz w:val="24"/>
              </w:rPr>
            </w:pPr>
            <w:r>
              <w:rPr>
                <w:sz w:val="24"/>
              </w:rPr>
              <w:t xml:space="preserve">Implementation of the cost leadership strategy will be significantly influenced by the logistic managers of Pharmacy2U as the cost of products and services will depend on the efficient logistic performance of this organisation. </w:t>
            </w:r>
          </w:p>
        </w:tc>
      </w:tr>
    </w:tbl>
    <w:p>
      <w:pPr>
        <w:pStyle w:val="8"/>
        <w:jc w:val="center"/>
      </w:pP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7</w:t>
      </w:r>
      <w:r>
        <w:rPr>
          <w:b/>
          <w:color w:val="auto"/>
          <w:sz w:val="24"/>
        </w:rPr>
        <w:fldChar w:fldCharType="end"/>
      </w:r>
      <w:r>
        <w:rPr>
          <w:b/>
          <w:color w:val="auto"/>
          <w:sz w:val="24"/>
        </w:rPr>
        <w:t xml:space="preserve">: Stakeholder analysis </w:t>
      </w:r>
    </w:p>
    <w:p>
      <w:pPr>
        <w:pStyle w:val="8"/>
        <w:jc w:val="center"/>
        <w:rPr>
          <w:b/>
          <w:color w:val="auto"/>
          <w:sz w:val="24"/>
        </w:rPr>
      </w:pPr>
      <w:r>
        <w:rPr>
          <w:b/>
          <w:color w:val="auto"/>
          <w:sz w:val="24"/>
        </w:rPr>
        <w:t>Source: Author</w:t>
      </w:r>
    </w:p>
    <w:p>
      <w:pPr>
        <w:pStyle w:val="2"/>
      </w:pPr>
      <w:bookmarkStart w:id="13" w:name="_Toc128338785"/>
      <w:r>
        <w:t>Strategic recommendations for the future development of Pharmacy2U</w:t>
      </w:r>
      <w:bookmarkEnd w:id="13"/>
      <w:r>
        <w:t xml:space="preserve">  </w:t>
      </w:r>
    </w:p>
    <w:p>
      <w:r>
        <w:t>Pharmacy2U will face some key challenges in terms of the implementation of the above-mentioned strategies. Here, some applicable recommendations are demonstrated for Pharmacy2U to provide clear pathways for the future development of this organisation:</w:t>
      </w:r>
    </w:p>
    <w:p>
      <w:pPr>
        <w:rPr>
          <w:b/>
        </w:rPr>
      </w:pPr>
      <w:r>
        <w:rPr>
          <w:b/>
        </w:rPr>
        <w:t xml:space="preserve">Adaptation to leanbusiness operation approach </w:t>
      </w:r>
    </w:p>
    <w:p>
      <w:r>
        <w:t xml:space="preserve">The lean business operation approach is based on the concept of maximising the value of the products and services of the organisation while minimising waste of the organisation. From the above analysis, it has been identified that cost leadership is to most suitable strategic growth option for Pharmacy2U. In this regard, it has become imperative for this organisation to reduce waste of the organisation which will further help to reduce the cost of its products and services (Deschamps and Durst, 2020). In addition to this, a lean business operation approach will enable Pharmacy2U to reduce the price of its products and services in the long term. </w:t>
      </w:r>
    </w:p>
    <w:p>
      <w:pPr>
        <w:rPr>
          <w:b/>
        </w:rPr>
      </w:pPr>
      <w:r>
        <w:rPr>
          <w:b/>
        </w:rPr>
        <w:t>Diversification of product line</w:t>
      </w:r>
    </w:p>
    <w:p>
      <w:r>
        <w:t xml:space="preserve">Diversification of the product line has become highly popular among businesses across the globe as it facilitates the sustainability of the organisation. However, Pharmacy2U is based on pharmaceutical products where competition is growing higher gradually. In this regard, it is recommended that Pharmacy2U diversify its product line to attract new customer segments along with new market areas (Pan et al., 2019). In addition to this, the long-term development of this organisation will also be facilitated by the implementation of product line diversification. </w:t>
      </w:r>
    </w:p>
    <w:p>
      <w:pPr>
        <w:rPr>
          <w:b/>
        </w:rPr>
      </w:pPr>
      <w:r>
        <w:rPr>
          <w:b/>
        </w:rPr>
        <w:t>Market expansion in emerging markets</w:t>
      </w:r>
    </w:p>
    <w:p>
      <w:r>
        <w:t xml:space="preserve">Emerging markets across the globe are showing promising opportunities for global business organisations. In addition to this, purchasing power of customers across the globe is increasing gradually (Chintalapati, 2020). Further, advanced communication technologies are enabling businesses to expand their market in the global arena. In this regard, it is recommended that Pharmacy2U expand its market space in foreign countries, particularly in emerging countries like India and China. It will also help Pharmacy2U to create a long-term sustainable market area with higher profit and sale opportunities. </w:t>
      </w:r>
    </w:p>
    <w:p/>
    <w:p>
      <w:pPr>
        <w:rPr>
          <w:b/>
        </w:rPr>
      </w:pPr>
      <w:r>
        <w:rPr>
          <w:b/>
        </w:rPr>
        <w:t xml:space="preserve">Improve efficiency in logistics </w:t>
      </w:r>
    </w:p>
    <w:p>
      <w:r>
        <w:t xml:space="preserve">One of the key tasks of businesses is to improve efficiency in their logistic activities for implementing a cost leadership strategy. Here, it has been identified that the logistic functions of Pharmacy2U are not highly effective which can hinder the implementation of the cost leadership approach (Bradshaw et al., 2019). In this case, it is recommended that Pharmacy2U improve efficiency in its logistic functions. Pharmacy2U can diversify its logistic supply chain to identify the most effective chains for collecting pharmaceutical products and services. </w:t>
      </w:r>
    </w:p>
    <w:p>
      <w:pPr>
        <w:rPr>
          <w:b/>
        </w:rPr>
      </w:pPr>
      <w:r>
        <w:rPr>
          <w:b/>
        </w:rPr>
        <w:t xml:space="preserve">Increase investment in R&amp;D activities </w:t>
      </w:r>
    </w:p>
    <w:p>
      <w:r>
        <w:t xml:space="preserve">Research and development practices have become highly imperative for modern businesses to introduce new products and services in the market. It has also become a source of competitive advantage for business organisations (Kumarasiri and Dissanayake, 2021). In this regard, Pharmacy2U needs to increase investment in its R&amp;D sector to introduce innovative products and services in the market. Higher investment in research and development can also help to identify new ways of delivering services to customers in existing as well as new markets. </w:t>
      </w:r>
    </w:p>
    <w:p>
      <w:pPr>
        <w:spacing w:line="259" w:lineRule="auto"/>
        <w:jc w:val="left"/>
        <w:rPr>
          <w:b/>
          <w:color w:val="00B0F0"/>
          <w:sz w:val="28"/>
        </w:rPr>
      </w:pPr>
      <w:r>
        <w:br w:type="page"/>
      </w:r>
    </w:p>
    <w:p>
      <w:pPr>
        <w:pStyle w:val="2"/>
      </w:pPr>
      <w:bookmarkStart w:id="14" w:name="_Toc128338786"/>
      <w:r>
        <w:t>Conclusion</w:t>
      </w:r>
      <w:bookmarkEnd w:id="14"/>
      <w:r>
        <w:t xml:space="preserve">  </w:t>
      </w:r>
    </w:p>
    <w:p>
      <w:r>
        <w:t xml:space="preserve">The long-term success of a business organisation like Pharmacy2U significantly depends on the effective implementation of strategic growth options. In this regard, businesses must consider their internal and external strengths to outline strategic growth options. Throughout this report, different aspects of strategic development along with their implementation are analysed and evaluated. It has been identified that macro factors, for example, Brexit and the ongoing war between Russia and Ukraine, higher inflation rate and acute competition in the pharmaceutical industryare adversely influencing the business operation of this organisation. On the other hand, strong legal policy, the higher purchasing power of customers and the advancement of technologies are positively influencing the business operation of Pharmacy2U. Findings of the strategic growth options analysis of Pharmacy2U indicate that the cost leadership strategy of Porter's generic framework is considered the most effective growth option for Pharmacy2U.Further, from Ansoff's growth matrix it has been identified that the market development strategy will provide long-term benefits to Pharmacy2U.Adaptation to a lean business operation approach, diversification of product line, market expansion in emerging markets, improve efficiency in logistics and increased investment in R&amp;D activities are the key recommendations for Pharmacy2U to direct the pathways of its future development. </w:t>
      </w:r>
    </w:p>
    <w:p/>
    <w:p/>
    <w:p/>
    <w:p/>
    <w:p>
      <w:pPr>
        <w:spacing w:line="259" w:lineRule="auto"/>
        <w:jc w:val="left"/>
        <w:rPr>
          <w:b/>
          <w:color w:val="00B0F0"/>
          <w:sz w:val="28"/>
        </w:rPr>
      </w:pPr>
      <w:r>
        <w:br w:type="page"/>
      </w:r>
    </w:p>
    <w:p>
      <w:pPr>
        <w:pStyle w:val="2"/>
      </w:pPr>
      <w:bookmarkStart w:id="15" w:name="_Toc128338787"/>
      <w:r>
        <w:t>References</w:t>
      </w:r>
      <w:bookmarkEnd w:id="15"/>
    </w:p>
    <w:p>
      <w:r>
        <w:t>Anwar, G. and Abdullah, N.N., 2021. The impact of Human resource management practice on Organizational performance. International journal of Engineering, Business and Management (IJEBM), 5.</w:t>
      </w:r>
    </w:p>
    <w:p>
      <w:r>
        <w:t>Bouncken, R.B., Kraus, S. and Roig-Tierno, N., 2021. Knowledge-and innovation-based business models for future growth: Digitalized business models and portfolio considerations. Review of Managerial Science, 15(1), pp.1-14.</w:t>
      </w:r>
    </w:p>
    <w:p>
      <w:r>
        <w:t>Bradshaw, C.D., Hemming, D., Baker, R., Everatt, M., Eyre, D. and Korycinska, A., 2019. A novel approach for exploring climatic factors limiting current pest distributions: A case study of Bemisiatabaci in north-west Europe and assessment of potential future establishment in the United Kingdom under climate change. PLoS One, 14(8), p.e0221057.</w:t>
      </w:r>
    </w:p>
    <w:p>
      <w:r>
        <w:t>Chintalapati, S., 2020. BankBuddy. ai—Business Expansion and Marketing Dilemma: A Case Study to Discuss the Ansoff Growth Matrix Concepts Combined with Business Expansion Strategies for Expanding into Emerging Markets. Emerging Economies Cases Journal, 2(1), pp.44-53.</w:t>
      </w:r>
    </w:p>
    <w:p>
      <w:r>
        <w:t>Clarissia, S.M.S., 2020. A study on Ansoff Matrix Technique: As a growth strategy and an adaptive learning technique adopted in the leading brand of products. BIMS Journal of Management, p.18.</w:t>
      </w:r>
    </w:p>
    <w:p>
      <w:r>
        <w:t>Deschamps, B. and Durst, S., 2020. A Research Framework for External Business Transfers of SMEs. In Business Transfers, Family Firms and Entrepreneurship (pp. 149-164). Routledge.</w:t>
      </w:r>
    </w:p>
    <w:p>
      <w:r>
        <w:t>Firoz Suleman, M., Rashidirad, M. and Firoz Suleman, S., 2019. The applicability of Porter's generic strategies in pure online firms: A case study approach. Strategic Change, 28(3), pp.167-176.</w:t>
      </w:r>
    </w:p>
    <w:p>
      <w:r>
        <w:t>Fuertes, G., Alfaro, M., Vargas, M., Gutierrez, S., Ternero, R. and Sabattin, J., 2020. Conceptual framework for the strategic management: a literature review—descriptive. Journal of Engineering, 2020, pp.1-21.</w:t>
      </w:r>
    </w:p>
    <w:p>
      <w:r>
        <w:t>Graydon, M.G., 2019. Manufacturing dissent: assessing the methods and impact of RT (Russia Today) (Doctoral dissertation, Massachusetts Institute of Technology).</w:t>
      </w:r>
    </w:p>
    <w:p>
      <w:r>
        <w:t>Johnson, D., 2019. A multiphase mixed-methods analysis of UK e-commerce privacy policies (Doctoral dissertation, Loughborough University).</w:t>
      </w:r>
    </w:p>
    <w:p>
      <w:r>
        <w:t>Kumarasiri, B. and Dissanayake, P., 2021. Barriers to implementing waste-to-energy projects in Sri Lanka: a PESTEL analysis. Built Environment Project and Asset Management, 11(4), pp.544-558.</w:t>
      </w:r>
    </w:p>
    <w:p>
      <w:r>
        <w:t>Manners-Bell, J. and Lyon, K., 2022. Logistics and Supply Chain Innovation: A Practical Guide to Disruptive Technologies and New Business Models. Kogan Page Publishers.</w:t>
      </w:r>
    </w:p>
    <w:p/>
    <w:p/>
    <w:p/>
    <w:p/>
    <w:p/>
    <w:p/>
    <w:p/>
    <w:p/>
    <w:p/>
    <w:sectPr>
      <w:pgSz w:w="12240" w:h="15840"/>
      <w:pgMar w:top="1440" w:right="1440" w:bottom="1440" w:left="1440" w:header="720" w:footer="720" w:gutter="0"/>
      <w:pgNumType w:start="1"/>
      <w:cols w:space="720" w:num="1"/>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w:altName w:val="苹方-简"/>
    <w:panose1 w:val="00000000000000000000"/>
    <w:charset w:val="86"/>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等线">
    <w:altName w:val="苹方-简"/>
    <w:panose1 w:val="00000000000000000000"/>
    <w:charset w:val="86"/>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7673047"/>
      <w:docPartObj>
        <w:docPartGallery w:val="autotext"/>
      </w:docPartObj>
    </w:sdtPr>
    <w:sdtContent>
      <w:p>
        <w:pPr>
          <w:pStyle w:val="12"/>
          <w:jc w:val="right"/>
        </w:pPr>
        <w:r>
          <w:fldChar w:fldCharType="begin"/>
        </w:r>
        <w:r>
          <w:instrText xml:space="preserve"> PAGE   \* MERGEFORMAT </w:instrText>
        </w:r>
        <w:r>
          <w:fldChar w:fldCharType="separate"/>
        </w:r>
        <w:r>
          <w:t>23</w:t>
        </w:r>
        <w:r>
          <w:fldChar w:fldCharType="end"/>
        </w:r>
      </w:p>
    </w:sdtContent>
  </w:sdt>
  <w:p>
    <w:pPr>
      <w:pStyle w:val="1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810F89"/>
    <w:multiLevelType w:val="multilevel"/>
    <w:tmpl w:val="3E810F89"/>
    <w:lvl w:ilvl="0" w:tentative="0">
      <w:start w:val="1"/>
      <w:numFmt w:val="bullet"/>
      <w:pStyle w:val="29"/>
      <w:lvlText w:val=""/>
      <w:lvlJc w:val="left"/>
      <w:pPr>
        <w:ind w:left="720" w:hanging="360"/>
      </w:pPr>
      <w:rPr>
        <w:rFonts w:hint="default" w:ascii="Symbol" w:hAnsi="Symbol"/>
        <w:color w:val="auto"/>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tDS3MDU0MzAxsDQ2M7dU0lEKTi0uzszPAykwrgUA17Dg8CwAAAA="/>
  </w:docVars>
  <w:rsids>
    <w:rsidRoot w:val="00D97D6B"/>
    <w:rsid w:val="000012CF"/>
    <w:rsid w:val="0001440B"/>
    <w:rsid w:val="00014C78"/>
    <w:rsid w:val="00015657"/>
    <w:rsid w:val="00021351"/>
    <w:rsid w:val="00021CFB"/>
    <w:rsid w:val="00022592"/>
    <w:rsid w:val="00032EFD"/>
    <w:rsid w:val="000378B6"/>
    <w:rsid w:val="000410C8"/>
    <w:rsid w:val="00044998"/>
    <w:rsid w:val="00044AB0"/>
    <w:rsid w:val="00050786"/>
    <w:rsid w:val="000527B0"/>
    <w:rsid w:val="0005699E"/>
    <w:rsid w:val="00056A1F"/>
    <w:rsid w:val="0006457C"/>
    <w:rsid w:val="00065DA5"/>
    <w:rsid w:val="00071B4B"/>
    <w:rsid w:val="00073C63"/>
    <w:rsid w:val="000772F0"/>
    <w:rsid w:val="00084DC2"/>
    <w:rsid w:val="00086620"/>
    <w:rsid w:val="000942DB"/>
    <w:rsid w:val="000959EF"/>
    <w:rsid w:val="00096A9C"/>
    <w:rsid w:val="000A093C"/>
    <w:rsid w:val="000A0E89"/>
    <w:rsid w:val="000A184F"/>
    <w:rsid w:val="000A72E0"/>
    <w:rsid w:val="000A7F4A"/>
    <w:rsid w:val="000B4102"/>
    <w:rsid w:val="000B62AE"/>
    <w:rsid w:val="000C0488"/>
    <w:rsid w:val="000C0DE1"/>
    <w:rsid w:val="000C5A6B"/>
    <w:rsid w:val="000C6D46"/>
    <w:rsid w:val="000D0776"/>
    <w:rsid w:val="000D1A33"/>
    <w:rsid w:val="000D2CDC"/>
    <w:rsid w:val="000D4032"/>
    <w:rsid w:val="000E0510"/>
    <w:rsid w:val="000E1501"/>
    <w:rsid w:val="000E1F1A"/>
    <w:rsid w:val="000E22FF"/>
    <w:rsid w:val="000E60A9"/>
    <w:rsid w:val="00102FCE"/>
    <w:rsid w:val="00103CF3"/>
    <w:rsid w:val="00103FA7"/>
    <w:rsid w:val="00111223"/>
    <w:rsid w:val="00113DEB"/>
    <w:rsid w:val="00115878"/>
    <w:rsid w:val="00115927"/>
    <w:rsid w:val="00120830"/>
    <w:rsid w:val="00121FB5"/>
    <w:rsid w:val="00124C1D"/>
    <w:rsid w:val="001311EE"/>
    <w:rsid w:val="0013197E"/>
    <w:rsid w:val="00132A1B"/>
    <w:rsid w:val="00162EA6"/>
    <w:rsid w:val="001637F0"/>
    <w:rsid w:val="001645DE"/>
    <w:rsid w:val="00165346"/>
    <w:rsid w:val="00180C43"/>
    <w:rsid w:val="00182E6C"/>
    <w:rsid w:val="001867C4"/>
    <w:rsid w:val="001908AC"/>
    <w:rsid w:val="00196FCE"/>
    <w:rsid w:val="001A2285"/>
    <w:rsid w:val="001A2840"/>
    <w:rsid w:val="001A692A"/>
    <w:rsid w:val="001A7922"/>
    <w:rsid w:val="001B0D2F"/>
    <w:rsid w:val="001B4468"/>
    <w:rsid w:val="001B785F"/>
    <w:rsid w:val="001C3598"/>
    <w:rsid w:val="001D12F2"/>
    <w:rsid w:val="001D704B"/>
    <w:rsid w:val="001E08BC"/>
    <w:rsid w:val="001E3DB2"/>
    <w:rsid w:val="001E404E"/>
    <w:rsid w:val="001F04F2"/>
    <w:rsid w:val="001F385A"/>
    <w:rsid w:val="001F47E0"/>
    <w:rsid w:val="001F5991"/>
    <w:rsid w:val="001F5C61"/>
    <w:rsid w:val="00202583"/>
    <w:rsid w:val="002037D6"/>
    <w:rsid w:val="00207E2D"/>
    <w:rsid w:val="00212E8C"/>
    <w:rsid w:val="002141FF"/>
    <w:rsid w:val="00214D7E"/>
    <w:rsid w:val="00216229"/>
    <w:rsid w:val="00233BF1"/>
    <w:rsid w:val="00240478"/>
    <w:rsid w:val="00242881"/>
    <w:rsid w:val="00256CB2"/>
    <w:rsid w:val="0025706F"/>
    <w:rsid w:val="00264605"/>
    <w:rsid w:val="00270EFE"/>
    <w:rsid w:val="002748A7"/>
    <w:rsid w:val="00277FC4"/>
    <w:rsid w:val="00290EB2"/>
    <w:rsid w:val="0029479E"/>
    <w:rsid w:val="00294BE8"/>
    <w:rsid w:val="00294F08"/>
    <w:rsid w:val="002A27C1"/>
    <w:rsid w:val="002A3A1B"/>
    <w:rsid w:val="002A642B"/>
    <w:rsid w:val="002B2834"/>
    <w:rsid w:val="002B342B"/>
    <w:rsid w:val="002B50CD"/>
    <w:rsid w:val="002B63C4"/>
    <w:rsid w:val="002C5625"/>
    <w:rsid w:val="002C65BB"/>
    <w:rsid w:val="002C6A93"/>
    <w:rsid w:val="002E21F6"/>
    <w:rsid w:val="002F1B27"/>
    <w:rsid w:val="002F2A69"/>
    <w:rsid w:val="002F527A"/>
    <w:rsid w:val="002F75A9"/>
    <w:rsid w:val="003033F3"/>
    <w:rsid w:val="003050B8"/>
    <w:rsid w:val="003055F8"/>
    <w:rsid w:val="00305EBB"/>
    <w:rsid w:val="00321185"/>
    <w:rsid w:val="00324A40"/>
    <w:rsid w:val="00335C2D"/>
    <w:rsid w:val="003367AD"/>
    <w:rsid w:val="00342452"/>
    <w:rsid w:val="00352C03"/>
    <w:rsid w:val="00354980"/>
    <w:rsid w:val="00355BBA"/>
    <w:rsid w:val="00355DA1"/>
    <w:rsid w:val="00355EB6"/>
    <w:rsid w:val="0036033E"/>
    <w:rsid w:val="00365001"/>
    <w:rsid w:val="00375052"/>
    <w:rsid w:val="0037527B"/>
    <w:rsid w:val="00376194"/>
    <w:rsid w:val="00385934"/>
    <w:rsid w:val="003908C1"/>
    <w:rsid w:val="003912C4"/>
    <w:rsid w:val="003A1053"/>
    <w:rsid w:val="003B10BC"/>
    <w:rsid w:val="003B17B9"/>
    <w:rsid w:val="003B7CC2"/>
    <w:rsid w:val="003C128A"/>
    <w:rsid w:val="003C2BD3"/>
    <w:rsid w:val="003C2F4B"/>
    <w:rsid w:val="003D19D7"/>
    <w:rsid w:val="003D237F"/>
    <w:rsid w:val="003D49A5"/>
    <w:rsid w:val="003E131A"/>
    <w:rsid w:val="003E20AC"/>
    <w:rsid w:val="003E4E81"/>
    <w:rsid w:val="003F127B"/>
    <w:rsid w:val="003F20BD"/>
    <w:rsid w:val="00403BFE"/>
    <w:rsid w:val="004232E9"/>
    <w:rsid w:val="004311A9"/>
    <w:rsid w:val="0043289B"/>
    <w:rsid w:val="004362A7"/>
    <w:rsid w:val="00446323"/>
    <w:rsid w:val="00447A52"/>
    <w:rsid w:val="00450684"/>
    <w:rsid w:val="00451B5B"/>
    <w:rsid w:val="0045750A"/>
    <w:rsid w:val="004670AB"/>
    <w:rsid w:val="00471AEC"/>
    <w:rsid w:val="00471C6A"/>
    <w:rsid w:val="00473AB6"/>
    <w:rsid w:val="004873EC"/>
    <w:rsid w:val="00490707"/>
    <w:rsid w:val="004A5716"/>
    <w:rsid w:val="004B62BF"/>
    <w:rsid w:val="004C192B"/>
    <w:rsid w:val="004D43E8"/>
    <w:rsid w:val="004D5228"/>
    <w:rsid w:val="004E0662"/>
    <w:rsid w:val="004E4C29"/>
    <w:rsid w:val="004E6083"/>
    <w:rsid w:val="004E78D8"/>
    <w:rsid w:val="004F3CF8"/>
    <w:rsid w:val="005070BA"/>
    <w:rsid w:val="005077A9"/>
    <w:rsid w:val="00517599"/>
    <w:rsid w:val="00520376"/>
    <w:rsid w:val="00520E40"/>
    <w:rsid w:val="0052132D"/>
    <w:rsid w:val="00521E6E"/>
    <w:rsid w:val="00525138"/>
    <w:rsid w:val="00535C83"/>
    <w:rsid w:val="00536514"/>
    <w:rsid w:val="00544671"/>
    <w:rsid w:val="00544C0B"/>
    <w:rsid w:val="0054792E"/>
    <w:rsid w:val="005520CE"/>
    <w:rsid w:val="00560CC9"/>
    <w:rsid w:val="005835FF"/>
    <w:rsid w:val="005927F5"/>
    <w:rsid w:val="00593BEC"/>
    <w:rsid w:val="005974F9"/>
    <w:rsid w:val="005C0AA3"/>
    <w:rsid w:val="005C1C58"/>
    <w:rsid w:val="005C57AD"/>
    <w:rsid w:val="005C69B7"/>
    <w:rsid w:val="005D3DE4"/>
    <w:rsid w:val="005E1852"/>
    <w:rsid w:val="005E365C"/>
    <w:rsid w:val="005E7C98"/>
    <w:rsid w:val="005F15D5"/>
    <w:rsid w:val="005F2FEE"/>
    <w:rsid w:val="005F4625"/>
    <w:rsid w:val="005F5A29"/>
    <w:rsid w:val="00601525"/>
    <w:rsid w:val="00616AD4"/>
    <w:rsid w:val="00630767"/>
    <w:rsid w:val="00631656"/>
    <w:rsid w:val="00634E62"/>
    <w:rsid w:val="006378AE"/>
    <w:rsid w:val="006507B5"/>
    <w:rsid w:val="0065570B"/>
    <w:rsid w:val="00657DC9"/>
    <w:rsid w:val="0066243F"/>
    <w:rsid w:val="006756F1"/>
    <w:rsid w:val="00676630"/>
    <w:rsid w:val="00684907"/>
    <w:rsid w:val="00684B83"/>
    <w:rsid w:val="00686CCF"/>
    <w:rsid w:val="00687B18"/>
    <w:rsid w:val="00691243"/>
    <w:rsid w:val="006924D5"/>
    <w:rsid w:val="006933B6"/>
    <w:rsid w:val="00693E2D"/>
    <w:rsid w:val="006952FB"/>
    <w:rsid w:val="006A7C0E"/>
    <w:rsid w:val="006B7876"/>
    <w:rsid w:val="006C202D"/>
    <w:rsid w:val="006C5462"/>
    <w:rsid w:val="006D0061"/>
    <w:rsid w:val="006D0431"/>
    <w:rsid w:val="006F06C2"/>
    <w:rsid w:val="006F08AC"/>
    <w:rsid w:val="006F105B"/>
    <w:rsid w:val="006F191D"/>
    <w:rsid w:val="006F3A4C"/>
    <w:rsid w:val="006F6A1A"/>
    <w:rsid w:val="00703BFE"/>
    <w:rsid w:val="0071257F"/>
    <w:rsid w:val="00723391"/>
    <w:rsid w:val="00740BBE"/>
    <w:rsid w:val="00741155"/>
    <w:rsid w:val="00741CE8"/>
    <w:rsid w:val="00751055"/>
    <w:rsid w:val="00764EB7"/>
    <w:rsid w:val="00766857"/>
    <w:rsid w:val="00767782"/>
    <w:rsid w:val="00767884"/>
    <w:rsid w:val="007707CA"/>
    <w:rsid w:val="00770EC0"/>
    <w:rsid w:val="00771753"/>
    <w:rsid w:val="0077630C"/>
    <w:rsid w:val="00781D85"/>
    <w:rsid w:val="007872EC"/>
    <w:rsid w:val="00792DDE"/>
    <w:rsid w:val="00794ACD"/>
    <w:rsid w:val="007964F2"/>
    <w:rsid w:val="007A6730"/>
    <w:rsid w:val="007B1071"/>
    <w:rsid w:val="007B6169"/>
    <w:rsid w:val="007C699D"/>
    <w:rsid w:val="007D2187"/>
    <w:rsid w:val="007E0D3F"/>
    <w:rsid w:val="007E12E5"/>
    <w:rsid w:val="007E3E17"/>
    <w:rsid w:val="007F19EF"/>
    <w:rsid w:val="00801494"/>
    <w:rsid w:val="00801943"/>
    <w:rsid w:val="00802AF4"/>
    <w:rsid w:val="00811858"/>
    <w:rsid w:val="00815D3F"/>
    <w:rsid w:val="0082358C"/>
    <w:rsid w:val="00824E47"/>
    <w:rsid w:val="00843E7C"/>
    <w:rsid w:val="0085155F"/>
    <w:rsid w:val="00851DAB"/>
    <w:rsid w:val="00853433"/>
    <w:rsid w:val="00856866"/>
    <w:rsid w:val="008604FF"/>
    <w:rsid w:val="00862313"/>
    <w:rsid w:val="00862C5A"/>
    <w:rsid w:val="00865279"/>
    <w:rsid w:val="0087191D"/>
    <w:rsid w:val="008725DD"/>
    <w:rsid w:val="00873039"/>
    <w:rsid w:val="00877D16"/>
    <w:rsid w:val="00891389"/>
    <w:rsid w:val="00893E2F"/>
    <w:rsid w:val="00894BAE"/>
    <w:rsid w:val="00897020"/>
    <w:rsid w:val="008A12C7"/>
    <w:rsid w:val="008A2B68"/>
    <w:rsid w:val="008B388B"/>
    <w:rsid w:val="008B6FF7"/>
    <w:rsid w:val="008C310B"/>
    <w:rsid w:val="008C341A"/>
    <w:rsid w:val="008D4782"/>
    <w:rsid w:val="008D538B"/>
    <w:rsid w:val="008D7D97"/>
    <w:rsid w:val="008D7EE8"/>
    <w:rsid w:val="008F0053"/>
    <w:rsid w:val="009026EC"/>
    <w:rsid w:val="00910EA9"/>
    <w:rsid w:val="00915104"/>
    <w:rsid w:val="00921420"/>
    <w:rsid w:val="00925FED"/>
    <w:rsid w:val="00933A28"/>
    <w:rsid w:val="00934BA7"/>
    <w:rsid w:val="00936325"/>
    <w:rsid w:val="00937B4A"/>
    <w:rsid w:val="00941550"/>
    <w:rsid w:val="00942EB9"/>
    <w:rsid w:val="00947D24"/>
    <w:rsid w:val="009615F3"/>
    <w:rsid w:val="0096191A"/>
    <w:rsid w:val="009621EF"/>
    <w:rsid w:val="009725D5"/>
    <w:rsid w:val="00982E10"/>
    <w:rsid w:val="00982FF0"/>
    <w:rsid w:val="009837AD"/>
    <w:rsid w:val="00987286"/>
    <w:rsid w:val="00987C7E"/>
    <w:rsid w:val="00996C84"/>
    <w:rsid w:val="009A485E"/>
    <w:rsid w:val="009D1208"/>
    <w:rsid w:val="009E27AC"/>
    <w:rsid w:val="009E3D9D"/>
    <w:rsid w:val="009F29C0"/>
    <w:rsid w:val="009F7874"/>
    <w:rsid w:val="009F7A88"/>
    <w:rsid w:val="00A00032"/>
    <w:rsid w:val="00A00624"/>
    <w:rsid w:val="00A023AA"/>
    <w:rsid w:val="00A02754"/>
    <w:rsid w:val="00A11C79"/>
    <w:rsid w:val="00A21B72"/>
    <w:rsid w:val="00A23670"/>
    <w:rsid w:val="00A23E62"/>
    <w:rsid w:val="00A246AA"/>
    <w:rsid w:val="00A26251"/>
    <w:rsid w:val="00A26379"/>
    <w:rsid w:val="00A30EE5"/>
    <w:rsid w:val="00A3652B"/>
    <w:rsid w:val="00A51144"/>
    <w:rsid w:val="00A51379"/>
    <w:rsid w:val="00A52BEA"/>
    <w:rsid w:val="00A544E3"/>
    <w:rsid w:val="00A56138"/>
    <w:rsid w:val="00A56251"/>
    <w:rsid w:val="00A606FD"/>
    <w:rsid w:val="00A61066"/>
    <w:rsid w:val="00A70154"/>
    <w:rsid w:val="00A73A9A"/>
    <w:rsid w:val="00A81947"/>
    <w:rsid w:val="00A90C1A"/>
    <w:rsid w:val="00A927D4"/>
    <w:rsid w:val="00A94C28"/>
    <w:rsid w:val="00AA1EE3"/>
    <w:rsid w:val="00AA1F15"/>
    <w:rsid w:val="00AA413A"/>
    <w:rsid w:val="00AA7A7D"/>
    <w:rsid w:val="00AB1468"/>
    <w:rsid w:val="00AB34B7"/>
    <w:rsid w:val="00AB52B5"/>
    <w:rsid w:val="00AB55F0"/>
    <w:rsid w:val="00AC1D9A"/>
    <w:rsid w:val="00AC362F"/>
    <w:rsid w:val="00AD1E3A"/>
    <w:rsid w:val="00AD44AF"/>
    <w:rsid w:val="00AD5315"/>
    <w:rsid w:val="00AE43A9"/>
    <w:rsid w:val="00AF0056"/>
    <w:rsid w:val="00AF512B"/>
    <w:rsid w:val="00B054DF"/>
    <w:rsid w:val="00B0590D"/>
    <w:rsid w:val="00B06BEC"/>
    <w:rsid w:val="00B1086F"/>
    <w:rsid w:val="00B41283"/>
    <w:rsid w:val="00B447C5"/>
    <w:rsid w:val="00B54905"/>
    <w:rsid w:val="00B636EB"/>
    <w:rsid w:val="00B81611"/>
    <w:rsid w:val="00B81880"/>
    <w:rsid w:val="00B87A61"/>
    <w:rsid w:val="00B9537B"/>
    <w:rsid w:val="00B96058"/>
    <w:rsid w:val="00BA2D25"/>
    <w:rsid w:val="00BA3C17"/>
    <w:rsid w:val="00BA6569"/>
    <w:rsid w:val="00BA68DE"/>
    <w:rsid w:val="00BB14B3"/>
    <w:rsid w:val="00BB16C7"/>
    <w:rsid w:val="00BB1AE8"/>
    <w:rsid w:val="00BB1D91"/>
    <w:rsid w:val="00BB3393"/>
    <w:rsid w:val="00BB38B9"/>
    <w:rsid w:val="00BB4452"/>
    <w:rsid w:val="00BC67BE"/>
    <w:rsid w:val="00BC6C9A"/>
    <w:rsid w:val="00BD1E16"/>
    <w:rsid w:val="00BF552E"/>
    <w:rsid w:val="00BF69E0"/>
    <w:rsid w:val="00C0140E"/>
    <w:rsid w:val="00C015C4"/>
    <w:rsid w:val="00C103DF"/>
    <w:rsid w:val="00C17536"/>
    <w:rsid w:val="00C2128A"/>
    <w:rsid w:val="00C23735"/>
    <w:rsid w:val="00C2653F"/>
    <w:rsid w:val="00C27002"/>
    <w:rsid w:val="00C33016"/>
    <w:rsid w:val="00C36026"/>
    <w:rsid w:val="00C3712D"/>
    <w:rsid w:val="00C4428D"/>
    <w:rsid w:val="00C44522"/>
    <w:rsid w:val="00C46C21"/>
    <w:rsid w:val="00C53C74"/>
    <w:rsid w:val="00C7189E"/>
    <w:rsid w:val="00C74F63"/>
    <w:rsid w:val="00C76F3A"/>
    <w:rsid w:val="00C772DC"/>
    <w:rsid w:val="00C8210C"/>
    <w:rsid w:val="00C85305"/>
    <w:rsid w:val="00C93B27"/>
    <w:rsid w:val="00CA31CA"/>
    <w:rsid w:val="00CA59C2"/>
    <w:rsid w:val="00CB436F"/>
    <w:rsid w:val="00CB5101"/>
    <w:rsid w:val="00CC384E"/>
    <w:rsid w:val="00CD35E1"/>
    <w:rsid w:val="00CD3F7A"/>
    <w:rsid w:val="00CE3B04"/>
    <w:rsid w:val="00CE5610"/>
    <w:rsid w:val="00CE72C0"/>
    <w:rsid w:val="00CF3274"/>
    <w:rsid w:val="00CF3DD6"/>
    <w:rsid w:val="00CF6404"/>
    <w:rsid w:val="00D00E87"/>
    <w:rsid w:val="00D0447D"/>
    <w:rsid w:val="00D04CC1"/>
    <w:rsid w:val="00D15853"/>
    <w:rsid w:val="00D22685"/>
    <w:rsid w:val="00D2528F"/>
    <w:rsid w:val="00D277A5"/>
    <w:rsid w:val="00D30DDB"/>
    <w:rsid w:val="00D35BB2"/>
    <w:rsid w:val="00D4155C"/>
    <w:rsid w:val="00D54A49"/>
    <w:rsid w:val="00D579EC"/>
    <w:rsid w:val="00D653EB"/>
    <w:rsid w:val="00D662B7"/>
    <w:rsid w:val="00D74EB9"/>
    <w:rsid w:val="00D75AD3"/>
    <w:rsid w:val="00D76FD9"/>
    <w:rsid w:val="00D77C79"/>
    <w:rsid w:val="00D81E11"/>
    <w:rsid w:val="00D81E78"/>
    <w:rsid w:val="00D84A3C"/>
    <w:rsid w:val="00D85635"/>
    <w:rsid w:val="00D86A33"/>
    <w:rsid w:val="00D938DA"/>
    <w:rsid w:val="00D93A92"/>
    <w:rsid w:val="00D97D6B"/>
    <w:rsid w:val="00DB0E72"/>
    <w:rsid w:val="00DB33E8"/>
    <w:rsid w:val="00DB79A0"/>
    <w:rsid w:val="00DC2B68"/>
    <w:rsid w:val="00DC589B"/>
    <w:rsid w:val="00DC5CB9"/>
    <w:rsid w:val="00DC6161"/>
    <w:rsid w:val="00DD431B"/>
    <w:rsid w:val="00DD7185"/>
    <w:rsid w:val="00DF05C9"/>
    <w:rsid w:val="00DF7ABE"/>
    <w:rsid w:val="00E020FF"/>
    <w:rsid w:val="00E025BA"/>
    <w:rsid w:val="00E043FE"/>
    <w:rsid w:val="00E1153E"/>
    <w:rsid w:val="00E24455"/>
    <w:rsid w:val="00E25CD8"/>
    <w:rsid w:val="00E26AAD"/>
    <w:rsid w:val="00E524C3"/>
    <w:rsid w:val="00E54A53"/>
    <w:rsid w:val="00E63ECD"/>
    <w:rsid w:val="00E66702"/>
    <w:rsid w:val="00E6677E"/>
    <w:rsid w:val="00E726FA"/>
    <w:rsid w:val="00E80640"/>
    <w:rsid w:val="00E81A74"/>
    <w:rsid w:val="00E90C2C"/>
    <w:rsid w:val="00EA690B"/>
    <w:rsid w:val="00EA761B"/>
    <w:rsid w:val="00EB415E"/>
    <w:rsid w:val="00EB623E"/>
    <w:rsid w:val="00EB6E46"/>
    <w:rsid w:val="00EC1D1D"/>
    <w:rsid w:val="00ED3F7D"/>
    <w:rsid w:val="00ED4751"/>
    <w:rsid w:val="00EE0CA4"/>
    <w:rsid w:val="00EE1C7E"/>
    <w:rsid w:val="00EE2D77"/>
    <w:rsid w:val="00EE4BD6"/>
    <w:rsid w:val="00EE5909"/>
    <w:rsid w:val="00EF1359"/>
    <w:rsid w:val="00EF16ED"/>
    <w:rsid w:val="00EF1B60"/>
    <w:rsid w:val="00F0258E"/>
    <w:rsid w:val="00F05C00"/>
    <w:rsid w:val="00F05E09"/>
    <w:rsid w:val="00F0664B"/>
    <w:rsid w:val="00F079EF"/>
    <w:rsid w:val="00F11298"/>
    <w:rsid w:val="00F137C8"/>
    <w:rsid w:val="00F17F4F"/>
    <w:rsid w:val="00F20D4B"/>
    <w:rsid w:val="00F20F16"/>
    <w:rsid w:val="00F21712"/>
    <w:rsid w:val="00F22EEB"/>
    <w:rsid w:val="00F24B26"/>
    <w:rsid w:val="00F26192"/>
    <w:rsid w:val="00F30122"/>
    <w:rsid w:val="00F30505"/>
    <w:rsid w:val="00F3083E"/>
    <w:rsid w:val="00F36F01"/>
    <w:rsid w:val="00F3780A"/>
    <w:rsid w:val="00F424A2"/>
    <w:rsid w:val="00F45589"/>
    <w:rsid w:val="00F51DB2"/>
    <w:rsid w:val="00F567FF"/>
    <w:rsid w:val="00F56D52"/>
    <w:rsid w:val="00F61911"/>
    <w:rsid w:val="00F71455"/>
    <w:rsid w:val="00F74566"/>
    <w:rsid w:val="00F75E4E"/>
    <w:rsid w:val="00F8077C"/>
    <w:rsid w:val="00F90BFA"/>
    <w:rsid w:val="00F92439"/>
    <w:rsid w:val="00F94BBA"/>
    <w:rsid w:val="00FA4068"/>
    <w:rsid w:val="00FB1950"/>
    <w:rsid w:val="00FB4D1E"/>
    <w:rsid w:val="00FD74CF"/>
    <w:rsid w:val="00FD7DBA"/>
    <w:rsid w:val="00FE1D2E"/>
    <w:rsid w:val="00FE3D43"/>
    <w:rsid w:val="00FE6CA9"/>
    <w:rsid w:val="00FF0217"/>
    <w:rsid w:val="00FF138F"/>
    <w:rsid w:val="00FF2D4B"/>
    <w:rsid w:val="00FF446D"/>
    <w:rsid w:val="379E0121"/>
    <w:rsid w:val="5C57E09F"/>
    <w:rsid w:val="6F6EF27E"/>
    <w:rsid w:val="79CA2EB4"/>
    <w:rsid w:val="7F7F6F13"/>
    <w:rsid w:val="BDE92022"/>
    <w:rsid w:val="FDED5824"/>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Calibri" w:cs="Calibri"/>
      <w:color w:val="000000"/>
      <w:sz w:val="24"/>
      <w:szCs w:val="22"/>
      <w:lang w:val="en-GB" w:eastAsia="en-GB" w:bidi="ar-SA"/>
    </w:rPr>
  </w:style>
  <w:style w:type="paragraph" w:styleId="2">
    <w:name w:val="heading 1"/>
    <w:next w:val="1"/>
    <w:link w:val="22"/>
    <w:qFormat/>
    <w:uiPriority w:val="9"/>
    <w:pPr>
      <w:keepNext/>
      <w:keepLines/>
      <w:spacing w:after="0" w:line="360" w:lineRule="auto"/>
      <w:outlineLvl w:val="0"/>
    </w:pPr>
    <w:rPr>
      <w:rFonts w:ascii="Times New Roman" w:hAnsi="Times New Roman" w:eastAsia="Calibri" w:cs="Calibri"/>
      <w:b/>
      <w:color w:val="00B0F0"/>
      <w:sz w:val="28"/>
      <w:szCs w:val="22"/>
      <w:lang w:val="en-GB" w:eastAsia="en-GB" w:bidi="ar-SA"/>
    </w:rPr>
  </w:style>
  <w:style w:type="paragraph" w:styleId="3">
    <w:name w:val="heading 2"/>
    <w:basedOn w:val="1"/>
    <w:next w:val="1"/>
    <w:link w:val="24"/>
    <w:unhideWhenUsed/>
    <w:qFormat/>
    <w:uiPriority w:val="9"/>
    <w:pPr>
      <w:keepNext/>
      <w:keepLines/>
      <w:spacing w:before="120" w:after="120"/>
      <w:outlineLvl w:val="1"/>
    </w:pPr>
    <w:rPr>
      <w:rFonts w:eastAsiaTheme="majorEastAsia" w:cstheme="majorBidi"/>
      <w:b/>
      <w:color w:val="auto"/>
      <w:sz w:val="26"/>
      <w:szCs w:val="26"/>
      <w:u w:val="single"/>
    </w:rPr>
  </w:style>
  <w:style w:type="paragraph" w:styleId="4">
    <w:name w:val="heading 3"/>
    <w:basedOn w:val="1"/>
    <w:next w:val="1"/>
    <w:link w:val="34"/>
    <w:unhideWhenUsed/>
    <w:qFormat/>
    <w:uiPriority w:val="9"/>
    <w:pPr>
      <w:keepNext/>
      <w:keepLines/>
      <w:spacing w:before="200" w:after="0"/>
      <w:outlineLvl w:val="2"/>
    </w:pPr>
    <w:rPr>
      <w:rFonts w:eastAsiaTheme="majorEastAsia" w:cstheme="majorBidi"/>
      <w:b/>
      <w:bCs/>
      <w:color w:val="203864" w:themeColor="accent1" w:themeShade="80"/>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33"/>
    <w:semiHidden/>
    <w:unhideWhenUsed/>
    <w:uiPriority w:val="99"/>
    <w:pPr>
      <w:spacing w:after="0" w:line="240" w:lineRule="auto"/>
    </w:pPr>
    <w:rPr>
      <w:rFonts w:ascii="Tahoma" w:hAnsi="Tahoma" w:cs="Tahoma"/>
      <w:sz w:val="16"/>
      <w:szCs w:val="16"/>
    </w:rPr>
  </w:style>
  <w:style w:type="paragraph" w:styleId="8">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9">
    <w:name w:val="annotation reference"/>
    <w:basedOn w:val="5"/>
    <w:semiHidden/>
    <w:unhideWhenUsed/>
    <w:uiPriority w:val="99"/>
    <w:rPr>
      <w:sz w:val="16"/>
      <w:szCs w:val="16"/>
    </w:rPr>
  </w:style>
  <w:style w:type="paragraph" w:styleId="10">
    <w:name w:val="annotation text"/>
    <w:basedOn w:val="1"/>
    <w:link w:val="25"/>
    <w:unhideWhenUsed/>
    <w:uiPriority w:val="99"/>
    <w:pPr>
      <w:spacing w:after="0" w:line="240" w:lineRule="auto"/>
    </w:pPr>
    <w:rPr>
      <w:rFonts w:eastAsia="Arial" w:cs="Arial"/>
      <w:color w:val="auto"/>
      <w:sz w:val="20"/>
      <w:szCs w:val="20"/>
      <w:lang w:val="en-US" w:eastAsia="en-US"/>
    </w:rPr>
  </w:style>
  <w:style w:type="paragraph" w:styleId="11">
    <w:name w:val="annotation subject"/>
    <w:basedOn w:val="10"/>
    <w:next w:val="10"/>
    <w:link w:val="31"/>
    <w:semiHidden/>
    <w:unhideWhenUsed/>
    <w:uiPriority w:val="99"/>
    <w:pPr>
      <w:spacing w:after="160"/>
    </w:pPr>
    <w:rPr>
      <w:rFonts w:eastAsia="Calibri" w:cs="Calibri"/>
      <w:b/>
      <w:bCs/>
      <w:color w:val="000000"/>
      <w:lang w:val="en-GB" w:eastAsia="en-GB"/>
    </w:rPr>
  </w:style>
  <w:style w:type="paragraph" w:styleId="12">
    <w:name w:val="footer"/>
    <w:basedOn w:val="1"/>
    <w:link w:val="36"/>
    <w:unhideWhenUsed/>
    <w:uiPriority w:val="99"/>
    <w:pPr>
      <w:tabs>
        <w:tab w:val="center" w:pos="4680"/>
        <w:tab w:val="right" w:pos="9360"/>
      </w:tabs>
      <w:spacing w:after="0" w:line="240" w:lineRule="auto"/>
    </w:pPr>
  </w:style>
  <w:style w:type="paragraph" w:styleId="13">
    <w:name w:val="header"/>
    <w:basedOn w:val="1"/>
    <w:link w:val="35"/>
    <w:semiHidden/>
    <w:unhideWhenUsed/>
    <w:uiPriority w:val="99"/>
    <w:pPr>
      <w:tabs>
        <w:tab w:val="center" w:pos="4680"/>
        <w:tab w:val="right" w:pos="9360"/>
      </w:tabs>
      <w:spacing w:after="0" w:line="240" w:lineRule="auto"/>
    </w:pPr>
  </w:style>
  <w:style w:type="character" w:styleId="14">
    <w:name w:val="Hyperlink"/>
    <w:basedOn w:val="5"/>
    <w:unhideWhenUsed/>
    <w:uiPriority w:val="99"/>
    <w:rPr>
      <w:color w:val="0000FF"/>
      <w:u w:val="single"/>
    </w:rPr>
  </w:style>
  <w:style w:type="paragraph" w:styleId="15">
    <w:name w:val="Normal (Web)"/>
    <w:basedOn w:val="1"/>
    <w:semiHidden/>
    <w:unhideWhenUsed/>
    <w:uiPriority w:val="99"/>
    <w:pPr>
      <w:spacing w:before="100" w:beforeAutospacing="1" w:after="100" w:afterAutospacing="1" w:line="240" w:lineRule="auto"/>
      <w:jc w:val="left"/>
    </w:pPr>
    <w:rPr>
      <w:rFonts w:eastAsia="Times New Roman" w:cs="Times New Roman"/>
      <w:color w:val="auto"/>
      <w:szCs w:val="24"/>
    </w:rPr>
  </w:style>
  <w:style w:type="table" w:styleId="16">
    <w:name w:val="Table Grid"/>
    <w:basedOn w:val="6"/>
    <w:uiPriority w:val="39"/>
    <w:pPr>
      <w:spacing w:line="360" w:lineRule="auto"/>
    </w:pPr>
    <w:rPr>
      <w:rFonts w:ascii="Times New Roman" w:hAnsi="Times New Roman" w:eastAsia="Times New Roman" w:cs="Times New Roman"/>
      <w:sz w:val="24"/>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7">
    <w:name w:val="table of figures"/>
    <w:basedOn w:val="1"/>
    <w:next w:val="1"/>
    <w:unhideWhenUsed/>
    <w:uiPriority w:val="99"/>
    <w:pPr>
      <w:spacing w:after="0"/>
    </w:pPr>
  </w:style>
  <w:style w:type="paragraph" w:styleId="18">
    <w:name w:val="toc 1"/>
    <w:basedOn w:val="1"/>
    <w:next w:val="1"/>
    <w:unhideWhenUsed/>
    <w:uiPriority w:val="39"/>
    <w:pPr>
      <w:tabs>
        <w:tab w:val="right" w:leader="dot" w:pos="9350"/>
      </w:tabs>
      <w:spacing w:after="100"/>
    </w:pPr>
    <w:rPr>
      <w:b/>
      <w:bCs/>
    </w:rPr>
  </w:style>
  <w:style w:type="paragraph" w:styleId="19">
    <w:name w:val="toc 2"/>
    <w:basedOn w:val="1"/>
    <w:next w:val="1"/>
    <w:unhideWhenUsed/>
    <w:uiPriority w:val="39"/>
    <w:pPr>
      <w:spacing w:after="100"/>
      <w:ind w:left="240"/>
    </w:pPr>
  </w:style>
  <w:style w:type="paragraph" w:styleId="20">
    <w:name w:val="toc 3"/>
    <w:basedOn w:val="1"/>
    <w:next w:val="1"/>
    <w:unhideWhenUsed/>
    <w:uiPriority w:val="39"/>
    <w:pPr>
      <w:spacing w:after="100"/>
      <w:ind w:left="480"/>
    </w:pPr>
  </w:style>
  <w:style w:type="table" w:styleId="21">
    <w:name w:val="Light Grid Accent 6"/>
    <w:basedOn w:val="6"/>
    <w:uiPriority w:val="62"/>
    <w:pPr>
      <w:spacing w:after="0" w:line="240" w:lineRule="auto"/>
    </w:pPr>
    <w:tblPr>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18" w:space="0"/>
          <w:right w:val="single" w:color="70AD47"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shd w:val="clear" w:color="auto" w:fill="DBEBD0" w:themeFill="accent6" w:themeFillTint="3F"/>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sz="8" w:space="0"/>
        </w:tcBorders>
        <w:shd w:val="clear" w:color="auto" w:fill="DBEBD0" w:themeFill="accent6" w:themeFillTint="3F"/>
      </w:tcPr>
    </w:tblStylePr>
    <w:tblStylePr w:type="band2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sz="8" w:space="0"/>
        </w:tcBorders>
      </w:tcPr>
    </w:tblStylePr>
  </w:style>
  <w:style w:type="character" w:customStyle="1" w:styleId="22">
    <w:name w:val="Heading 1 Char"/>
    <w:link w:val="2"/>
    <w:uiPriority w:val="9"/>
    <w:rPr>
      <w:rFonts w:ascii="Times New Roman" w:hAnsi="Times New Roman" w:eastAsia="Calibri" w:cs="Calibri"/>
      <w:b/>
      <w:color w:val="00B0F0"/>
      <w:sz w:val="28"/>
    </w:rPr>
  </w:style>
  <w:style w:type="table" w:customStyle="1" w:styleId="23">
    <w:name w:val="TableGrid"/>
    <w:uiPriority w:val="0"/>
    <w:pPr>
      <w:spacing w:after="0" w:line="240" w:lineRule="auto"/>
    </w:pPr>
    <w:tblPr>
      <w:tblCellMar>
        <w:top w:w="0" w:type="dxa"/>
        <w:left w:w="0" w:type="dxa"/>
        <w:bottom w:w="0" w:type="dxa"/>
        <w:right w:w="0" w:type="dxa"/>
      </w:tblCellMar>
    </w:tblPr>
  </w:style>
  <w:style w:type="character" w:customStyle="1" w:styleId="24">
    <w:name w:val="Heading 2 Char"/>
    <w:basedOn w:val="5"/>
    <w:link w:val="3"/>
    <w:uiPriority w:val="9"/>
    <w:rPr>
      <w:rFonts w:ascii="Times New Roman" w:hAnsi="Times New Roman" w:eastAsiaTheme="majorEastAsia" w:cstheme="majorBidi"/>
      <w:b/>
      <w:sz w:val="26"/>
      <w:szCs w:val="26"/>
      <w:u w:val="single"/>
    </w:rPr>
  </w:style>
  <w:style w:type="character" w:customStyle="1" w:styleId="25">
    <w:name w:val="Comment Text Char"/>
    <w:basedOn w:val="5"/>
    <w:link w:val="10"/>
    <w:uiPriority w:val="99"/>
    <w:rPr>
      <w:rFonts w:ascii="Arial" w:hAnsi="Arial" w:eastAsia="Arial" w:cs="Arial"/>
      <w:sz w:val="20"/>
      <w:szCs w:val="20"/>
      <w:lang w:val="en-US" w:eastAsia="en-US"/>
    </w:rPr>
  </w:style>
  <w:style w:type="character" w:customStyle="1" w:styleId="26">
    <w:name w:val="mw-headline"/>
    <w:basedOn w:val="5"/>
    <w:uiPriority w:val="0"/>
  </w:style>
  <w:style w:type="character" w:customStyle="1" w:styleId="27">
    <w:name w:val="mw-editsection"/>
    <w:basedOn w:val="5"/>
    <w:uiPriority w:val="0"/>
  </w:style>
  <w:style w:type="character" w:customStyle="1" w:styleId="28">
    <w:name w:val="mw-editsection-bracket"/>
    <w:basedOn w:val="5"/>
    <w:uiPriority w:val="0"/>
  </w:style>
  <w:style w:type="paragraph" w:styleId="29">
    <w:name w:val="List Paragraph"/>
    <w:basedOn w:val="1"/>
    <w:qFormat/>
    <w:uiPriority w:val="34"/>
    <w:pPr>
      <w:numPr>
        <w:ilvl w:val="0"/>
        <w:numId w:val="1"/>
      </w:numPr>
      <w:spacing w:after="0"/>
    </w:pPr>
    <w:rPr>
      <w:bCs/>
      <w:sz w:val="22"/>
    </w:rPr>
  </w:style>
  <w:style w:type="character" w:customStyle="1" w:styleId="30">
    <w:name w:val="hgkelc"/>
    <w:basedOn w:val="5"/>
    <w:uiPriority w:val="0"/>
  </w:style>
  <w:style w:type="character" w:customStyle="1" w:styleId="31">
    <w:name w:val="Comment Subject Char"/>
    <w:basedOn w:val="25"/>
    <w:link w:val="11"/>
    <w:semiHidden/>
    <w:uiPriority w:val="99"/>
    <w:rPr>
      <w:rFonts w:ascii="Arial" w:hAnsi="Arial" w:eastAsia="Calibri" w:cs="Calibri"/>
      <w:b/>
      <w:bCs/>
      <w:color w:val="000000"/>
      <w:sz w:val="20"/>
      <w:szCs w:val="20"/>
      <w:lang w:val="en-US" w:eastAsia="en-US"/>
    </w:rPr>
  </w:style>
  <w:style w:type="paragraph" w:customStyle="1" w:styleId="32">
    <w:name w:val="TOC Heading"/>
    <w:basedOn w:val="2"/>
    <w:next w:val="1"/>
    <w:unhideWhenUsed/>
    <w:qFormat/>
    <w:uiPriority w:val="39"/>
    <w:pPr>
      <w:spacing w:before="240"/>
      <w:jc w:val="center"/>
      <w:outlineLvl w:val="9"/>
    </w:pPr>
    <w:rPr>
      <w:rFonts w:eastAsiaTheme="majorEastAsia" w:cstheme="majorBidi"/>
      <w:szCs w:val="32"/>
      <w:lang w:val="en-US" w:eastAsia="en-US"/>
    </w:rPr>
  </w:style>
  <w:style w:type="character" w:customStyle="1" w:styleId="33">
    <w:name w:val="Balloon Text Char"/>
    <w:basedOn w:val="5"/>
    <w:link w:val="7"/>
    <w:semiHidden/>
    <w:uiPriority w:val="99"/>
    <w:rPr>
      <w:rFonts w:ascii="Tahoma" w:hAnsi="Tahoma" w:eastAsia="Calibri" w:cs="Tahoma"/>
      <w:color w:val="000000"/>
      <w:sz w:val="16"/>
      <w:szCs w:val="16"/>
    </w:rPr>
  </w:style>
  <w:style w:type="character" w:customStyle="1" w:styleId="34">
    <w:name w:val="Heading 3 Char"/>
    <w:basedOn w:val="5"/>
    <w:link w:val="4"/>
    <w:uiPriority w:val="9"/>
    <w:rPr>
      <w:rFonts w:ascii="Arial" w:hAnsi="Arial" w:eastAsiaTheme="majorEastAsia" w:cstheme="majorBidi"/>
      <w:b/>
      <w:bCs/>
      <w:color w:val="203864" w:themeColor="accent1" w:themeShade="80"/>
      <w:sz w:val="24"/>
    </w:rPr>
  </w:style>
  <w:style w:type="character" w:customStyle="1" w:styleId="35">
    <w:name w:val="Header Char"/>
    <w:basedOn w:val="5"/>
    <w:link w:val="13"/>
    <w:semiHidden/>
    <w:uiPriority w:val="99"/>
    <w:rPr>
      <w:rFonts w:ascii="Arial" w:hAnsi="Arial" w:eastAsia="Calibri" w:cs="Calibri"/>
      <w:color w:val="000000"/>
      <w:sz w:val="24"/>
    </w:rPr>
  </w:style>
  <w:style w:type="character" w:customStyle="1" w:styleId="36">
    <w:name w:val="Footer Char"/>
    <w:basedOn w:val="5"/>
    <w:link w:val="12"/>
    <w:uiPriority w:val="99"/>
    <w:rPr>
      <w:rFonts w:ascii="Arial" w:hAnsi="Arial" w:eastAsia="Calibri" w:cs="Calibri"/>
      <w:color w:val="000000"/>
      <w:sz w:val="24"/>
    </w:rPr>
  </w:style>
  <w:style w:type="character" w:customStyle="1" w:styleId="37">
    <w:name w:val="Subtle Emphasis"/>
    <w:basedOn w:val="5"/>
    <w:qFormat/>
    <w:uiPriority w:val="19"/>
    <w:rPr>
      <w:i/>
      <w:iCs/>
      <w:color w:val="404040" w:themeColor="text1" w:themeTint="BF"/>
      <w14:textFill>
        <w14:solidFill>
          <w14:schemeClr w14:val="tx1">
            <w14:lumMod w14:val="75000"/>
            <w14:lumOff w14:val="25000"/>
          </w14:schemeClr>
        </w14:solidFill>
      </w14:textFill>
    </w:rPr>
  </w:style>
  <w:style w:type="paragraph" w:styleId="38">
    <w:name w:val="Quote"/>
    <w:basedOn w:val="1"/>
    <w:next w:val="1"/>
    <w:link w:val="39"/>
    <w:qFormat/>
    <w:uiPriority w:val="29"/>
    <w:pPr>
      <w:spacing w:after="0"/>
      <w:ind w:right="864"/>
      <w:jc w:val="center"/>
    </w:pPr>
    <w:rPr>
      <w:i/>
      <w:iCs/>
      <w:color w:val="404040" w:themeColor="text1" w:themeTint="BF"/>
      <w14:textFill>
        <w14:solidFill>
          <w14:schemeClr w14:val="tx1">
            <w14:lumMod w14:val="75000"/>
            <w14:lumOff w14:val="25000"/>
          </w14:schemeClr>
        </w14:solidFill>
      </w14:textFill>
    </w:rPr>
  </w:style>
  <w:style w:type="character" w:customStyle="1" w:styleId="39">
    <w:name w:val="Quote Char"/>
    <w:basedOn w:val="5"/>
    <w:link w:val="38"/>
    <w:uiPriority w:val="29"/>
    <w:rPr>
      <w:rFonts w:ascii="Arial" w:hAnsi="Arial" w:eastAsia="Calibri" w:cs="Calibri"/>
      <w:i/>
      <w:iCs/>
      <w:color w:val="404040" w:themeColor="text1" w:themeTint="BF"/>
      <w:sz w:val="24"/>
      <w14:textFill>
        <w14:solidFill>
          <w14:schemeClr w14:val="tx1">
            <w14:lumMod w14:val="75000"/>
            <w14:lumOff w14:val="25000"/>
          </w14:schemeClr>
        </w14:solidFill>
      </w14:textFill>
    </w:rPr>
  </w:style>
  <w:style w:type="character" w:customStyle="1" w:styleId="40">
    <w:name w:val="kx21rb"/>
    <w:basedOn w:val="5"/>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5.jpeg"/><Relationship Id="rId15" Type="http://schemas.openxmlformats.org/officeDocument/2006/relationships/image" Target="media/image4.png"/><Relationship Id="rId14"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25</Pages>
  <Words>5624</Words>
  <Characters>32063</Characters>
  <Lines>267</Lines>
  <Paragraphs>75</Paragraphs>
  <TotalTime>240</TotalTime>
  <ScaleCrop>false</ScaleCrop>
  <LinksUpToDate>false</LinksUpToDate>
  <CharactersWithSpaces>37612</CharactersWithSpaces>
  <Application>WPS Office_5.0.0.7908_F1E327BC-269C-435d-A152-05C5408002CA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2022-06-16T22:35:00Z</dcterms:created>
  <dcterms:modified xsi:type="dcterms:W3CDTF">2023-04-15T14:57:33Z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1033-5.0.0.7908</vt:lpwstr>
  </property>
</Properties>
</file>