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674E9" w:rsidRDefault="009674E9" w:rsidP="009674E9">
      <w:pPr>
        <w:spacing w:line="360" w:lineRule="auto"/>
        <w:jc w:val="center"/>
        <w:rPr>
          <w:b/>
          <w:bCs/>
          <w:sz w:val="52"/>
          <w:szCs w:val="48"/>
        </w:rPr>
      </w:pPr>
      <w:bookmarkStart w:id="0" w:name="_GoBack"/>
      <w:bookmarkEnd w:id="0"/>
      <w:r w:rsidRPr="009674E9">
        <w:rPr>
          <w:b/>
          <w:bCs/>
          <w:sz w:val="52"/>
          <w:szCs w:val="48"/>
        </w:rPr>
        <w:t>The Walt Disney</w:t>
      </w:r>
    </w:p>
    <w:p w:rsidR="009674E9" w:rsidRDefault="009674E9" w:rsidP="009674E9">
      <w:pPr>
        <w:spacing w:line="360" w:lineRule="auto"/>
        <w:jc w:val="center"/>
        <w:rPr>
          <w:b/>
          <w:bCs/>
          <w:sz w:val="52"/>
          <w:szCs w:val="48"/>
        </w:rPr>
      </w:pPr>
    </w:p>
    <w:p w:rsidR="009674E9" w:rsidRDefault="009674E9" w:rsidP="009674E9">
      <w:pPr>
        <w:spacing w:line="360" w:lineRule="auto"/>
        <w:jc w:val="center"/>
        <w:rPr>
          <w:b/>
          <w:bCs/>
          <w:sz w:val="52"/>
          <w:szCs w:val="48"/>
        </w:rPr>
      </w:pPr>
    </w:p>
    <w:p w:rsidR="009674E9" w:rsidRDefault="009674E9" w:rsidP="009674E9">
      <w:pPr>
        <w:spacing w:line="360" w:lineRule="auto"/>
        <w:jc w:val="center"/>
        <w:rPr>
          <w:b/>
          <w:bCs/>
          <w:sz w:val="52"/>
          <w:szCs w:val="48"/>
        </w:rPr>
      </w:pPr>
    </w:p>
    <w:p w:rsidR="009674E9" w:rsidRPr="009674E9" w:rsidRDefault="009674E9" w:rsidP="009674E9">
      <w:pPr>
        <w:spacing w:line="360" w:lineRule="auto"/>
        <w:jc w:val="center"/>
        <w:rPr>
          <w:b/>
          <w:bCs/>
          <w:sz w:val="52"/>
          <w:szCs w:val="48"/>
        </w:rPr>
      </w:pPr>
    </w:p>
    <w:p w:rsidR="009674E9" w:rsidRDefault="009674E9" w:rsidP="009674E9">
      <w:pPr>
        <w:spacing w:line="360" w:lineRule="auto"/>
        <w:jc w:val="center"/>
      </w:pPr>
      <w:r>
        <w:t>Student Name: Prashant</w:t>
      </w:r>
      <w:r w:rsidR="00E264B9">
        <w:t xml:space="preserve"> S Tiwari</w:t>
      </w:r>
    </w:p>
    <w:p w:rsidR="009674E9" w:rsidRDefault="009674E9" w:rsidP="009674E9">
      <w:pPr>
        <w:spacing w:line="360" w:lineRule="auto"/>
        <w:jc w:val="center"/>
      </w:pPr>
      <w:r>
        <w:t>Student ID:</w:t>
      </w:r>
      <w:r w:rsidR="00E264B9">
        <w:t xml:space="preserve"> 2320593</w:t>
      </w:r>
    </w:p>
    <w:p w:rsidR="009674E9" w:rsidRDefault="009674E9" w:rsidP="009674E9">
      <w:pPr>
        <w:spacing w:line="360" w:lineRule="auto"/>
        <w:jc w:val="center"/>
      </w:pPr>
      <w:r>
        <w:t>Course Title:</w:t>
      </w:r>
      <w:r w:rsidR="00E264B9">
        <w:t xml:space="preserve"> Financial Management</w:t>
      </w:r>
    </w:p>
    <w:p w:rsidR="009674E9" w:rsidRDefault="009674E9" w:rsidP="009674E9">
      <w:pPr>
        <w:spacing w:line="360" w:lineRule="auto"/>
        <w:jc w:val="center"/>
      </w:pPr>
      <w:r>
        <w:t xml:space="preserve">Course Code: </w:t>
      </w:r>
      <w:r w:rsidRPr="009674E9">
        <w:t>LCMB7002</w:t>
      </w:r>
    </w:p>
    <w:p w:rsidR="009674E9" w:rsidRDefault="009674E9" w:rsidP="009674E9">
      <w:pPr>
        <w:spacing w:line="360" w:lineRule="auto"/>
      </w:pPr>
    </w:p>
    <w:p w:rsidR="009674E9" w:rsidRDefault="009674E9" w:rsidP="009674E9">
      <w:pPr>
        <w:spacing w:line="360" w:lineRule="auto"/>
      </w:pPr>
    </w:p>
    <w:p w:rsidR="009674E9" w:rsidRDefault="009674E9" w:rsidP="009674E9">
      <w:pPr>
        <w:spacing w:line="360" w:lineRule="auto"/>
      </w:pPr>
    </w:p>
    <w:p w:rsidR="009674E9" w:rsidRDefault="009674E9" w:rsidP="009674E9">
      <w:pPr>
        <w:spacing w:line="360" w:lineRule="auto"/>
      </w:pPr>
    </w:p>
    <w:p w:rsidR="009674E9" w:rsidRDefault="009674E9" w:rsidP="009674E9">
      <w:pPr>
        <w:spacing w:line="360" w:lineRule="auto"/>
      </w:pPr>
    </w:p>
    <w:p w:rsidR="009674E9" w:rsidRDefault="009674E9" w:rsidP="009674E9">
      <w:pPr>
        <w:spacing w:line="360" w:lineRule="auto"/>
      </w:pPr>
    </w:p>
    <w:p w:rsidR="009674E9" w:rsidRDefault="009674E9" w:rsidP="009674E9">
      <w:pPr>
        <w:spacing w:line="360" w:lineRule="auto"/>
      </w:pPr>
    </w:p>
    <w:p w:rsidR="009674E9" w:rsidRDefault="009674E9" w:rsidP="009674E9">
      <w:pPr>
        <w:spacing w:line="360" w:lineRule="auto"/>
      </w:pPr>
    </w:p>
    <w:p w:rsidR="009674E9" w:rsidRDefault="009674E9" w:rsidP="009674E9">
      <w:pPr>
        <w:spacing w:line="360" w:lineRule="auto"/>
      </w:pPr>
    </w:p>
    <w:sdt>
      <w:sdtPr>
        <w:rPr>
          <w:rFonts w:ascii="Times New Roman" w:eastAsiaTheme="minorHAnsi" w:hAnsi="Times New Roman" w:cstheme="minorBidi"/>
          <w:color w:val="auto"/>
          <w:sz w:val="24"/>
          <w:szCs w:val="22"/>
          <w:lang w:val="en-GB"/>
        </w:rPr>
        <w:id w:val="412899934"/>
        <w:docPartObj>
          <w:docPartGallery w:val="Table of Contents"/>
          <w:docPartUnique/>
        </w:docPartObj>
      </w:sdtPr>
      <w:sdtEndPr>
        <w:rPr>
          <w:b/>
          <w:bCs/>
          <w:noProof/>
        </w:rPr>
      </w:sdtEndPr>
      <w:sdtContent>
        <w:p w:rsidR="009674E9" w:rsidRDefault="009674E9">
          <w:pPr>
            <w:pStyle w:val="TOCHeading"/>
          </w:pPr>
          <w:r>
            <w:t>Contents</w:t>
          </w:r>
        </w:p>
        <w:p w:rsidR="009674E9" w:rsidRDefault="009674E9">
          <w:pPr>
            <w:pStyle w:val="TOC2"/>
            <w:tabs>
              <w:tab w:val="right" w:leader="dot" w:pos="9350"/>
            </w:tabs>
            <w:rPr>
              <w:noProof/>
            </w:rPr>
          </w:pPr>
          <w:r>
            <w:fldChar w:fldCharType="begin"/>
          </w:r>
          <w:r>
            <w:instrText xml:space="preserve"> TOC \o "1-3" \h \z \u </w:instrText>
          </w:r>
          <w:r>
            <w:fldChar w:fldCharType="separate"/>
          </w:r>
          <w:hyperlink w:anchor="_Toc164545052" w:history="1">
            <w:r w:rsidRPr="004976E5">
              <w:rPr>
                <w:rStyle w:val="Hyperlink"/>
                <w:noProof/>
              </w:rPr>
              <w:t>Industry Overview</w:t>
            </w:r>
            <w:r>
              <w:rPr>
                <w:noProof/>
                <w:webHidden/>
              </w:rPr>
              <w:tab/>
            </w:r>
            <w:r>
              <w:rPr>
                <w:noProof/>
                <w:webHidden/>
              </w:rPr>
              <w:fldChar w:fldCharType="begin"/>
            </w:r>
            <w:r>
              <w:rPr>
                <w:noProof/>
                <w:webHidden/>
              </w:rPr>
              <w:instrText xml:space="preserve"> PAGEREF _Toc164545052 \h </w:instrText>
            </w:r>
            <w:r>
              <w:rPr>
                <w:noProof/>
                <w:webHidden/>
              </w:rPr>
            </w:r>
            <w:r>
              <w:rPr>
                <w:noProof/>
                <w:webHidden/>
              </w:rPr>
              <w:fldChar w:fldCharType="separate"/>
            </w:r>
            <w:r w:rsidR="00436A63">
              <w:rPr>
                <w:noProof/>
                <w:webHidden/>
              </w:rPr>
              <w:t>2</w:t>
            </w:r>
            <w:r>
              <w:rPr>
                <w:noProof/>
                <w:webHidden/>
              </w:rPr>
              <w:fldChar w:fldCharType="end"/>
            </w:r>
          </w:hyperlink>
        </w:p>
        <w:p w:rsidR="009674E9" w:rsidRDefault="00412665">
          <w:pPr>
            <w:pStyle w:val="TOC2"/>
            <w:tabs>
              <w:tab w:val="right" w:leader="dot" w:pos="9350"/>
            </w:tabs>
            <w:rPr>
              <w:noProof/>
            </w:rPr>
          </w:pPr>
          <w:hyperlink w:anchor="_Toc164545053" w:history="1">
            <w:r w:rsidR="009674E9" w:rsidRPr="004976E5">
              <w:rPr>
                <w:rStyle w:val="Hyperlink"/>
                <w:noProof/>
              </w:rPr>
              <w:t>Business Model</w:t>
            </w:r>
            <w:r w:rsidR="009674E9">
              <w:rPr>
                <w:noProof/>
                <w:webHidden/>
              </w:rPr>
              <w:tab/>
            </w:r>
            <w:r w:rsidR="009674E9">
              <w:rPr>
                <w:noProof/>
                <w:webHidden/>
              </w:rPr>
              <w:fldChar w:fldCharType="begin"/>
            </w:r>
            <w:r w:rsidR="009674E9">
              <w:rPr>
                <w:noProof/>
                <w:webHidden/>
              </w:rPr>
              <w:instrText xml:space="preserve"> PAGEREF _Toc164545053 \h </w:instrText>
            </w:r>
            <w:r w:rsidR="009674E9">
              <w:rPr>
                <w:noProof/>
                <w:webHidden/>
              </w:rPr>
            </w:r>
            <w:r w:rsidR="009674E9">
              <w:rPr>
                <w:noProof/>
                <w:webHidden/>
              </w:rPr>
              <w:fldChar w:fldCharType="separate"/>
            </w:r>
            <w:r w:rsidR="00436A63">
              <w:rPr>
                <w:noProof/>
                <w:webHidden/>
              </w:rPr>
              <w:t>2</w:t>
            </w:r>
            <w:r w:rsidR="009674E9">
              <w:rPr>
                <w:noProof/>
                <w:webHidden/>
              </w:rPr>
              <w:fldChar w:fldCharType="end"/>
            </w:r>
          </w:hyperlink>
        </w:p>
        <w:p w:rsidR="009674E9" w:rsidRDefault="00412665">
          <w:pPr>
            <w:pStyle w:val="TOC2"/>
            <w:tabs>
              <w:tab w:val="right" w:leader="dot" w:pos="9350"/>
            </w:tabs>
            <w:rPr>
              <w:noProof/>
            </w:rPr>
          </w:pPr>
          <w:hyperlink w:anchor="_Toc164545054" w:history="1">
            <w:r w:rsidR="009674E9" w:rsidRPr="004976E5">
              <w:rPr>
                <w:rStyle w:val="Hyperlink"/>
                <w:noProof/>
              </w:rPr>
              <w:t>Market Position and Major Competitors</w:t>
            </w:r>
            <w:r w:rsidR="009674E9">
              <w:rPr>
                <w:noProof/>
                <w:webHidden/>
              </w:rPr>
              <w:tab/>
            </w:r>
            <w:r w:rsidR="009674E9">
              <w:rPr>
                <w:noProof/>
                <w:webHidden/>
              </w:rPr>
              <w:fldChar w:fldCharType="begin"/>
            </w:r>
            <w:r w:rsidR="009674E9">
              <w:rPr>
                <w:noProof/>
                <w:webHidden/>
              </w:rPr>
              <w:instrText xml:space="preserve"> PAGEREF _Toc164545054 \h </w:instrText>
            </w:r>
            <w:r w:rsidR="009674E9">
              <w:rPr>
                <w:noProof/>
                <w:webHidden/>
              </w:rPr>
            </w:r>
            <w:r w:rsidR="009674E9">
              <w:rPr>
                <w:noProof/>
                <w:webHidden/>
              </w:rPr>
              <w:fldChar w:fldCharType="separate"/>
            </w:r>
            <w:r w:rsidR="00436A63">
              <w:rPr>
                <w:noProof/>
                <w:webHidden/>
              </w:rPr>
              <w:t>2</w:t>
            </w:r>
            <w:r w:rsidR="009674E9">
              <w:rPr>
                <w:noProof/>
                <w:webHidden/>
              </w:rPr>
              <w:fldChar w:fldCharType="end"/>
            </w:r>
          </w:hyperlink>
        </w:p>
        <w:p w:rsidR="009674E9" w:rsidRDefault="00412665">
          <w:pPr>
            <w:pStyle w:val="TOC2"/>
            <w:tabs>
              <w:tab w:val="right" w:leader="dot" w:pos="9350"/>
            </w:tabs>
            <w:rPr>
              <w:noProof/>
            </w:rPr>
          </w:pPr>
          <w:hyperlink w:anchor="_Toc164545055" w:history="1">
            <w:r w:rsidR="009674E9" w:rsidRPr="004976E5">
              <w:rPr>
                <w:rStyle w:val="Hyperlink"/>
                <w:noProof/>
              </w:rPr>
              <w:t>Major Events Over the Past 5 Years</w:t>
            </w:r>
            <w:r w:rsidR="009674E9">
              <w:rPr>
                <w:noProof/>
                <w:webHidden/>
              </w:rPr>
              <w:tab/>
            </w:r>
            <w:r w:rsidR="009674E9">
              <w:rPr>
                <w:noProof/>
                <w:webHidden/>
              </w:rPr>
              <w:fldChar w:fldCharType="begin"/>
            </w:r>
            <w:r w:rsidR="009674E9">
              <w:rPr>
                <w:noProof/>
                <w:webHidden/>
              </w:rPr>
              <w:instrText xml:space="preserve"> PAGEREF _Toc164545055 \h </w:instrText>
            </w:r>
            <w:r w:rsidR="009674E9">
              <w:rPr>
                <w:noProof/>
                <w:webHidden/>
              </w:rPr>
            </w:r>
            <w:r w:rsidR="009674E9">
              <w:rPr>
                <w:noProof/>
                <w:webHidden/>
              </w:rPr>
              <w:fldChar w:fldCharType="separate"/>
            </w:r>
            <w:r w:rsidR="00436A63">
              <w:rPr>
                <w:noProof/>
                <w:webHidden/>
              </w:rPr>
              <w:t>3</w:t>
            </w:r>
            <w:r w:rsidR="009674E9">
              <w:rPr>
                <w:noProof/>
                <w:webHidden/>
              </w:rPr>
              <w:fldChar w:fldCharType="end"/>
            </w:r>
          </w:hyperlink>
        </w:p>
        <w:p w:rsidR="009674E9" w:rsidRDefault="00412665">
          <w:pPr>
            <w:pStyle w:val="TOC1"/>
            <w:tabs>
              <w:tab w:val="right" w:leader="dot" w:pos="9350"/>
            </w:tabs>
            <w:rPr>
              <w:noProof/>
            </w:rPr>
          </w:pPr>
          <w:hyperlink w:anchor="_Toc164545056" w:history="1">
            <w:r w:rsidR="009674E9" w:rsidRPr="004976E5">
              <w:rPr>
                <w:rStyle w:val="Hyperlink"/>
                <w:noProof/>
              </w:rPr>
              <w:t>Financial Ratios</w:t>
            </w:r>
            <w:r w:rsidR="009674E9">
              <w:rPr>
                <w:noProof/>
                <w:webHidden/>
              </w:rPr>
              <w:tab/>
            </w:r>
            <w:r w:rsidR="009674E9">
              <w:rPr>
                <w:noProof/>
                <w:webHidden/>
              </w:rPr>
              <w:fldChar w:fldCharType="begin"/>
            </w:r>
            <w:r w:rsidR="009674E9">
              <w:rPr>
                <w:noProof/>
                <w:webHidden/>
              </w:rPr>
              <w:instrText xml:space="preserve"> PAGEREF _Toc164545056 \h </w:instrText>
            </w:r>
            <w:r w:rsidR="009674E9">
              <w:rPr>
                <w:noProof/>
                <w:webHidden/>
              </w:rPr>
            </w:r>
            <w:r w:rsidR="009674E9">
              <w:rPr>
                <w:noProof/>
                <w:webHidden/>
              </w:rPr>
              <w:fldChar w:fldCharType="separate"/>
            </w:r>
            <w:r w:rsidR="00436A63">
              <w:rPr>
                <w:noProof/>
                <w:webHidden/>
              </w:rPr>
              <w:t>4</w:t>
            </w:r>
            <w:r w:rsidR="009674E9">
              <w:rPr>
                <w:noProof/>
                <w:webHidden/>
              </w:rPr>
              <w:fldChar w:fldCharType="end"/>
            </w:r>
          </w:hyperlink>
        </w:p>
        <w:p w:rsidR="009674E9" w:rsidRDefault="00412665">
          <w:pPr>
            <w:pStyle w:val="TOC2"/>
            <w:tabs>
              <w:tab w:val="right" w:leader="dot" w:pos="9350"/>
            </w:tabs>
            <w:rPr>
              <w:noProof/>
            </w:rPr>
          </w:pPr>
          <w:hyperlink w:anchor="_Toc164545057" w:history="1">
            <w:r w:rsidR="009674E9" w:rsidRPr="004976E5">
              <w:rPr>
                <w:rStyle w:val="Hyperlink"/>
                <w:noProof/>
              </w:rPr>
              <w:t>Return on Assets (ROA)</w:t>
            </w:r>
            <w:r w:rsidR="009674E9">
              <w:rPr>
                <w:noProof/>
                <w:webHidden/>
              </w:rPr>
              <w:tab/>
            </w:r>
            <w:r w:rsidR="009674E9">
              <w:rPr>
                <w:noProof/>
                <w:webHidden/>
              </w:rPr>
              <w:fldChar w:fldCharType="begin"/>
            </w:r>
            <w:r w:rsidR="009674E9">
              <w:rPr>
                <w:noProof/>
                <w:webHidden/>
              </w:rPr>
              <w:instrText xml:space="preserve"> PAGEREF _Toc164545057 \h </w:instrText>
            </w:r>
            <w:r w:rsidR="009674E9">
              <w:rPr>
                <w:noProof/>
                <w:webHidden/>
              </w:rPr>
            </w:r>
            <w:r w:rsidR="009674E9">
              <w:rPr>
                <w:noProof/>
                <w:webHidden/>
              </w:rPr>
              <w:fldChar w:fldCharType="separate"/>
            </w:r>
            <w:r w:rsidR="00436A63">
              <w:rPr>
                <w:noProof/>
                <w:webHidden/>
              </w:rPr>
              <w:t>4</w:t>
            </w:r>
            <w:r w:rsidR="009674E9">
              <w:rPr>
                <w:noProof/>
                <w:webHidden/>
              </w:rPr>
              <w:fldChar w:fldCharType="end"/>
            </w:r>
          </w:hyperlink>
        </w:p>
        <w:p w:rsidR="009674E9" w:rsidRDefault="00412665">
          <w:pPr>
            <w:pStyle w:val="TOC2"/>
            <w:tabs>
              <w:tab w:val="right" w:leader="dot" w:pos="9350"/>
            </w:tabs>
            <w:rPr>
              <w:noProof/>
            </w:rPr>
          </w:pPr>
          <w:hyperlink w:anchor="_Toc164545058" w:history="1">
            <w:r w:rsidR="009674E9" w:rsidRPr="004976E5">
              <w:rPr>
                <w:rStyle w:val="Hyperlink"/>
                <w:noProof/>
              </w:rPr>
              <w:t>Current Ratio</w:t>
            </w:r>
            <w:r w:rsidR="009674E9">
              <w:rPr>
                <w:noProof/>
                <w:webHidden/>
              </w:rPr>
              <w:tab/>
            </w:r>
            <w:r w:rsidR="009674E9">
              <w:rPr>
                <w:noProof/>
                <w:webHidden/>
              </w:rPr>
              <w:fldChar w:fldCharType="begin"/>
            </w:r>
            <w:r w:rsidR="009674E9">
              <w:rPr>
                <w:noProof/>
                <w:webHidden/>
              </w:rPr>
              <w:instrText xml:space="preserve"> PAGEREF _Toc164545058 \h </w:instrText>
            </w:r>
            <w:r w:rsidR="009674E9">
              <w:rPr>
                <w:noProof/>
                <w:webHidden/>
              </w:rPr>
            </w:r>
            <w:r w:rsidR="009674E9">
              <w:rPr>
                <w:noProof/>
                <w:webHidden/>
              </w:rPr>
              <w:fldChar w:fldCharType="separate"/>
            </w:r>
            <w:r w:rsidR="00436A63">
              <w:rPr>
                <w:noProof/>
                <w:webHidden/>
              </w:rPr>
              <w:t>5</w:t>
            </w:r>
            <w:r w:rsidR="009674E9">
              <w:rPr>
                <w:noProof/>
                <w:webHidden/>
              </w:rPr>
              <w:fldChar w:fldCharType="end"/>
            </w:r>
          </w:hyperlink>
        </w:p>
        <w:p w:rsidR="009674E9" w:rsidRDefault="00412665">
          <w:pPr>
            <w:pStyle w:val="TOC2"/>
            <w:tabs>
              <w:tab w:val="right" w:leader="dot" w:pos="9350"/>
            </w:tabs>
            <w:rPr>
              <w:noProof/>
            </w:rPr>
          </w:pPr>
          <w:hyperlink w:anchor="_Toc164545059" w:history="1">
            <w:r w:rsidR="009674E9" w:rsidRPr="004976E5">
              <w:rPr>
                <w:rStyle w:val="Hyperlink"/>
                <w:noProof/>
              </w:rPr>
              <w:t>Net Gearing Ratio</w:t>
            </w:r>
            <w:r w:rsidR="009674E9">
              <w:rPr>
                <w:noProof/>
                <w:webHidden/>
              </w:rPr>
              <w:tab/>
            </w:r>
            <w:r w:rsidR="009674E9">
              <w:rPr>
                <w:noProof/>
                <w:webHidden/>
              </w:rPr>
              <w:fldChar w:fldCharType="begin"/>
            </w:r>
            <w:r w:rsidR="009674E9">
              <w:rPr>
                <w:noProof/>
                <w:webHidden/>
              </w:rPr>
              <w:instrText xml:space="preserve"> PAGEREF _Toc164545059 \h </w:instrText>
            </w:r>
            <w:r w:rsidR="009674E9">
              <w:rPr>
                <w:noProof/>
                <w:webHidden/>
              </w:rPr>
            </w:r>
            <w:r w:rsidR="009674E9">
              <w:rPr>
                <w:noProof/>
                <w:webHidden/>
              </w:rPr>
              <w:fldChar w:fldCharType="separate"/>
            </w:r>
            <w:r w:rsidR="00436A63">
              <w:rPr>
                <w:noProof/>
                <w:webHidden/>
              </w:rPr>
              <w:t>5</w:t>
            </w:r>
            <w:r w:rsidR="009674E9">
              <w:rPr>
                <w:noProof/>
                <w:webHidden/>
              </w:rPr>
              <w:fldChar w:fldCharType="end"/>
            </w:r>
          </w:hyperlink>
        </w:p>
        <w:p w:rsidR="009674E9" w:rsidRDefault="00412665">
          <w:pPr>
            <w:pStyle w:val="TOC2"/>
            <w:tabs>
              <w:tab w:val="right" w:leader="dot" w:pos="9350"/>
            </w:tabs>
            <w:rPr>
              <w:noProof/>
            </w:rPr>
          </w:pPr>
          <w:hyperlink w:anchor="_Toc164545060" w:history="1">
            <w:r w:rsidR="009674E9" w:rsidRPr="004976E5">
              <w:rPr>
                <w:rStyle w:val="Hyperlink"/>
                <w:noProof/>
              </w:rPr>
              <w:t>Efficiency Ratio</w:t>
            </w:r>
            <w:r w:rsidR="009674E9">
              <w:rPr>
                <w:noProof/>
                <w:webHidden/>
              </w:rPr>
              <w:tab/>
            </w:r>
            <w:r w:rsidR="009674E9">
              <w:rPr>
                <w:noProof/>
                <w:webHidden/>
              </w:rPr>
              <w:fldChar w:fldCharType="begin"/>
            </w:r>
            <w:r w:rsidR="009674E9">
              <w:rPr>
                <w:noProof/>
                <w:webHidden/>
              </w:rPr>
              <w:instrText xml:space="preserve"> PAGEREF _Toc164545060 \h </w:instrText>
            </w:r>
            <w:r w:rsidR="009674E9">
              <w:rPr>
                <w:noProof/>
                <w:webHidden/>
              </w:rPr>
            </w:r>
            <w:r w:rsidR="009674E9">
              <w:rPr>
                <w:noProof/>
                <w:webHidden/>
              </w:rPr>
              <w:fldChar w:fldCharType="separate"/>
            </w:r>
            <w:r w:rsidR="00436A63">
              <w:rPr>
                <w:noProof/>
                <w:webHidden/>
              </w:rPr>
              <w:t>6</w:t>
            </w:r>
            <w:r w:rsidR="009674E9">
              <w:rPr>
                <w:noProof/>
                <w:webHidden/>
              </w:rPr>
              <w:fldChar w:fldCharType="end"/>
            </w:r>
          </w:hyperlink>
        </w:p>
        <w:p w:rsidR="009674E9" w:rsidRDefault="00412665">
          <w:pPr>
            <w:pStyle w:val="TOC1"/>
            <w:tabs>
              <w:tab w:val="right" w:leader="dot" w:pos="9350"/>
            </w:tabs>
            <w:rPr>
              <w:noProof/>
            </w:rPr>
          </w:pPr>
          <w:hyperlink w:anchor="_Toc164545061" w:history="1">
            <w:r w:rsidR="009674E9" w:rsidRPr="004976E5">
              <w:rPr>
                <w:rStyle w:val="Hyperlink"/>
                <w:noProof/>
              </w:rPr>
              <w:t>Comparison with Netflix</w:t>
            </w:r>
            <w:r w:rsidR="009674E9">
              <w:rPr>
                <w:noProof/>
                <w:webHidden/>
              </w:rPr>
              <w:tab/>
            </w:r>
            <w:r w:rsidR="009674E9">
              <w:rPr>
                <w:noProof/>
                <w:webHidden/>
              </w:rPr>
              <w:fldChar w:fldCharType="begin"/>
            </w:r>
            <w:r w:rsidR="009674E9">
              <w:rPr>
                <w:noProof/>
                <w:webHidden/>
              </w:rPr>
              <w:instrText xml:space="preserve"> PAGEREF _Toc164545061 \h </w:instrText>
            </w:r>
            <w:r w:rsidR="009674E9">
              <w:rPr>
                <w:noProof/>
                <w:webHidden/>
              </w:rPr>
            </w:r>
            <w:r w:rsidR="009674E9">
              <w:rPr>
                <w:noProof/>
                <w:webHidden/>
              </w:rPr>
              <w:fldChar w:fldCharType="separate"/>
            </w:r>
            <w:r w:rsidR="00436A63">
              <w:rPr>
                <w:noProof/>
                <w:webHidden/>
              </w:rPr>
              <w:t>6</w:t>
            </w:r>
            <w:r w:rsidR="009674E9">
              <w:rPr>
                <w:noProof/>
                <w:webHidden/>
              </w:rPr>
              <w:fldChar w:fldCharType="end"/>
            </w:r>
          </w:hyperlink>
        </w:p>
        <w:p w:rsidR="009674E9" w:rsidRDefault="00412665">
          <w:pPr>
            <w:pStyle w:val="TOC2"/>
            <w:tabs>
              <w:tab w:val="right" w:leader="dot" w:pos="9350"/>
            </w:tabs>
            <w:rPr>
              <w:noProof/>
            </w:rPr>
          </w:pPr>
          <w:hyperlink w:anchor="_Toc164545062" w:history="1">
            <w:r w:rsidR="009674E9" w:rsidRPr="004976E5">
              <w:rPr>
                <w:rStyle w:val="Hyperlink"/>
                <w:noProof/>
              </w:rPr>
              <w:t>Return on Assets (ROA)</w:t>
            </w:r>
            <w:r w:rsidR="009674E9">
              <w:rPr>
                <w:noProof/>
                <w:webHidden/>
              </w:rPr>
              <w:tab/>
            </w:r>
            <w:r w:rsidR="009674E9">
              <w:rPr>
                <w:noProof/>
                <w:webHidden/>
              </w:rPr>
              <w:fldChar w:fldCharType="begin"/>
            </w:r>
            <w:r w:rsidR="009674E9">
              <w:rPr>
                <w:noProof/>
                <w:webHidden/>
              </w:rPr>
              <w:instrText xml:space="preserve"> PAGEREF _Toc164545062 \h </w:instrText>
            </w:r>
            <w:r w:rsidR="009674E9">
              <w:rPr>
                <w:noProof/>
                <w:webHidden/>
              </w:rPr>
            </w:r>
            <w:r w:rsidR="009674E9">
              <w:rPr>
                <w:noProof/>
                <w:webHidden/>
              </w:rPr>
              <w:fldChar w:fldCharType="separate"/>
            </w:r>
            <w:r w:rsidR="00436A63">
              <w:rPr>
                <w:noProof/>
                <w:webHidden/>
              </w:rPr>
              <w:t>6</w:t>
            </w:r>
            <w:r w:rsidR="009674E9">
              <w:rPr>
                <w:noProof/>
                <w:webHidden/>
              </w:rPr>
              <w:fldChar w:fldCharType="end"/>
            </w:r>
          </w:hyperlink>
        </w:p>
        <w:p w:rsidR="009674E9" w:rsidRDefault="00412665">
          <w:pPr>
            <w:pStyle w:val="TOC2"/>
            <w:tabs>
              <w:tab w:val="right" w:leader="dot" w:pos="9350"/>
            </w:tabs>
            <w:rPr>
              <w:noProof/>
            </w:rPr>
          </w:pPr>
          <w:hyperlink w:anchor="_Toc164545063" w:history="1">
            <w:r w:rsidR="009674E9" w:rsidRPr="004976E5">
              <w:rPr>
                <w:rStyle w:val="Hyperlink"/>
                <w:noProof/>
              </w:rPr>
              <w:t>Current Ratio</w:t>
            </w:r>
            <w:r w:rsidR="009674E9">
              <w:rPr>
                <w:noProof/>
                <w:webHidden/>
              </w:rPr>
              <w:tab/>
            </w:r>
            <w:r w:rsidR="009674E9">
              <w:rPr>
                <w:noProof/>
                <w:webHidden/>
              </w:rPr>
              <w:fldChar w:fldCharType="begin"/>
            </w:r>
            <w:r w:rsidR="009674E9">
              <w:rPr>
                <w:noProof/>
                <w:webHidden/>
              </w:rPr>
              <w:instrText xml:space="preserve"> PAGEREF _Toc164545063 \h </w:instrText>
            </w:r>
            <w:r w:rsidR="009674E9">
              <w:rPr>
                <w:noProof/>
                <w:webHidden/>
              </w:rPr>
            </w:r>
            <w:r w:rsidR="009674E9">
              <w:rPr>
                <w:noProof/>
                <w:webHidden/>
              </w:rPr>
              <w:fldChar w:fldCharType="separate"/>
            </w:r>
            <w:r w:rsidR="00436A63">
              <w:rPr>
                <w:noProof/>
                <w:webHidden/>
              </w:rPr>
              <w:t>7</w:t>
            </w:r>
            <w:r w:rsidR="009674E9">
              <w:rPr>
                <w:noProof/>
                <w:webHidden/>
              </w:rPr>
              <w:fldChar w:fldCharType="end"/>
            </w:r>
          </w:hyperlink>
        </w:p>
        <w:p w:rsidR="009674E9" w:rsidRDefault="00412665">
          <w:pPr>
            <w:pStyle w:val="TOC2"/>
            <w:tabs>
              <w:tab w:val="right" w:leader="dot" w:pos="9350"/>
            </w:tabs>
            <w:rPr>
              <w:noProof/>
            </w:rPr>
          </w:pPr>
          <w:hyperlink w:anchor="_Toc164545064" w:history="1">
            <w:r w:rsidR="009674E9" w:rsidRPr="004976E5">
              <w:rPr>
                <w:rStyle w:val="Hyperlink"/>
                <w:noProof/>
              </w:rPr>
              <w:t>Net Gearing Ratio</w:t>
            </w:r>
            <w:r w:rsidR="009674E9">
              <w:rPr>
                <w:noProof/>
                <w:webHidden/>
              </w:rPr>
              <w:tab/>
            </w:r>
            <w:r w:rsidR="009674E9">
              <w:rPr>
                <w:noProof/>
                <w:webHidden/>
              </w:rPr>
              <w:fldChar w:fldCharType="begin"/>
            </w:r>
            <w:r w:rsidR="009674E9">
              <w:rPr>
                <w:noProof/>
                <w:webHidden/>
              </w:rPr>
              <w:instrText xml:space="preserve"> PAGEREF _Toc164545064 \h </w:instrText>
            </w:r>
            <w:r w:rsidR="009674E9">
              <w:rPr>
                <w:noProof/>
                <w:webHidden/>
              </w:rPr>
            </w:r>
            <w:r w:rsidR="009674E9">
              <w:rPr>
                <w:noProof/>
                <w:webHidden/>
              </w:rPr>
              <w:fldChar w:fldCharType="separate"/>
            </w:r>
            <w:r w:rsidR="00436A63">
              <w:rPr>
                <w:noProof/>
                <w:webHidden/>
              </w:rPr>
              <w:t>7</w:t>
            </w:r>
            <w:r w:rsidR="009674E9">
              <w:rPr>
                <w:noProof/>
                <w:webHidden/>
              </w:rPr>
              <w:fldChar w:fldCharType="end"/>
            </w:r>
          </w:hyperlink>
        </w:p>
        <w:p w:rsidR="009674E9" w:rsidRDefault="00412665">
          <w:pPr>
            <w:pStyle w:val="TOC2"/>
            <w:tabs>
              <w:tab w:val="right" w:leader="dot" w:pos="9350"/>
            </w:tabs>
            <w:rPr>
              <w:noProof/>
            </w:rPr>
          </w:pPr>
          <w:hyperlink w:anchor="_Toc164545065" w:history="1">
            <w:r w:rsidR="009674E9" w:rsidRPr="004976E5">
              <w:rPr>
                <w:rStyle w:val="Hyperlink"/>
                <w:noProof/>
              </w:rPr>
              <w:t>Efficiency Ratio</w:t>
            </w:r>
            <w:r w:rsidR="009674E9">
              <w:rPr>
                <w:noProof/>
                <w:webHidden/>
              </w:rPr>
              <w:tab/>
            </w:r>
            <w:r w:rsidR="009674E9">
              <w:rPr>
                <w:noProof/>
                <w:webHidden/>
              </w:rPr>
              <w:fldChar w:fldCharType="begin"/>
            </w:r>
            <w:r w:rsidR="009674E9">
              <w:rPr>
                <w:noProof/>
                <w:webHidden/>
              </w:rPr>
              <w:instrText xml:space="preserve"> PAGEREF _Toc164545065 \h </w:instrText>
            </w:r>
            <w:r w:rsidR="009674E9">
              <w:rPr>
                <w:noProof/>
                <w:webHidden/>
              </w:rPr>
            </w:r>
            <w:r w:rsidR="009674E9">
              <w:rPr>
                <w:noProof/>
                <w:webHidden/>
              </w:rPr>
              <w:fldChar w:fldCharType="separate"/>
            </w:r>
            <w:r w:rsidR="00436A63">
              <w:rPr>
                <w:noProof/>
                <w:webHidden/>
              </w:rPr>
              <w:t>8</w:t>
            </w:r>
            <w:r w:rsidR="009674E9">
              <w:rPr>
                <w:noProof/>
                <w:webHidden/>
              </w:rPr>
              <w:fldChar w:fldCharType="end"/>
            </w:r>
          </w:hyperlink>
        </w:p>
        <w:p w:rsidR="009674E9" w:rsidRDefault="00412665">
          <w:pPr>
            <w:pStyle w:val="TOC1"/>
            <w:tabs>
              <w:tab w:val="right" w:leader="dot" w:pos="9350"/>
            </w:tabs>
            <w:rPr>
              <w:noProof/>
            </w:rPr>
          </w:pPr>
          <w:hyperlink w:anchor="_Toc164545066" w:history="1">
            <w:r w:rsidR="009674E9" w:rsidRPr="004976E5">
              <w:rPr>
                <w:rStyle w:val="Hyperlink"/>
                <w:noProof/>
              </w:rPr>
              <w:t>Recommendations for Improvement</w:t>
            </w:r>
            <w:r w:rsidR="009674E9">
              <w:rPr>
                <w:noProof/>
                <w:webHidden/>
              </w:rPr>
              <w:tab/>
            </w:r>
            <w:r w:rsidR="009674E9">
              <w:rPr>
                <w:noProof/>
                <w:webHidden/>
              </w:rPr>
              <w:fldChar w:fldCharType="begin"/>
            </w:r>
            <w:r w:rsidR="009674E9">
              <w:rPr>
                <w:noProof/>
                <w:webHidden/>
              </w:rPr>
              <w:instrText xml:space="preserve"> PAGEREF _Toc164545066 \h </w:instrText>
            </w:r>
            <w:r w:rsidR="009674E9">
              <w:rPr>
                <w:noProof/>
                <w:webHidden/>
              </w:rPr>
            </w:r>
            <w:r w:rsidR="009674E9">
              <w:rPr>
                <w:noProof/>
                <w:webHidden/>
              </w:rPr>
              <w:fldChar w:fldCharType="separate"/>
            </w:r>
            <w:r w:rsidR="00436A63">
              <w:rPr>
                <w:noProof/>
                <w:webHidden/>
              </w:rPr>
              <w:t>8</w:t>
            </w:r>
            <w:r w:rsidR="009674E9">
              <w:rPr>
                <w:noProof/>
                <w:webHidden/>
              </w:rPr>
              <w:fldChar w:fldCharType="end"/>
            </w:r>
          </w:hyperlink>
        </w:p>
        <w:p w:rsidR="009674E9" w:rsidRDefault="00412665">
          <w:pPr>
            <w:pStyle w:val="TOC1"/>
            <w:tabs>
              <w:tab w:val="right" w:leader="dot" w:pos="9350"/>
            </w:tabs>
            <w:rPr>
              <w:noProof/>
            </w:rPr>
          </w:pPr>
          <w:hyperlink w:anchor="_Toc164545067" w:history="1">
            <w:r w:rsidR="009674E9" w:rsidRPr="004976E5">
              <w:rPr>
                <w:rStyle w:val="Hyperlink"/>
                <w:noProof/>
              </w:rPr>
              <w:t>Evaluation of New Investment Opportunities</w:t>
            </w:r>
            <w:r w:rsidR="009674E9">
              <w:rPr>
                <w:noProof/>
                <w:webHidden/>
              </w:rPr>
              <w:tab/>
            </w:r>
            <w:r w:rsidR="009674E9">
              <w:rPr>
                <w:noProof/>
                <w:webHidden/>
              </w:rPr>
              <w:fldChar w:fldCharType="begin"/>
            </w:r>
            <w:r w:rsidR="009674E9">
              <w:rPr>
                <w:noProof/>
                <w:webHidden/>
              </w:rPr>
              <w:instrText xml:space="preserve"> PAGEREF _Toc164545067 \h </w:instrText>
            </w:r>
            <w:r w:rsidR="009674E9">
              <w:rPr>
                <w:noProof/>
                <w:webHidden/>
              </w:rPr>
            </w:r>
            <w:r w:rsidR="009674E9">
              <w:rPr>
                <w:noProof/>
                <w:webHidden/>
              </w:rPr>
              <w:fldChar w:fldCharType="separate"/>
            </w:r>
            <w:r w:rsidR="00436A63">
              <w:rPr>
                <w:noProof/>
                <w:webHidden/>
              </w:rPr>
              <w:t>11</w:t>
            </w:r>
            <w:r w:rsidR="009674E9">
              <w:rPr>
                <w:noProof/>
                <w:webHidden/>
              </w:rPr>
              <w:fldChar w:fldCharType="end"/>
            </w:r>
          </w:hyperlink>
        </w:p>
        <w:p w:rsidR="009674E9" w:rsidRDefault="00412665">
          <w:pPr>
            <w:pStyle w:val="TOC2"/>
            <w:tabs>
              <w:tab w:val="right" w:leader="dot" w:pos="9350"/>
            </w:tabs>
            <w:rPr>
              <w:noProof/>
            </w:rPr>
          </w:pPr>
          <w:hyperlink w:anchor="_Toc164545068" w:history="1">
            <w:r w:rsidR="009674E9" w:rsidRPr="004976E5">
              <w:rPr>
                <w:rStyle w:val="Hyperlink"/>
                <w:noProof/>
              </w:rPr>
              <w:t>Evaluation and Recommendation</w:t>
            </w:r>
            <w:r w:rsidR="009674E9">
              <w:rPr>
                <w:noProof/>
                <w:webHidden/>
              </w:rPr>
              <w:tab/>
            </w:r>
            <w:r w:rsidR="009674E9">
              <w:rPr>
                <w:noProof/>
                <w:webHidden/>
              </w:rPr>
              <w:fldChar w:fldCharType="begin"/>
            </w:r>
            <w:r w:rsidR="009674E9">
              <w:rPr>
                <w:noProof/>
                <w:webHidden/>
              </w:rPr>
              <w:instrText xml:space="preserve"> PAGEREF _Toc164545068 \h </w:instrText>
            </w:r>
            <w:r w:rsidR="009674E9">
              <w:rPr>
                <w:noProof/>
                <w:webHidden/>
              </w:rPr>
            </w:r>
            <w:r w:rsidR="009674E9">
              <w:rPr>
                <w:noProof/>
                <w:webHidden/>
              </w:rPr>
              <w:fldChar w:fldCharType="separate"/>
            </w:r>
            <w:r w:rsidR="00436A63">
              <w:rPr>
                <w:noProof/>
                <w:webHidden/>
              </w:rPr>
              <w:t>11</w:t>
            </w:r>
            <w:r w:rsidR="009674E9">
              <w:rPr>
                <w:noProof/>
                <w:webHidden/>
              </w:rPr>
              <w:fldChar w:fldCharType="end"/>
            </w:r>
          </w:hyperlink>
        </w:p>
        <w:p w:rsidR="009674E9" w:rsidRDefault="00412665">
          <w:pPr>
            <w:pStyle w:val="TOC2"/>
            <w:tabs>
              <w:tab w:val="right" w:leader="dot" w:pos="9350"/>
            </w:tabs>
            <w:rPr>
              <w:noProof/>
            </w:rPr>
          </w:pPr>
          <w:hyperlink w:anchor="_Toc164545069" w:history="1">
            <w:r w:rsidR="009674E9" w:rsidRPr="004976E5">
              <w:rPr>
                <w:rStyle w:val="Hyperlink"/>
                <w:noProof/>
              </w:rPr>
              <w:t>Recalculation of NPV</w:t>
            </w:r>
            <w:r w:rsidR="009674E9">
              <w:rPr>
                <w:noProof/>
                <w:webHidden/>
              </w:rPr>
              <w:tab/>
            </w:r>
            <w:r w:rsidR="009674E9">
              <w:rPr>
                <w:noProof/>
                <w:webHidden/>
              </w:rPr>
              <w:fldChar w:fldCharType="begin"/>
            </w:r>
            <w:r w:rsidR="009674E9">
              <w:rPr>
                <w:noProof/>
                <w:webHidden/>
              </w:rPr>
              <w:instrText xml:space="preserve"> PAGEREF _Toc164545069 \h </w:instrText>
            </w:r>
            <w:r w:rsidR="009674E9">
              <w:rPr>
                <w:noProof/>
                <w:webHidden/>
              </w:rPr>
            </w:r>
            <w:r w:rsidR="009674E9">
              <w:rPr>
                <w:noProof/>
                <w:webHidden/>
              </w:rPr>
              <w:fldChar w:fldCharType="separate"/>
            </w:r>
            <w:r w:rsidR="00436A63">
              <w:rPr>
                <w:noProof/>
                <w:webHidden/>
              </w:rPr>
              <w:t>12</w:t>
            </w:r>
            <w:r w:rsidR="009674E9">
              <w:rPr>
                <w:noProof/>
                <w:webHidden/>
              </w:rPr>
              <w:fldChar w:fldCharType="end"/>
            </w:r>
          </w:hyperlink>
        </w:p>
        <w:p w:rsidR="009674E9" w:rsidRDefault="00412665">
          <w:pPr>
            <w:pStyle w:val="TOC2"/>
            <w:tabs>
              <w:tab w:val="right" w:leader="dot" w:pos="9350"/>
            </w:tabs>
            <w:rPr>
              <w:noProof/>
            </w:rPr>
          </w:pPr>
          <w:hyperlink w:anchor="_Toc164545070" w:history="1">
            <w:r w:rsidR="009674E9" w:rsidRPr="004976E5">
              <w:rPr>
                <w:rStyle w:val="Hyperlink"/>
                <w:noProof/>
              </w:rPr>
              <w:t>Advantages and Disadvantages of Evaluation Techniques</w:t>
            </w:r>
            <w:r w:rsidR="009674E9">
              <w:rPr>
                <w:noProof/>
                <w:webHidden/>
              </w:rPr>
              <w:tab/>
            </w:r>
            <w:r w:rsidR="009674E9">
              <w:rPr>
                <w:noProof/>
                <w:webHidden/>
              </w:rPr>
              <w:fldChar w:fldCharType="begin"/>
            </w:r>
            <w:r w:rsidR="009674E9">
              <w:rPr>
                <w:noProof/>
                <w:webHidden/>
              </w:rPr>
              <w:instrText xml:space="preserve"> PAGEREF _Toc164545070 \h </w:instrText>
            </w:r>
            <w:r w:rsidR="009674E9">
              <w:rPr>
                <w:noProof/>
                <w:webHidden/>
              </w:rPr>
            </w:r>
            <w:r w:rsidR="009674E9">
              <w:rPr>
                <w:noProof/>
                <w:webHidden/>
              </w:rPr>
              <w:fldChar w:fldCharType="separate"/>
            </w:r>
            <w:r w:rsidR="00436A63">
              <w:rPr>
                <w:noProof/>
                <w:webHidden/>
              </w:rPr>
              <w:t>13</w:t>
            </w:r>
            <w:r w:rsidR="009674E9">
              <w:rPr>
                <w:noProof/>
                <w:webHidden/>
              </w:rPr>
              <w:fldChar w:fldCharType="end"/>
            </w:r>
          </w:hyperlink>
        </w:p>
        <w:p w:rsidR="009674E9" w:rsidRDefault="00412665">
          <w:pPr>
            <w:pStyle w:val="TOC3"/>
            <w:tabs>
              <w:tab w:val="right" w:leader="dot" w:pos="9350"/>
            </w:tabs>
            <w:rPr>
              <w:noProof/>
            </w:rPr>
          </w:pPr>
          <w:hyperlink w:anchor="_Toc164545071" w:history="1">
            <w:r w:rsidR="009674E9" w:rsidRPr="004976E5">
              <w:rPr>
                <w:rStyle w:val="Hyperlink"/>
                <w:noProof/>
              </w:rPr>
              <w:t>Payback Period</w:t>
            </w:r>
            <w:r w:rsidR="009674E9">
              <w:rPr>
                <w:noProof/>
                <w:webHidden/>
              </w:rPr>
              <w:tab/>
            </w:r>
            <w:r w:rsidR="009674E9">
              <w:rPr>
                <w:noProof/>
                <w:webHidden/>
              </w:rPr>
              <w:fldChar w:fldCharType="begin"/>
            </w:r>
            <w:r w:rsidR="009674E9">
              <w:rPr>
                <w:noProof/>
                <w:webHidden/>
              </w:rPr>
              <w:instrText xml:space="preserve"> PAGEREF _Toc164545071 \h </w:instrText>
            </w:r>
            <w:r w:rsidR="009674E9">
              <w:rPr>
                <w:noProof/>
                <w:webHidden/>
              </w:rPr>
            </w:r>
            <w:r w:rsidR="009674E9">
              <w:rPr>
                <w:noProof/>
                <w:webHidden/>
              </w:rPr>
              <w:fldChar w:fldCharType="separate"/>
            </w:r>
            <w:r w:rsidR="00436A63">
              <w:rPr>
                <w:noProof/>
                <w:webHidden/>
              </w:rPr>
              <w:t>13</w:t>
            </w:r>
            <w:r w:rsidR="009674E9">
              <w:rPr>
                <w:noProof/>
                <w:webHidden/>
              </w:rPr>
              <w:fldChar w:fldCharType="end"/>
            </w:r>
          </w:hyperlink>
        </w:p>
        <w:p w:rsidR="009674E9" w:rsidRDefault="00412665">
          <w:pPr>
            <w:pStyle w:val="TOC3"/>
            <w:tabs>
              <w:tab w:val="right" w:leader="dot" w:pos="9350"/>
            </w:tabs>
            <w:rPr>
              <w:noProof/>
            </w:rPr>
          </w:pPr>
          <w:hyperlink w:anchor="_Toc164545072" w:history="1">
            <w:r w:rsidR="009674E9" w:rsidRPr="004976E5">
              <w:rPr>
                <w:rStyle w:val="Hyperlink"/>
                <w:noProof/>
              </w:rPr>
              <w:t>Accounting Rate of Return</w:t>
            </w:r>
            <w:r w:rsidR="009674E9">
              <w:rPr>
                <w:noProof/>
                <w:webHidden/>
              </w:rPr>
              <w:tab/>
            </w:r>
            <w:r w:rsidR="009674E9">
              <w:rPr>
                <w:noProof/>
                <w:webHidden/>
              </w:rPr>
              <w:fldChar w:fldCharType="begin"/>
            </w:r>
            <w:r w:rsidR="009674E9">
              <w:rPr>
                <w:noProof/>
                <w:webHidden/>
              </w:rPr>
              <w:instrText xml:space="preserve"> PAGEREF _Toc164545072 \h </w:instrText>
            </w:r>
            <w:r w:rsidR="009674E9">
              <w:rPr>
                <w:noProof/>
                <w:webHidden/>
              </w:rPr>
            </w:r>
            <w:r w:rsidR="009674E9">
              <w:rPr>
                <w:noProof/>
                <w:webHidden/>
              </w:rPr>
              <w:fldChar w:fldCharType="separate"/>
            </w:r>
            <w:r w:rsidR="00436A63">
              <w:rPr>
                <w:noProof/>
                <w:webHidden/>
              </w:rPr>
              <w:t>14</w:t>
            </w:r>
            <w:r w:rsidR="009674E9">
              <w:rPr>
                <w:noProof/>
                <w:webHidden/>
              </w:rPr>
              <w:fldChar w:fldCharType="end"/>
            </w:r>
          </w:hyperlink>
        </w:p>
        <w:p w:rsidR="009674E9" w:rsidRDefault="00412665">
          <w:pPr>
            <w:pStyle w:val="TOC3"/>
            <w:tabs>
              <w:tab w:val="right" w:leader="dot" w:pos="9350"/>
            </w:tabs>
            <w:rPr>
              <w:noProof/>
            </w:rPr>
          </w:pPr>
          <w:hyperlink w:anchor="_Toc164545073" w:history="1">
            <w:r w:rsidR="009674E9" w:rsidRPr="004976E5">
              <w:rPr>
                <w:rStyle w:val="Hyperlink"/>
                <w:noProof/>
              </w:rPr>
              <w:t>Net Present Value</w:t>
            </w:r>
            <w:r w:rsidR="009674E9">
              <w:rPr>
                <w:noProof/>
                <w:webHidden/>
              </w:rPr>
              <w:tab/>
            </w:r>
            <w:r w:rsidR="009674E9">
              <w:rPr>
                <w:noProof/>
                <w:webHidden/>
              </w:rPr>
              <w:fldChar w:fldCharType="begin"/>
            </w:r>
            <w:r w:rsidR="009674E9">
              <w:rPr>
                <w:noProof/>
                <w:webHidden/>
              </w:rPr>
              <w:instrText xml:space="preserve"> PAGEREF _Toc164545073 \h </w:instrText>
            </w:r>
            <w:r w:rsidR="009674E9">
              <w:rPr>
                <w:noProof/>
                <w:webHidden/>
              </w:rPr>
            </w:r>
            <w:r w:rsidR="009674E9">
              <w:rPr>
                <w:noProof/>
                <w:webHidden/>
              </w:rPr>
              <w:fldChar w:fldCharType="separate"/>
            </w:r>
            <w:r w:rsidR="00436A63">
              <w:rPr>
                <w:noProof/>
                <w:webHidden/>
              </w:rPr>
              <w:t>14</w:t>
            </w:r>
            <w:r w:rsidR="009674E9">
              <w:rPr>
                <w:noProof/>
                <w:webHidden/>
              </w:rPr>
              <w:fldChar w:fldCharType="end"/>
            </w:r>
          </w:hyperlink>
        </w:p>
        <w:p w:rsidR="009674E9" w:rsidRDefault="00412665">
          <w:pPr>
            <w:pStyle w:val="TOC2"/>
            <w:tabs>
              <w:tab w:val="right" w:leader="dot" w:pos="9350"/>
            </w:tabs>
            <w:rPr>
              <w:noProof/>
            </w:rPr>
          </w:pPr>
          <w:hyperlink w:anchor="_Toc164545074" w:history="1">
            <w:r w:rsidR="009674E9" w:rsidRPr="004976E5">
              <w:rPr>
                <w:rStyle w:val="Hyperlink"/>
                <w:noProof/>
              </w:rPr>
              <w:t>Non-Financial Factors</w:t>
            </w:r>
            <w:r w:rsidR="009674E9">
              <w:rPr>
                <w:noProof/>
                <w:webHidden/>
              </w:rPr>
              <w:tab/>
            </w:r>
            <w:r w:rsidR="009674E9">
              <w:rPr>
                <w:noProof/>
                <w:webHidden/>
              </w:rPr>
              <w:fldChar w:fldCharType="begin"/>
            </w:r>
            <w:r w:rsidR="009674E9">
              <w:rPr>
                <w:noProof/>
                <w:webHidden/>
              </w:rPr>
              <w:instrText xml:space="preserve"> PAGEREF _Toc164545074 \h </w:instrText>
            </w:r>
            <w:r w:rsidR="009674E9">
              <w:rPr>
                <w:noProof/>
                <w:webHidden/>
              </w:rPr>
            </w:r>
            <w:r w:rsidR="009674E9">
              <w:rPr>
                <w:noProof/>
                <w:webHidden/>
              </w:rPr>
              <w:fldChar w:fldCharType="separate"/>
            </w:r>
            <w:r w:rsidR="00436A63">
              <w:rPr>
                <w:noProof/>
                <w:webHidden/>
              </w:rPr>
              <w:t>15</w:t>
            </w:r>
            <w:r w:rsidR="009674E9">
              <w:rPr>
                <w:noProof/>
                <w:webHidden/>
              </w:rPr>
              <w:fldChar w:fldCharType="end"/>
            </w:r>
          </w:hyperlink>
        </w:p>
        <w:p w:rsidR="009674E9" w:rsidRDefault="00412665">
          <w:pPr>
            <w:pStyle w:val="TOC1"/>
            <w:tabs>
              <w:tab w:val="right" w:leader="dot" w:pos="9350"/>
            </w:tabs>
            <w:rPr>
              <w:noProof/>
            </w:rPr>
          </w:pPr>
          <w:hyperlink w:anchor="_Toc164545075" w:history="1">
            <w:r w:rsidR="009674E9" w:rsidRPr="004976E5">
              <w:rPr>
                <w:rStyle w:val="Hyperlink"/>
                <w:noProof/>
              </w:rPr>
              <w:t>References</w:t>
            </w:r>
            <w:r w:rsidR="009674E9">
              <w:rPr>
                <w:noProof/>
                <w:webHidden/>
              </w:rPr>
              <w:tab/>
            </w:r>
            <w:r w:rsidR="009674E9">
              <w:rPr>
                <w:noProof/>
                <w:webHidden/>
              </w:rPr>
              <w:fldChar w:fldCharType="begin"/>
            </w:r>
            <w:r w:rsidR="009674E9">
              <w:rPr>
                <w:noProof/>
                <w:webHidden/>
              </w:rPr>
              <w:instrText xml:space="preserve"> PAGEREF _Toc164545075 \h </w:instrText>
            </w:r>
            <w:r w:rsidR="009674E9">
              <w:rPr>
                <w:noProof/>
                <w:webHidden/>
              </w:rPr>
            </w:r>
            <w:r w:rsidR="009674E9">
              <w:rPr>
                <w:noProof/>
                <w:webHidden/>
              </w:rPr>
              <w:fldChar w:fldCharType="separate"/>
            </w:r>
            <w:r w:rsidR="00436A63">
              <w:rPr>
                <w:noProof/>
                <w:webHidden/>
              </w:rPr>
              <w:t>16</w:t>
            </w:r>
            <w:r w:rsidR="009674E9">
              <w:rPr>
                <w:noProof/>
                <w:webHidden/>
              </w:rPr>
              <w:fldChar w:fldCharType="end"/>
            </w:r>
          </w:hyperlink>
        </w:p>
        <w:p w:rsidR="009674E9" w:rsidRDefault="009674E9">
          <w:r>
            <w:rPr>
              <w:b/>
              <w:bCs/>
              <w:noProof/>
            </w:rPr>
            <w:fldChar w:fldCharType="end"/>
          </w:r>
        </w:p>
      </w:sdtContent>
    </w:sdt>
    <w:p w:rsidR="009674E9" w:rsidRDefault="009674E9" w:rsidP="009674E9">
      <w:pPr>
        <w:spacing w:line="360" w:lineRule="auto"/>
      </w:pPr>
    </w:p>
    <w:p w:rsidR="009674E9" w:rsidRDefault="009674E9" w:rsidP="009674E9">
      <w:pPr>
        <w:spacing w:line="360" w:lineRule="auto"/>
      </w:pPr>
    </w:p>
    <w:p w:rsidR="009674E9" w:rsidRDefault="009674E9" w:rsidP="009674E9">
      <w:pPr>
        <w:spacing w:line="360" w:lineRule="auto"/>
      </w:pPr>
    </w:p>
    <w:p w:rsidR="009674E9" w:rsidRDefault="009674E9" w:rsidP="009674E9">
      <w:pPr>
        <w:spacing w:line="360" w:lineRule="auto"/>
      </w:pPr>
    </w:p>
    <w:p w:rsidR="009674E9" w:rsidRPr="0063314E" w:rsidRDefault="009674E9" w:rsidP="009674E9">
      <w:pPr>
        <w:spacing w:line="360" w:lineRule="auto"/>
      </w:pPr>
      <w:r w:rsidRPr="00592EB1">
        <w:lastRenderedPageBreak/>
        <w:t xml:space="preserve">The Walt Disney </w:t>
      </w:r>
      <w:r>
        <w:t>Company</w:t>
      </w:r>
      <w:r w:rsidRPr="00592EB1">
        <w:t>, established in 1923 by Walt Disney and Roy O. Disney, has advanced into one of the world's biggest and best amusement combinations. Disney works in media outlets, enveloping film creation, telecom companies, amusement parks, and purchaser items</w:t>
      </w:r>
      <w:r>
        <w:t xml:space="preserve"> (</w:t>
      </w:r>
      <w:r w:rsidRPr="0058186E">
        <w:t>Fischer, B., 2022</w:t>
      </w:r>
      <w:r>
        <w:t>)</w:t>
      </w:r>
      <w:r w:rsidRPr="00592EB1">
        <w:t xml:space="preserve">. The </w:t>
      </w:r>
      <w:r w:rsidR="00493691">
        <w:t>organisation's</w:t>
      </w:r>
      <w:r w:rsidRPr="00592EB1">
        <w:t xml:space="preserve"> plan of action </w:t>
      </w:r>
      <w:r>
        <w:t>centres</w:t>
      </w:r>
      <w:r w:rsidRPr="00592EB1">
        <w:t xml:space="preserve"> around making and circulating </w:t>
      </w:r>
      <w:r>
        <w:t>top-notch</w:t>
      </w:r>
      <w:r w:rsidRPr="00592EB1">
        <w:t xml:space="preserve"> diversion content across different stages to engage a wide crowd, including families and kids.</w:t>
      </w:r>
    </w:p>
    <w:p w:rsidR="009674E9" w:rsidRDefault="009674E9" w:rsidP="009674E9">
      <w:pPr>
        <w:pStyle w:val="Heading2"/>
      </w:pPr>
      <w:bookmarkStart w:id="1" w:name="_Toc162626899"/>
      <w:bookmarkStart w:id="2" w:name="_Toc164545052"/>
      <w:r>
        <w:t>Industry</w:t>
      </w:r>
      <w:r w:rsidRPr="00B84C0D">
        <w:t xml:space="preserve"> Overview</w:t>
      </w:r>
      <w:bookmarkEnd w:id="1"/>
      <w:bookmarkEnd w:id="2"/>
    </w:p>
    <w:p w:rsidR="009674E9" w:rsidRPr="00B84C0D" w:rsidRDefault="009674E9" w:rsidP="009674E9">
      <w:pPr>
        <w:spacing w:line="360" w:lineRule="auto"/>
      </w:pPr>
      <w:r w:rsidRPr="00592EB1">
        <w:t xml:space="preserve">Media outlets </w:t>
      </w:r>
      <w:r>
        <w:t>have</w:t>
      </w:r>
      <w:r w:rsidRPr="00592EB1">
        <w:t xml:space="preserve"> gone through tremendous changes lately, determined by progressions in innovation and changing customer inclinations. As indicated by a report by PwC, the worldwide diversion and media industry is supposed to develop at a build yearly development rate (CAGR) of 4.4% from 2021 to 2025, coming to $2.6 trillion by 2025</w:t>
      </w:r>
      <w:r>
        <w:t xml:space="preserve"> (</w:t>
      </w:r>
      <w:r w:rsidRPr="00C3501D">
        <w:t>Bastos, D., 2023</w:t>
      </w:r>
      <w:r>
        <w:t>)</w:t>
      </w:r>
      <w:r w:rsidRPr="00592EB1">
        <w:t xml:space="preserve">. This development is driven by expanding interest </w:t>
      </w:r>
      <w:r>
        <w:t>in</w:t>
      </w:r>
      <w:r w:rsidRPr="00592EB1">
        <w:t xml:space="preserve"> advanced diversion content, including web-based features and internet gaming.</w:t>
      </w:r>
    </w:p>
    <w:p w:rsidR="009674E9" w:rsidRPr="00FB04AF" w:rsidRDefault="009674E9" w:rsidP="009674E9">
      <w:pPr>
        <w:pStyle w:val="Heading2"/>
      </w:pPr>
      <w:bookmarkStart w:id="3" w:name="_Toc162626900"/>
      <w:bookmarkStart w:id="4" w:name="_Toc164545053"/>
      <w:r w:rsidRPr="00B84C0D">
        <w:t>Business Model</w:t>
      </w:r>
      <w:bookmarkEnd w:id="3"/>
      <w:bookmarkEnd w:id="4"/>
    </w:p>
    <w:p w:rsidR="009674E9" w:rsidRPr="00716457" w:rsidRDefault="009674E9" w:rsidP="009674E9">
      <w:pPr>
        <w:spacing w:line="360" w:lineRule="auto"/>
      </w:pPr>
      <w:r w:rsidRPr="00592EB1">
        <w:t xml:space="preserve">Disney's plan of action rotates around making and adapting intellectual property (IP) across numerous stages. The </w:t>
      </w:r>
      <w:r w:rsidR="00493691">
        <w:t>organisation</w:t>
      </w:r>
      <w:r w:rsidRPr="00592EB1">
        <w:t xml:space="preserve"> creates income through different stations, including film industry deals, TV authorizing expenses, amusement park confirmations, and product deals. Disney's obtaining of 21st Century Fox in 2019 further extended its substance library and market reach, reinforcing its cutthroat situation in the business</w:t>
      </w:r>
      <w:r>
        <w:t xml:space="preserve"> (</w:t>
      </w:r>
      <w:r w:rsidRPr="005C1643">
        <w:t xml:space="preserve">Voigt, K.I., </w:t>
      </w:r>
      <w:r>
        <w:t>2017)</w:t>
      </w:r>
      <w:r w:rsidRPr="00592EB1">
        <w:t>.</w:t>
      </w:r>
    </w:p>
    <w:p w:rsidR="009674E9" w:rsidRPr="002571A0" w:rsidRDefault="009674E9" w:rsidP="009674E9">
      <w:pPr>
        <w:pStyle w:val="Heading2"/>
      </w:pPr>
      <w:bookmarkStart w:id="5" w:name="_Toc162626901"/>
      <w:bookmarkStart w:id="6" w:name="_Toc164545054"/>
      <w:r w:rsidRPr="00B84C0D">
        <w:t>Ma</w:t>
      </w:r>
      <w:r>
        <w:t>rket Position and Major Competitors</w:t>
      </w:r>
      <w:bookmarkEnd w:id="5"/>
      <w:bookmarkEnd w:id="6"/>
    </w:p>
    <w:p w:rsidR="009674E9" w:rsidRDefault="009674E9" w:rsidP="009674E9">
      <w:pPr>
        <w:spacing w:line="360" w:lineRule="auto"/>
      </w:pPr>
      <w:r w:rsidRPr="00592EB1">
        <w:t>Disney is a predominant player in the worldwide diversion market, known for its notable brands and establishments like Disney, Pixar, Wonder, and Star Wars</w:t>
      </w:r>
      <w:r>
        <w:t xml:space="preserve"> (</w:t>
      </w:r>
      <w:r w:rsidRPr="005C1643">
        <w:t>Morton, E.M., 2020</w:t>
      </w:r>
      <w:r>
        <w:t>)</w:t>
      </w:r>
      <w:r w:rsidRPr="00592EB1">
        <w:t>. The organization's significant rivals incorporate other amusement combinations like Warner</w:t>
      </w:r>
      <w:r>
        <w:t xml:space="preserve"> </w:t>
      </w:r>
      <w:r w:rsidRPr="00592EB1">
        <w:t>Media, NBC</w:t>
      </w:r>
      <w:r>
        <w:t xml:space="preserve"> </w:t>
      </w:r>
      <w:r w:rsidRPr="00592EB1">
        <w:t xml:space="preserve">Universal, and Sony Pictures Diversion. These contenders likewise produce and disseminate an extensive variety of diversion content, seeking crowd consideration and </w:t>
      </w:r>
      <w:r>
        <w:t>a market share (</w:t>
      </w:r>
      <w:r w:rsidRPr="00B279C5">
        <w:t>Kanokthaworntham, S., 2018</w:t>
      </w:r>
      <w:r>
        <w:t>)</w:t>
      </w:r>
      <w:r w:rsidRPr="00592EB1">
        <w:t>.</w:t>
      </w:r>
    </w:p>
    <w:p w:rsidR="009674E9" w:rsidRDefault="009674E9" w:rsidP="009674E9">
      <w:pPr>
        <w:pStyle w:val="Heading2"/>
      </w:pPr>
      <w:bookmarkStart w:id="7" w:name="_Toc162626902"/>
      <w:bookmarkStart w:id="8" w:name="_Toc164545055"/>
      <w:r>
        <w:lastRenderedPageBreak/>
        <w:t>Major Events Over the Past 5 Years</w:t>
      </w:r>
      <w:bookmarkEnd w:id="7"/>
      <w:bookmarkEnd w:id="8"/>
    </w:p>
    <w:p w:rsidR="009674E9" w:rsidRPr="00592EB1" w:rsidRDefault="009674E9" w:rsidP="009674E9">
      <w:pPr>
        <w:spacing w:line="360" w:lineRule="auto"/>
      </w:pPr>
      <w:r w:rsidRPr="00592EB1">
        <w:rPr>
          <w:b/>
          <w:bCs/>
        </w:rPr>
        <w:t>2019: Acquisition of 21st Century Fox -</w:t>
      </w:r>
      <w:r w:rsidRPr="00592EB1">
        <w:t xml:space="preserve"> </w:t>
      </w:r>
      <w:r w:rsidRPr="00A874BA">
        <w:t>In what is one of the biggest deals ever in the entertainment industry, Disney has closed its acquisition of the entertainment assets of 21st Century Fox for a startling rate of 71.3 billion dollars. This acquisition was one of the most strategically significant moments for Disney who by achieving it not only added billions of dollars to their income but also commemorated the most popular franchises such as X-Men, The Simpsons and Avatar. This strategic move not only positioned Disney as a dominant player in the market but also empowered it to bring a wider variety of content through different platforms, making it possible for that company to serve more audiences in need</w:t>
      </w:r>
      <w:r>
        <w:t xml:space="preserve"> (</w:t>
      </w:r>
      <w:r w:rsidRPr="00B23F5E">
        <w:t>Li, J., 2023</w:t>
      </w:r>
      <w:r>
        <w:t>)</w:t>
      </w:r>
      <w:r w:rsidRPr="00592EB1">
        <w:t>.</w:t>
      </w:r>
    </w:p>
    <w:p w:rsidR="009674E9" w:rsidRPr="00592EB1" w:rsidRDefault="009674E9" w:rsidP="009674E9">
      <w:pPr>
        <w:spacing w:line="360" w:lineRule="auto"/>
      </w:pPr>
      <w:r w:rsidRPr="00592EB1">
        <w:rPr>
          <w:b/>
          <w:bCs/>
        </w:rPr>
        <w:t>2020: Impact of COVID-19 Pandemic -</w:t>
      </w:r>
      <w:r w:rsidRPr="00592EB1">
        <w:t xml:space="preserve"> </w:t>
      </w:r>
      <w:r>
        <w:t>The emergence</w:t>
      </w:r>
      <w:r w:rsidRPr="00A874BA">
        <w:t xml:space="preserve"> of </w:t>
      </w:r>
      <w:r>
        <w:t xml:space="preserve">the </w:t>
      </w:r>
      <w:r w:rsidRPr="00A874BA">
        <w:t xml:space="preserve">COVID-19 pandemic created challenges that were shown for the very first time and Disney's operations across the world suffered. Following the operational closure of its signature parks and recreation venues, production halt of movies, and sales interruption at the source, the company experienced </w:t>
      </w:r>
      <w:r>
        <w:t xml:space="preserve">a </w:t>
      </w:r>
      <w:r w:rsidRPr="00A874BA">
        <w:t xml:space="preserve">major drop-off in its profitability. A huge sales and profit decrease in the organisation resulted from </w:t>
      </w:r>
      <w:r>
        <w:t xml:space="preserve">the </w:t>
      </w:r>
      <w:r w:rsidRPr="00A874BA">
        <w:t>adverse economic impact on the company operations</w:t>
      </w:r>
      <w:r>
        <w:t xml:space="preserve"> (</w:t>
      </w:r>
      <w:r w:rsidRPr="00BA346B">
        <w:t>Dong, B., 2022</w:t>
      </w:r>
      <w:r>
        <w:t>)</w:t>
      </w:r>
      <w:r w:rsidRPr="00592EB1">
        <w:t>.</w:t>
      </w:r>
    </w:p>
    <w:p w:rsidR="009674E9" w:rsidRPr="00592EB1" w:rsidRDefault="009674E9" w:rsidP="009674E9">
      <w:pPr>
        <w:spacing w:line="360" w:lineRule="auto"/>
      </w:pPr>
      <w:r w:rsidRPr="00592EB1">
        <w:rPr>
          <w:b/>
          <w:bCs/>
        </w:rPr>
        <w:t>2020: Launch of Disney+ Streaming Service -</w:t>
      </w:r>
      <w:r w:rsidRPr="00592EB1">
        <w:t xml:space="preserve"> </w:t>
      </w:r>
      <w:r>
        <w:t>Even though</w:t>
      </w:r>
      <w:r w:rsidRPr="000E0598">
        <w:t xml:space="preserve"> the Disney+ streamer was launched in times of tumultuous turn of events triggered by the coronavirus pandemic, Disney succeeded in having the most anticipated streaming service ever. With Disney+ using the extensive collection of people’s everyday life movies and TV shows, including Pixar, Marvel, Star Wars, and National Geographic, developing worldwide a huge subscriber base, which grew by millions, was not difficult. By using this smart approach, they were not only rescued when the pandemic ha</w:t>
      </w:r>
      <w:r>
        <w:t>d</w:t>
      </w:r>
      <w:r w:rsidRPr="000E0598">
        <w:t xml:space="preserve"> significantly reduced their revenue but also had a privileged position in the highly contested streaming </w:t>
      </w:r>
      <w:r>
        <w:t>industries (</w:t>
      </w:r>
      <w:r w:rsidRPr="008833D5">
        <w:t>Daniel, D., 2021</w:t>
      </w:r>
      <w:r>
        <w:t>)</w:t>
      </w:r>
      <w:r w:rsidRPr="00592EB1">
        <w:t>.</w:t>
      </w:r>
    </w:p>
    <w:p w:rsidR="009674E9" w:rsidRPr="00592EB1" w:rsidRDefault="009674E9" w:rsidP="009674E9">
      <w:pPr>
        <w:spacing w:line="360" w:lineRule="auto"/>
      </w:pPr>
      <w:r w:rsidRPr="00592EB1">
        <w:rPr>
          <w:b/>
          <w:bCs/>
        </w:rPr>
        <w:t>2021: CEO Bob Chapek Resignation -</w:t>
      </w:r>
      <w:r w:rsidRPr="00592EB1">
        <w:t xml:space="preserve"> </w:t>
      </w:r>
      <w:r w:rsidRPr="000E0598">
        <w:t xml:space="preserve">Overseeing growing disparaging comments about his leadership style and management of vital [business aspects] such as the firm’s reaction to the pandemic and the relationship between employees, Bob Chapek had to let go of his position as the Chief Executive Officer (CEO) of the Disney Company. This move represented a major step in the succession process for the company, which was intertwined with its internal issues and </w:t>
      </w:r>
      <w:r>
        <w:t xml:space="preserve">the </w:t>
      </w:r>
      <w:r w:rsidRPr="000E0598">
        <w:t>regaining of stakeholder trust through a new leadership</w:t>
      </w:r>
      <w:r>
        <w:t xml:space="preserve"> (</w:t>
      </w:r>
      <w:r w:rsidRPr="00156261">
        <w:t>Agnihotri, A.</w:t>
      </w:r>
      <w:r>
        <w:t>, 2022)</w:t>
      </w:r>
      <w:r w:rsidRPr="00592EB1">
        <w:t>.</w:t>
      </w:r>
    </w:p>
    <w:p w:rsidR="009674E9" w:rsidRDefault="009674E9" w:rsidP="009674E9">
      <w:pPr>
        <w:spacing w:line="360" w:lineRule="auto"/>
      </w:pPr>
      <w:r w:rsidRPr="00592EB1">
        <w:rPr>
          <w:b/>
          <w:bCs/>
        </w:rPr>
        <w:lastRenderedPageBreak/>
        <w:t>2023: Expansion of Disney Parks -</w:t>
      </w:r>
      <w:r w:rsidRPr="00592EB1">
        <w:t xml:space="preserve"> </w:t>
      </w:r>
      <w:r w:rsidRPr="000E0598">
        <w:t xml:space="preserve">Enhancing its rein to development and innovation, Disney simultaneously launched its large extension schemes of theme parks and resorts around the globe. A worldwide expansion plan is outlined that encompasses the construction of new buildings, first-class hotels, and a variety of interactive experiences in various venues throughout the globe. Through the introduction of a new show on their cruise ship that depicts one of their characteristics or stories and the development </w:t>
      </w:r>
      <w:r>
        <w:t xml:space="preserve">of </w:t>
      </w:r>
      <w:r w:rsidRPr="000E0598">
        <w:t>a new park in Europe, Disney has the intention to grow their revenue and increase their customer base.</w:t>
      </w:r>
      <w:r>
        <w:t xml:space="preserve"> (</w:t>
      </w:r>
      <w:r w:rsidRPr="00BD0429">
        <w:t xml:space="preserve">Hua, Z., </w:t>
      </w:r>
      <w:r>
        <w:t>2021)</w:t>
      </w:r>
      <w:r w:rsidRPr="00592EB1">
        <w:t>.</w:t>
      </w:r>
    </w:p>
    <w:p w:rsidR="009674E9" w:rsidRDefault="009674E9" w:rsidP="009674E9">
      <w:pPr>
        <w:pStyle w:val="Heading1"/>
        <w:spacing w:line="360" w:lineRule="auto"/>
      </w:pPr>
      <w:bookmarkStart w:id="9" w:name="_Toc162626903"/>
      <w:bookmarkStart w:id="10" w:name="_Toc164545056"/>
      <w:r>
        <w:t>Financial Ratios</w:t>
      </w:r>
      <w:bookmarkEnd w:id="9"/>
      <w:bookmarkEnd w:id="10"/>
    </w:p>
    <w:p w:rsidR="009674E9" w:rsidRDefault="009674E9" w:rsidP="009674E9">
      <w:pPr>
        <w:pStyle w:val="Heading2"/>
      </w:pPr>
      <w:bookmarkStart w:id="11" w:name="_Toc162626904"/>
      <w:bookmarkStart w:id="12" w:name="_Toc164545057"/>
      <w:r>
        <w:t>Return on Assets (ROA)</w:t>
      </w:r>
      <w:bookmarkEnd w:id="11"/>
      <w:bookmarkEnd w:id="12"/>
    </w:p>
    <w:p w:rsidR="009674E9" w:rsidRDefault="009674E9" w:rsidP="009674E9">
      <w:pPr>
        <w:spacing w:line="360" w:lineRule="auto"/>
      </w:pPr>
      <w:r>
        <w:rPr>
          <w:noProof/>
          <w14:ligatures w14:val="standardContextual"/>
        </w:rPr>
        <w:drawing>
          <wp:inline distT="0" distB="0" distL="0" distR="0" wp14:anchorId="76D7EA25" wp14:editId="543E815B">
            <wp:extent cx="2667000" cy="733616"/>
            <wp:effectExtent l="0" t="0" r="0" b="9525"/>
            <wp:docPr id="8099536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9953601" name=""/>
                    <pic:cNvPicPr/>
                  </pic:nvPicPr>
                  <pic:blipFill>
                    <a:blip r:embed="rId6"/>
                    <a:stretch>
                      <a:fillRect/>
                    </a:stretch>
                  </pic:blipFill>
                  <pic:spPr>
                    <a:xfrm>
                      <a:off x="0" y="0"/>
                      <a:ext cx="2710476" cy="745575"/>
                    </a:xfrm>
                    <a:prstGeom prst="rect">
                      <a:avLst/>
                    </a:prstGeom>
                  </pic:spPr>
                </pic:pic>
              </a:graphicData>
            </a:graphic>
          </wp:inline>
        </w:drawing>
      </w:r>
    </w:p>
    <w:p w:rsidR="009674E9" w:rsidRDefault="009674E9" w:rsidP="009674E9">
      <w:pPr>
        <w:spacing w:line="360" w:lineRule="auto"/>
      </w:pPr>
      <w:r w:rsidRPr="002D4941">
        <w:t>ROA estimates an organisation's productivity in creating benefits from its resources. It's determined by partitioning the overall income by the total average assets. It shows how well an organization uses its resources to create income.</w:t>
      </w:r>
      <w:r>
        <w:t xml:space="preserve"> </w:t>
      </w:r>
      <w:r w:rsidRPr="00175D70">
        <w:t>The Return on Assets (ROA) for The Walt Disney Organization, determined as 1.15%, means that for every dollar of resources claimed, the organization produced around 1.15 c</w:t>
      </w:r>
      <w:r>
        <w:t>e</w:t>
      </w:r>
      <w:r w:rsidRPr="00175D70">
        <w:t>nts in net income</w:t>
      </w:r>
      <w:r>
        <w:t xml:space="preserve"> (</w:t>
      </w:r>
      <w:r w:rsidRPr="00181E07">
        <w:t>Hidayat, R., 2021</w:t>
      </w:r>
      <w:r>
        <w:t>)</w:t>
      </w:r>
      <w:r w:rsidRPr="00175D70">
        <w:t>. This figure, while demonstrating productivity, falls beneath the business normal, proposing a likely opportunity to get better in resource use proficiency.</w:t>
      </w:r>
      <w:r>
        <w:t xml:space="preserve"> </w:t>
      </w:r>
      <w:r w:rsidRPr="007A13F6">
        <w:t>Return on Assets (ROA) measures the productivity with which an organization uses its resources to create benefits. Disney's ROA of 1.15% demonstrates that for each dollar of resources, the organization created roughly 1.15 cents in total compensation. This figure, even though below the business normal, can be credited to Disney's broad resource base, which remembers speculations for amusement parks and other long-term projects that might require some investment to yield critical returns. Notwithstanding the lower ROA, Disney's broadened plan of action areas of strength for and presence add to its general productivity.</w:t>
      </w:r>
    </w:p>
    <w:p w:rsidR="009674E9" w:rsidRDefault="009674E9" w:rsidP="009674E9">
      <w:pPr>
        <w:pStyle w:val="Heading2"/>
      </w:pPr>
      <w:bookmarkStart w:id="13" w:name="_Toc162626905"/>
      <w:bookmarkStart w:id="14" w:name="_Toc164545058"/>
      <w:r>
        <w:lastRenderedPageBreak/>
        <w:t>Current Ratio</w:t>
      </w:r>
      <w:bookmarkEnd w:id="13"/>
      <w:bookmarkEnd w:id="14"/>
    </w:p>
    <w:p w:rsidR="009674E9" w:rsidRDefault="009674E9" w:rsidP="009674E9">
      <w:pPr>
        <w:spacing w:line="360" w:lineRule="auto"/>
      </w:pPr>
      <w:r>
        <w:rPr>
          <w:noProof/>
          <w14:ligatures w14:val="standardContextual"/>
        </w:rPr>
        <w:drawing>
          <wp:inline distT="0" distB="0" distL="0" distR="0" wp14:anchorId="7CF559E5" wp14:editId="6B869E39">
            <wp:extent cx="3177540" cy="731520"/>
            <wp:effectExtent l="0" t="0" r="3810" b="0"/>
            <wp:docPr id="5221304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2130427" name=""/>
                    <pic:cNvPicPr/>
                  </pic:nvPicPr>
                  <pic:blipFill>
                    <a:blip r:embed="rId7"/>
                    <a:stretch>
                      <a:fillRect/>
                    </a:stretch>
                  </pic:blipFill>
                  <pic:spPr>
                    <a:xfrm>
                      <a:off x="0" y="0"/>
                      <a:ext cx="3200584" cy="736825"/>
                    </a:xfrm>
                    <a:prstGeom prst="rect">
                      <a:avLst/>
                    </a:prstGeom>
                  </pic:spPr>
                </pic:pic>
              </a:graphicData>
            </a:graphic>
          </wp:inline>
        </w:drawing>
      </w:r>
    </w:p>
    <w:p w:rsidR="009674E9" w:rsidRDefault="009674E9" w:rsidP="009674E9">
      <w:pPr>
        <w:spacing w:line="360" w:lineRule="auto"/>
      </w:pPr>
      <w:r w:rsidRPr="00241FF8">
        <w:t xml:space="preserve">The current ratio is a liquidity ratio that determines an organization's capacity to cover its transient liabilities with its </w:t>
      </w:r>
      <w:r w:rsidR="006D4CE8">
        <w:t>short-term</w:t>
      </w:r>
      <w:r w:rsidRPr="00241FF8">
        <w:t xml:space="preserve"> resources. By dividing current assets by current liabilities, it is calculated. A stronger capacity to meet short-term obligations is indicated by a higher current ratio.</w:t>
      </w:r>
      <w:r>
        <w:t xml:space="preserve"> </w:t>
      </w:r>
      <w:r w:rsidRPr="0029017A">
        <w:t>Concerning the Current Ratio, which remains at 1.05, Disney has barely an adequate number of current assets to meet its transient commitments. While this proportion meets the overall worthiness limit of 1.0 or higher, it demonstrates that Disney may not be boosting its ongoing resource use productivity, as an essentially higher proportion could suggest underutilization</w:t>
      </w:r>
      <w:r>
        <w:t xml:space="preserve">. </w:t>
      </w:r>
      <w:r w:rsidRPr="007A13F6">
        <w:t xml:space="preserve">The Current Ratio surveys an </w:t>
      </w:r>
      <w:r>
        <w:t>organisation's</w:t>
      </w:r>
      <w:r w:rsidRPr="007A13F6">
        <w:t xml:space="preserve"> capacity to cover its transient liabilities with its momentary resources</w:t>
      </w:r>
      <w:r>
        <w:t xml:space="preserve"> (</w:t>
      </w:r>
      <w:r w:rsidRPr="00621EFC">
        <w:t>Hertina, D., 2021</w:t>
      </w:r>
      <w:r>
        <w:t>)</w:t>
      </w:r>
      <w:r w:rsidRPr="007A13F6">
        <w:t>. Disney's ongoing proportion of 1.05, somewhat over the benchmark of 1.0, shows that the organization has adequate current resources to meet its momentary commitments. In any case, an essentially higher current proportion could recommend underutilization of current resources, showing that Disney probably won't be expanding its liquidity proficiency.</w:t>
      </w:r>
    </w:p>
    <w:p w:rsidR="009674E9" w:rsidRDefault="009674E9" w:rsidP="009674E9">
      <w:pPr>
        <w:pStyle w:val="Heading2"/>
      </w:pPr>
      <w:bookmarkStart w:id="15" w:name="_Toc162626906"/>
      <w:bookmarkStart w:id="16" w:name="_Toc164545059"/>
      <w:r>
        <w:t>Net Gearing Ratio</w:t>
      </w:r>
      <w:bookmarkEnd w:id="15"/>
      <w:bookmarkEnd w:id="16"/>
    </w:p>
    <w:p w:rsidR="009674E9" w:rsidRDefault="009674E9" w:rsidP="009674E9">
      <w:pPr>
        <w:spacing w:line="360" w:lineRule="auto"/>
      </w:pPr>
      <w:r>
        <w:rPr>
          <w:noProof/>
          <w14:ligatures w14:val="standardContextual"/>
        </w:rPr>
        <w:drawing>
          <wp:inline distT="0" distB="0" distL="0" distR="0" wp14:anchorId="2670F09D" wp14:editId="55CB6CE8">
            <wp:extent cx="4808220" cy="766952"/>
            <wp:effectExtent l="0" t="0" r="0" b="0"/>
            <wp:docPr id="20300495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049597" name=""/>
                    <pic:cNvPicPr/>
                  </pic:nvPicPr>
                  <pic:blipFill>
                    <a:blip r:embed="rId8"/>
                    <a:stretch>
                      <a:fillRect/>
                    </a:stretch>
                  </pic:blipFill>
                  <pic:spPr>
                    <a:xfrm>
                      <a:off x="0" y="0"/>
                      <a:ext cx="4881594" cy="778656"/>
                    </a:xfrm>
                    <a:prstGeom prst="rect">
                      <a:avLst/>
                    </a:prstGeom>
                  </pic:spPr>
                </pic:pic>
              </a:graphicData>
            </a:graphic>
          </wp:inline>
        </w:drawing>
      </w:r>
    </w:p>
    <w:p w:rsidR="009674E9" w:rsidRDefault="009674E9" w:rsidP="009674E9">
      <w:pPr>
        <w:spacing w:line="360" w:lineRule="auto"/>
      </w:pPr>
      <w:r w:rsidRPr="0044613E">
        <w:t>The ratio of a company's debt to its equity is known as its net gearing ratio. It is determined by dividing equity by net debt, which is equal to total debt less cash and cash equivalents. The financial leverage and risk of a company are revealed by this ratio. A higher ratio indicates greater risk and financial leverage.</w:t>
      </w:r>
      <w:r>
        <w:t xml:space="preserve"> </w:t>
      </w:r>
      <w:r w:rsidRPr="0029017A">
        <w:t>The Net Gearing Ratio of 0.26 exhibits that Disney has a somewhat low degree of obligation contrasted with its value, proposing serious areas of strength for a situation with less reliance on debt financing. This is a positive marker for financial investors, as it infers lower monetary gamble and possibly better yields on value.</w:t>
      </w:r>
      <w:r>
        <w:t xml:space="preserve"> </w:t>
      </w:r>
      <w:r w:rsidRPr="007A13F6">
        <w:t xml:space="preserve">The Net Gearing Ratio looks </w:t>
      </w:r>
      <w:r w:rsidRPr="007A13F6">
        <w:lastRenderedPageBreak/>
        <w:t>at an organization's obligation to its value, mirroring its dependence on obligation support. Disney's net gearing ratio of 0.26 demonstrates a low degree of obligation compared with its value, connoting major areas of strength for a position and paid-off reliance on obligation funding. While a low gearing ratio is by and large ideal, exorbitantly low ratios could suggest botched chances to use obligation for possibly better yields</w:t>
      </w:r>
      <w:r>
        <w:t xml:space="preserve"> (</w:t>
      </w:r>
      <w:r w:rsidRPr="00985E72">
        <w:t>Harris, R.M.</w:t>
      </w:r>
      <w:r>
        <w:t>, 2023)</w:t>
      </w:r>
      <w:r w:rsidRPr="007A13F6">
        <w:t>.</w:t>
      </w:r>
    </w:p>
    <w:p w:rsidR="009674E9" w:rsidRDefault="009674E9" w:rsidP="009674E9">
      <w:pPr>
        <w:pStyle w:val="Heading2"/>
      </w:pPr>
      <w:bookmarkStart w:id="17" w:name="_Toc162626907"/>
      <w:bookmarkStart w:id="18" w:name="_Toc164545060"/>
      <w:r>
        <w:t>Efficiency Ratio</w:t>
      </w:r>
      <w:bookmarkEnd w:id="17"/>
      <w:bookmarkEnd w:id="18"/>
    </w:p>
    <w:p w:rsidR="009674E9" w:rsidRPr="00E83446" w:rsidRDefault="009674E9" w:rsidP="009674E9">
      <w:pPr>
        <w:spacing w:line="360" w:lineRule="auto"/>
      </w:pPr>
      <w:r>
        <w:rPr>
          <w:noProof/>
          <w14:ligatures w14:val="standardContextual"/>
        </w:rPr>
        <w:drawing>
          <wp:inline distT="0" distB="0" distL="0" distR="0" wp14:anchorId="781DF11F" wp14:editId="2FB8213B">
            <wp:extent cx="3771900" cy="758934"/>
            <wp:effectExtent l="0" t="0" r="0" b="3175"/>
            <wp:docPr id="19344391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4439120" name=""/>
                    <pic:cNvPicPr/>
                  </pic:nvPicPr>
                  <pic:blipFill>
                    <a:blip r:embed="rId9"/>
                    <a:stretch>
                      <a:fillRect/>
                    </a:stretch>
                  </pic:blipFill>
                  <pic:spPr>
                    <a:xfrm>
                      <a:off x="0" y="0"/>
                      <a:ext cx="3809896" cy="766579"/>
                    </a:xfrm>
                    <a:prstGeom prst="rect">
                      <a:avLst/>
                    </a:prstGeom>
                  </pic:spPr>
                </pic:pic>
              </a:graphicData>
            </a:graphic>
          </wp:inline>
        </w:drawing>
      </w:r>
    </w:p>
    <w:p w:rsidR="009674E9" w:rsidRDefault="009674E9" w:rsidP="009674E9">
      <w:pPr>
        <w:spacing w:line="360" w:lineRule="auto"/>
      </w:pPr>
      <w:r w:rsidRPr="00C9512A">
        <w:t>The efficiency ratio looks at how well a business uses its assets and liabilities to make money and keep track of costs. It is calculated by dividing the total of net interest income and non-interest income by non-interest expenses. A lower efficiency ratio usually means that managing expenses is more effective than making money.</w:t>
      </w:r>
      <w:r>
        <w:t xml:space="preserve"> T</w:t>
      </w:r>
      <w:r w:rsidRPr="003416A5">
        <w:t>he Efficiency Ratio, determined as 0.96, demonstrates that Disney deals with its expenses and costs, leaving a little net revenue from its income</w:t>
      </w:r>
      <w:r>
        <w:t xml:space="preserve"> (</w:t>
      </w:r>
      <w:r w:rsidRPr="004C4D85">
        <w:t xml:space="preserve">Wang, W.W., </w:t>
      </w:r>
      <w:r>
        <w:t>2016)</w:t>
      </w:r>
      <w:r w:rsidRPr="003416A5">
        <w:t>. While a lower efficiency ratio is for the most part liked, Disney's proportion proposes a harmony between cost control and income generation, which is urgent for supported productivity.</w:t>
      </w:r>
      <w:r>
        <w:t xml:space="preserve"> </w:t>
      </w:r>
      <w:r w:rsidRPr="007A13F6">
        <w:t>The Efficiency Ratio checks how an organization deals with its costs compared with its income. Disney's efficiency ratio of 0.96 proposes that the organization proficiently controls its costs, bringing about a little edge of benefit from its income. While a lower efficiency ratio is ordinarily liked, a proportion close to 1.0 can be satisfactory relying upon the business and company conditions, demonstrating a harmony between cost administration and income generation.</w:t>
      </w:r>
    </w:p>
    <w:p w:rsidR="009674E9" w:rsidRPr="00C31347" w:rsidRDefault="009674E9" w:rsidP="009674E9">
      <w:pPr>
        <w:pStyle w:val="Heading1"/>
        <w:spacing w:line="360" w:lineRule="auto"/>
      </w:pPr>
      <w:bookmarkStart w:id="19" w:name="_Toc162626908"/>
      <w:bookmarkStart w:id="20" w:name="_Toc164545061"/>
      <w:r>
        <w:t>Comparison with Netflix</w:t>
      </w:r>
      <w:bookmarkEnd w:id="19"/>
      <w:bookmarkEnd w:id="20"/>
    </w:p>
    <w:p w:rsidR="009674E9" w:rsidRDefault="009674E9" w:rsidP="009674E9">
      <w:pPr>
        <w:pStyle w:val="Heading2"/>
      </w:pPr>
      <w:bookmarkStart w:id="21" w:name="_Toc162626909"/>
      <w:bookmarkStart w:id="22" w:name="_Toc164545062"/>
      <w:r>
        <w:t>Return on Assets (ROA)</w:t>
      </w:r>
      <w:bookmarkEnd w:id="21"/>
      <w:bookmarkEnd w:id="22"/>
    </w:p>
    <w:p w:rsidR="009674E9" w:rsidRDefault="009674E9" w:rsidP="009674E9">
      <w:pPr>
        <w:spacing w:line="360" w:lineRule="auto"/>
      </w:pPr>
      <w:r>
        <w:rPr>
          <w:noProof/>
          <w14:ligatures w14:val="standardContextual"/>
        </w:rPr>
        <w:drawing>
          <wp:inline distT="0" distB="0" distL="0" distR="0" wp14:anchorId="45DFAEB9" wp14:editId="313EC454">
            <wp:extent cx="3140569" cy="1019175"/>
            <wp:effectExtent l="0" t="0" r="3175" b="0"/>
            <wp:docPr id="11421835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2183574" name=""/>
                    <pic:cNvPicPr/>
                  </pic:nvPicPr>
                  <pic:blipFill>
                    <a:blip r:embed="rId10"/>
                    <a:stretch>
                      <a:fillRect/>
                    </a:stretch>
                  </pic:blipFill>
                  <pic:spPr>
                    <a:xfrm>
                      <a:off x="0" y="0"/>
                      <a:ext cx="3163801" cy="1026714"/>
                    </a:xfrm>
                    <a:prstGeom prst="rect">
                      <a:avLst/>
                    </a:prstGeom>
                  </pic:spPr>
                </pic:pic>
              </a:graphicData>
            </a:graphic>
          </wp:inline>
        </w:drawing>
      </w:r>
    </w:p>
    <w:p w:rsidR="009674E9" w:rsidRDefault="009674E9" w:rsidP="009674E9">
      <w:pPr>
        <w:spacing w:line="360" w:lineRule="auto"/>
      </w:pPr>
      <w:r w:rsidRPr="00397D55">
        <w:lastRenderedPageBreak/>
        <w:t xml:space="preserve">ROA estimates how proficiently an </w:t>
      </w:r>
      <w:r>
        <w:t>organisation</w:t>
      </w:r>
      <w:r w:rsidRPr="00397D55">
        <w:t xml:space="preserve"> is </w:t>
      </w:r>
      <w:r>
        <w:t>utilising</w:t>
      </w:r>
      <w:r w:rsidRPr="00397D55">
        <w:t xml:space="preserve"> its resources to create benefits. A higher ROA shows better resource usage. Disney's ROA of 1.15% is generally low contrasted with the industry average. This proposes that Disney may not be creating as much benefit from its resources as its rivals. One justification for Disney's lower ROA could be its enormous resource base, which remembers speculations for amusement parks and other capital-serious tasks that might require some investment to create critical returns.</w:t>
      </w:r>
    </w:p>
    <w:p w:rsidR="009674E9" w:rsidRDefault="009674E9" w:rsidP="009674E9">
      <w:pPr>
        <w:pStyle w:val="Heading2"/>
      </w:pPr>
      <w:bookmarkStart w:id="23" w:name="_Toc162626910"/>
      <w:bookmarkStart w:id="24" w:name="_Toc164545063"/>
      <w:r>
        <w:t>Current Ratio</w:t>
      </w:r>
      <w:bookmarkEnd w:id="23"/>
      <w:bookmarkEnd w:id="24"/>
    </w:p>
    <w:p w:rsidR="009674E9" w:rsidRDefault="009674E9" w:rsidP="009674E9">
      <w:pPr>
        <w:spacing w:line="360" w:lineRule="auto"/>
      </w:pPr>
      <w:r>
        <w:rPr>
          <w:noProof/>
          <w14:ligatures w14:val="standardContextual"/>
        </w:rPr>
        <w:drawing>
          <wp:inline distT="0" distB="0" distL="0" distR="0" wp14:anchorId="4FFE8B2E" wp14:editId="732E342E">
            <wp:extent cx="3177540" cy="737372"/>
            <wp:effectExtent l="0" t="0" r="3810" b="5715"/>
            <wp:docPr id="13568651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6865118" name=""/>
                    <pic:cNvPicPr/>
                  </pic:nvPicPr>
                  <pic:blipFill>
                    <a:blip r:embed="rId11"/>
                    <a:stretch>
                      <a:fillRect/>
                    </a:stretch>
                  </pic:blipFill>
                  <pic:spPr>
                    <a:xfrm>
                      <a:off x="0" y="0"/>
                      <a:ext cx="3198763" cy="742297"/>
                    </a:xfrm>
                    <a:prstGeom prst="rect">
                      <a:avLst/>
                    </a:prstGeom>
                  </pic:spPr>
                </pic:pic>
              </a:graphicData>
            </a:graphic>
          </wp:inline>
        </w:drawing>
      </w:r>
    </w:p>
    <w:p w:rsidR="009674E9" w:rsidRDefault="009674E9" w:rsidP="009674E9">
      <w:pPr>
        <w:spacing w:line="360" w:lineRule="auto"/>
      </w:pPr>
      <w:r w:rsidRPr="004C2405">
        <w:t xml:space="preserve">The current ratio estimates an </w:t>
      </w:r>
      <w:r>
        <w:t>organisation's</w:t>
      </w:r>
      <w:r w:rsidRPr="004C2405">
        <w:t xml:space="preserve"> capacity to cover its momentary liabilities with its transient resources. A ratio below 1.0 may demonstrate liquidity issues. Disney's current ratio of 1.05 is somewhat above 1.0, proposing that the organization has an adequate number of current resources to cover its current liabilities. While a current ratio above 1.0 is by and large thought to be OK, an essentially higher proportion could demonstrate that the organization isn't using its current assets.</w:t>
      </w:r>
    </w:p>
    <w:p w:rsidR="009674E9" w:rsidRDefault="009674E9" w:rsidP="009674E9">
      <w:pPr>
        <w:pStyle w:val="Heading2"/>
      </w:pPr>
      <w:bookmarkStart w:id="25" w:name="_Toc162626911"/>
      <w:bookmarkStart w:id="26" w:name="_Toc164545064"/>
      <w:r>
        <w:t>Net Gearing Ratio</w:t>
      </w:r>
      <w:bookmarkEnd w:id="25"/>
      <w:bookmarkEnd w:id="26"/>
    </w:p>
    <w:p w:rsidR="009674E9" w:rsidRDefault="009674E9" w:rsidP="009674E9">
      <w:pPr>
        <w:spacing w:line="360" w:lineRule="auto"/>
      </w:pPr>
      <w:r>
        <w:rPr>
          <w:noProof/>
          <w14:ligatures w14:val="standardContextual"/>
        </w:rPr>
        <w:drawing>
          <wp:inline distT="0" distB="0" distL="0" distR="0" wp14:anchorId="4E94CC0F" wp14:editId="3D654553">
            <wp:extent cx="5082540" cy="1059405"/>
            <wp:effectExtent l="0" t="0" r="3810" b="7620"/>
            <wp:docPr id="18852371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5237155" name=""/>
                    <pic:cNvPicPr/>
                  </pic:nvPicPr>
                  <pic:blipFill>
                    <a:blip r:embed="rId12"/>
                    <a:stretch>
                      <a:fillRect/>
                    </a:stretch>
                  </pic:blipFill>
                  <pic:spPr>
                    <a:xfrm>
                      <a:off x="0" y="0"/>
                      <a:ext cx="5133621" cy="1070052"/>
                    </a:xfrm>
                    <a:prstGeom prst="rect">
                      <a:avLst/>
                    </a:prstGeom>
                  </pic:spPr>
                </pic:pic>
              </a:graphicData>
            </a:graphic>
          </wp:inline>
        </w:drawing>
      </w:r>
    </w:p>
    <w:p w:rsidR="009674E9" w:rsidRDefault="009674E9" w:rsidP="009674E9">
      <w:pPr>
        <w:spacing w:line="360" w:lineRule="auto"/>
      </w:pPr>
      <w:r w:rsidRPr="00961730">
        <w:t>The net gearing ratio looks at an organization's obligation to its value, showing its dependence on obligation support. A lower ratio is normally ideal. Disney's net gearing ratio of 0.26 shows a low degree of obligation contrasted with its value, which is positive. It proposes that Disney has major areas of strength for a position and is less reliant upon obligation funding. In any case, an exceptionally low gearing ratio could likewise imply that Disney isn't exploiting obligation funding to increment returns for investors.</w:t>
      </w:r>
    </w:p>
    <w:p w:rsidR="009674E9" w:rsidRDefault="009674E9" w:rsidP="009674E9">
      <w:pPr>
        <w:pStyle w:val="Heading2"/>
      </w:pPr>
      <w:bookmarkStart w:id="27" w:name="_Toc162626912"/>
      <w:bookmarkStart w:id="28" w:name="_Toc164545065"/>
      <w:r>
        <w:lastRenderedPageBreak/>
        <w:t>Efficiency Ratio</w:t>
      </w:r>
      <w:bookmarkEnd w:id="27"/>
      <w:bookmarkEnd w:id="28"/>
    </w:p>
    <w:p w:rsidR="009674E9" w:rsidRDefault="009674E9" w:rsidP="009674E9">
      <w:pPr>
        <w:spacing w:line="360" w:lineRule="auto"/>
      </w:pPr>
      <w:r>
        <w:t>Efficiency Ratio = Operating Income / Total Revenue</w:t>
      </w:r>
    </w:p>
    <w:p w:rsidR="009674E9" w:rsidRDefault="009674E9" w:rsidP="009674E9">
      <w:pPr>
        <w:spacing w:line="360" w:lineRule="auto"/>
      </w:pPr>
      <w:r>
        <w:t xml:space="preserve">Efficiency Ratio = 6,954,003 / 33,723,297 </w:t>
      </w:r>
    </w:p>
    <w:p w:rsidR="009674E9" w:rsidRDefault="009674E9" w:rsidP="009674E9">
      <w:pPr>
        <w:spacing w:line="360" w:lineRule="auto"/>
      </w:pPr>
      <w:r>
        <w:t>Efficiency Ratio = 0.2059 or 20.59%</w:t>
      </w:r>
    </w:p>
    <w:p w:rsidR="009674E9" w:rsidRPr="00743F1D" w:rsidRDefault="009674E9" w:rsidP="009674E9">
      <w:pPr>
        <w:spacing w:line="360" w:lineRule="auto"/>
      </w:pPr>
      <w:r w:rsidRPr="00961730">
        <w:t xml:space="preserve">The efficiency ratio estimates how well an organization controls its costs compared with its income. A lower proportion demonstrates improved effectiveness. Disney's efficiency ratio of 0.96 proposes that the organization is successfully dealing with its expenses and costs, leaving a little edge of benefit from its income. While a lower efficiency ratio is by and large liked, a proportion near 1.0 might be OK </w:t>
      </w:r>
      <w:r>
        <w:t>depending</w:t>
      </w:r>
      <w:r w:rsidRPr="00961730">
        <w:t xml:space="preserve"> upon the business and company conditions.</w:t>
      </w:r>
    </w:p>
    <w:p w:rsidR="009674E9" w:rsidRPr="00667E02" w:rsidRDefault="009674E9" w:rsidP="009674E9">
      <w:pPr>
        <w:pStyle w:val="Heading1"/>
        <w:spacing w:line="360" w:lineRule="auto"/>
      </w:pPr>
      <w:bookmarkStart w:id="29" w:name="_Toc162626913"/>
      <w:bookmarkStart w:id="30" w:name="_Toc164545066"/>
      <w:r>
        <w:t>Recommendations for Improvement</w:t>
      </w:r>
      <w:bookmarkEnd w:id="29"/>
      <w:bookmarkEnd w:id="30"/>
    </w:p>
    <w:p w:rsidR="009674E9" w:rsidRDefault="009674E9" w:rsidP="009674E9">
      <w:pPr>
        <w:spacing w:line="360" w:lineRule="auto"/>
      </w:pPr>
      <w:r w:rsidRPr="007E5E12">
        <w:t>Working on the financial administration of The Walt Disney Organization (Disney) requires an extensive methodology that tends to key regions like resource use, liquidity of the board, obligation of the managers, and cost control. The following are a few suggestions to upgrade Disney's financial management:</w:t>
      </w:r>
      <w:r>
        <w:t xml:space="preserve"> </w:t>
      </w:r>
    </w:p>
    <w:p w:rsidR="009674E9" w:rsidRPr="008810A2" w:rsidRDefault="009674E9" w:rsidP="009674E9">
      <w:pPr>
        <w:pStyle w:val="ListParagraph"/>
        <w:numPr>
          <w:ilvl w:val="0"/>
          <w:numId w:val="1"/>
        </w:numPr>
        <w:spacing w:line="360" w:lineRule="auto"/>
      </w:pPr>
      <w:r w:rsidRPr="004C488E">
        <w:rPr>
          <w:b/>
          <w:bCs/>
        </w:rPr>
        <w:t xml:space="preserve">Enhance Asset Utilization: </w:t>
      </w:r>
      <w:r w:rsidRPr="007E5E12">
        <w:t xml:space="preserve">To work on the return on assets (ROA), Disney ought to zero in on upgrading the use of its resources. </w:t>
      </w:r>
      <w:r w:rsidRPr="008810A2">
        <w:t xml:space="preserve">This would be achieved by way of processes such as portering resources, enlarging forms of productiveness &amp; lowering the passive limits. It will also entail </w:t>
      </w:r>
      <w:r>
        <w:t>processes</w:t>
      </w:r>
      <w:r w:rsidRPr="008810A2">
        <w:t xml:space="preserve"> that enhance </w:t>
      </w:r>
      <w:r>
        <w:t xml:space="preserve">the </w:t>
      </w:r>
      <w:r w:rsidRPr="008810A2">
        <w:t>income potential of those resources</w:t>
      </w:r>
      <w:r w:rsidR="0046435E">
        <w:t xml:space="preserve"> (</w:t>
      </w:r>
      <w:r w:rsidR="0046435E" w:rsidRPr="0046435E">
        <w:t>Krafczyk, M.P., 2019</w:t>
      </w:r>
      <w:r w:rsidR="0046435E">
        <w:t>)</w:t>
      </w:r>
      <w:r w:rsidRPr="008810A2">
        <w:t>. This could be the case with Disney increasing their visitor counts in their entertainment parks, expanding recognition of the creative unit in their studios, and increasing usage of licensed technology in diversified platforms.</w:t>
      </w:r>
      <w:r>
        <w:t xml:space="preserve"> </w:t>
      </w:r>
      <w:r w:rsidRPr="00207A97">
        <w:t>Disney can increase its return on assets (ROA) by concentrating on increasing asset utilization, indicating improved profitability from investments. Increasing the number of people who visit entertainment parks, improving studios' creative output, and utilizing licensed technology across platforms can increase the revenue potential of existing assets and, in the end, boost profitability overall.</w:t>
      </w:r>
    </w:p>
    <w:p w:rsidR="009674E9" w:rsidRPr="008810A2" w:rsidRDefault="009674E9" w:rsidP="009674E9">
      <w:pPr>
        <w:pStyle w:val="ListParagraph"/>
        <w:numPr>
          <w:ilvl w:val="0"/>
          <w:numId w:val="1"/>
        </w:numPr>
        <w:spacing w:line="360" w:lineRule="auto"/>
      </w:pPr>
      <w:r w:rsidRPr="004C488E">
        <w:rPr>
          <w:b/>
          <w:bCs/>
        </w:rPr>
        <w:t>Optimize Capital Structure:</w:t>
      </w:r>
      <w:r w:rsidRPr="004C488E">
        <w:t xml:space="preserve"> </w:t>
      </w:r>
      <w:r w:rsidRPr="008810A2">
        <w:t xml:space="preserve">The Disney Company should </w:t>
      </w:r>
      <w:r>
        <w:t>painstakingly</w:t>
      </w:r>
      <w:r w:rsidRPr="008810A2">
        <w:t xml:space="preserve"> arrange </w:t>
      </w:r>
      <w:r>
        <w:t>i</w:t>
      </w:r>
      <w:r w:rsidRPr="008810A2">
        <w:t xml:space="preserve">ts capital structure </w:t>
      </w:r>
      <w:r>
        <w:t>to</w:t>
      </w:r>
      <w:r w:rsidRPr="008810A2">
        <w:t xml:space="preserve"> attain the desired balance by using both debt and equity </w:t>
      </w:r>
      <w:r w:rsidRPr="008810A2">
        <w:lastRenderedPageBreak/>
        <w:t>financing. Keeping the weighted net debt ratio to be an essential factor for monetary stability, Disney further needs to consider the valuable parts of using the debts to finance the key investments resulting in better yields</w:t>
      </w:r>
      <w:r w:rsidR="0046435E">
        <w:t xml:space="preserve"> (</w:t>
      </w:r>
      <w:r w:rsidR="0046435E" w:rsidRPr="0046435E">
        <w:t>Shi, J., 2022</w:t>
      </w:r>
      <w:r w:rsidR="0046435E">
        <w:t>)</w:t>
      </w:r>
      <w:r w:rsidRPr="008810A2">
        <w:t>. Along with the streamlining in capital structure, this will help the Company to reduce its operational costs of capital and subsequently increase investor’s interest.</w:t>
      </w:r>
      <w:r>
        <w:t xml:space="preserve"> </w:t>
      </w:r>
      <w:r w:rsidRPr="00207A97">
        <w:t>Disney's capital structure can be managed with care to achieve an optimal mix that minimizes capital expenditures and maximizes shareholder returns by balancing debt and equity financing. Disney can increase shareholder value while maintaining financial stability by utilizing debt financing for key investments with higher potential yields, making the business more appealing to investors.</w:t>
      </w:r>
    </w:p>
    <w:p w:rsidR="009674E9" w:rsidRPr="004C488E" w:rsidRDefault="009674E9" w:rsidP="009674E9">
      <w:pPr>
        <w:pStyle w:val="ListParagraph"/>
        <w:numPr>
          <w:ilvl w:val="0"/>
          <w:numId w:val="1"/>
        </w:numPr>
        <w:spacing w:line="360" w:lineRule="auto"/>
      </w:pPr>
      <w:r w:rsidRPr="004C488E">
        <w:rPr>
          <w:b/>
          <w:bCs/>
        </w:rPr>
        <w:t>Improve Working Capital Management:</w:t>
      </w:r>
      <w:r w:rsidRPr="004C488E">
        <w:t xml:space="preserve"> </w:t>
      </w:r>
      <w:r w:rsidRPr="00C550C3">
        <w:t>Disney ought to zero in on working on its working capital management to guarantee that it keeps an ideal degree of liquidity to meet its momentary commitments. This can be accomplished through viable stock administration, proficient accounts receivable and accounts payable management, and improving income gauging</w:t>
      </w:r>
      <w:r w:rsidR="0046435E">
        <w:t xml:space="preserve"> (</w:t>
      </w:r>
      <w:r w:rsidR="0046435E" w:rsidRPr="0046435E">
        <w:t>Zhou, R., 2024</w:t>
      </w:r>
      <w:r w:rsidR="0046435E">
        <w:t>)</w:t>
      </w:r>
      <w:r w:rsidRPr="00C550C3">
        <w:t>. By working on its accounts payable management, Disney can improve its monetary adaptability and decrease its dependence on outside support.</w:t>
      </w:r>
      <w:r>
        <w:t xml:space="preserve"> </w:t>
      </w:r>
      <w:r w:rsidRPr="00207A97">
        <w:t xml:space="preserve">Disney </w:t>
      </w:r>
      <w:r w:rsidR="006D4CE8">
        <w:t>can</w:t>
      </w:r>
      <w:r w:rsidRPr="00207A97">
        <w:t xml:space="preserve"> meet its short-term obligations without heavily relying on outside financing thanks to effective working capital management. Cash flow and financial flexibility can be improved through efficient inventory management, accounts receivable management, and accounts payable management practices, which can reduce the need for costly external funding and improve overall financial health.</w:t>
      </w:r>
    </w:p>
    <w:p w:rsidR="009674E9" w:rsidRPr="004C488E" w:rsidRDefault="009674E9" w:rsidP="009674E9">
      <w:pPr>
        <w:pStyle w:val="ListParagraph"/>
        <w:numPr>
          <w:ilvl w:val="0"/>
          <w:numId w:val="1"/>
        </w:numPr>
        <w:spacing w:line="360" w:lineRule="auto"/>
      </w:pPr>
      <w:r w:rsidRPr="004C488E">
        <w:rPr>
          <w:b/>
          <w:bCs/>
        </w:rPr>
        <w:t>Cost Control:</w:t>
      </w:r>
      <w:r w:rsidRPr="004C488E">
        <w:t xml:space="preserve"> </w:t>
      </w:r>
      <w:r w:rsidRPr="00C550C3">
        <w:t>Disney ought to keep on zeroing in on cost control measures to further develop its efficiency ratio. This can incorporate distinguishing and taking out pointless costs, reworking contracts with providers to get better terms, and carrying out cost-saving drives across its speciality units</w:t>
      </w:r>
      <w:r w:rsidR="00A46A3B">
        <w:t xml:space="preserve"> (</w:t>
      </w:r>
      <w:r w:rsidR="00A46A3B" w:rsidRPr="00A46A3B">
        <w:t xml:space="preserve">Hallowell, R., </w:t>
      </w:r>
      <w:r w:rsidR="00A46A3B">
        <w:t>2016)</w:t>
      </w:r>
      <w:r w:rsidRPr="00C550C3">
        <w:t>. By successfully dealing with its expenses, Disney can work on its productivity and monetary execution.</w:t>
      </w:r>
      <w:r>
        <w:t xml:space="preserve"> </w:t>
      </w:r>
      <w:r w:rsidRPr="00207A97">
        <w:t>Disney can operate more effectively by putting cost control measures into place, which results in a higher efficiency ratio and improved financial performance. In the long run, increasing profitability and shareholder value can be achieved by identifying and eliminating unnecessary expenses, renegotiating supplier contracts for better terms, and implementing cost-saving initiatives across business units.</w:t>
      </w:r>
    </w:p>
    <w:p w:rsidR="009674E9" w:rsidRPr="004C488E" w:rsidRDefault="009674E9" w:rsidP="009674E9">
      <w:pPr>
        <w:pStyle w:val="ListParagraph"/>
        <w:numPr>
          <w:ilvl w:val="0"/>
          <w:numId w:val="1"/>
        </w:numPr>
        <w:spacing w:line="360" w:lineRule="auto"/>
      </w:pPr>
      <w:r w:rsidRPr="004C488E">
        <w:rPr>
          <w:b/>
          <w:bCs/>
        </w:rPr>
        <w:lastRenderedPageBreak/>
        <w:t>Invest in Innovation:</w:t>
      </w:r>
      <w:r w:rsidRPr="004C488E">
        <w:t xml:space="preserve"> </w:t>
      </w:r>
      <w:r w:rsidRPr="00C3471B">
        <w:t>Disney ought to keep on putting resources into advancement to drive development and keep up with its strategic advantage. This can remember effective money management for new advancements, growing new items and administrations, and venturing into new business sectors. By putting resources into development, Disney can make new income streams and improve its long-term financial sustainability</w:t>
      </w:r>
      <w:r w:rsidR="00A46A3B">
        <w:t xml:space="preserve"> (</w:t>
      </w:r>
      <w:r w:rsidR="00A46A3B" w:rsidRPr="00A46A3B">
        <w:t>Flehantova, A., 2023</w:t>
      </w:r>
      <w:r w:rsidR="00A46A3B">
        <w:t>)</w:t>
      </w:r>
      <w:r w:rsidRPr="00C3471B">
        <w:t>.</w:t>
      </w:r>
      <w:r>
        <w:t xml:space="preserve"> </w:t>
      </w:r>
      <w:r w:rsidRPr="00207A97">
        <w:t xml:space="preserve">Disney </w:t>
      </w:r>
      <w:r w:rsidR="006D4CE8">
        <w:t>can</w:t>
      </w:r>
      <w:r w:rsidRPr="00207A97">
        <w:t xml:space="preserve"> stay ahead of its rivals, drive growth, and keep its edge over the competition thanks to its ongoing investment in innovation. Disney can increase its long-term financial viability and generate new revenue streams by allocating resources to the creation of new technologies, goods, and services. This will guarantee its continued success in a market that is constantly changing.</w:t>
      </w:r>
    </w:p>
    <w:p w:rsidR="009674E9" w:rsidRPr="004C488E" w:rsidRDefault="009674E9" w:rsidP="009674E9">
      <w:pPr>
        <w:pStyle w:val="ListParagraph"/>
        <w:numPr>
          <w:ilvl w:val="0"/>
          <w:numId w:val="1"/>
        </w:numPr>
        <w:spacing w:line="360" w:lineRule="auto"/>
      </w:pPr>
      <w:r w:rsidRPr="004C488E">
        <w:rPr>
          <w:b/>
          <w:bCs/>
        </w:rPr>
        <w:t>Focus on Sustainability:</w:t>
      </w:r>
      <w:r w:rsidRPr="004C488E">
        <w:t xml:space="preserve"> </w:t>
      </w:r>
      <w:r w:rsidRPr="00C3471B">
        <w:t>Disney ought to likewise zero in on sustainability initiatives to lessen its ecological effect and work on its corporate social obligation. This can remember financial planning for environmentally friendly power sources, decreasing waste, and advancing economic practices across its activities. By zeroing in on manageability, Disney can improve its image notoriety and draw in ecologically cognizant shoppers.</w:t>
      </w:r>
      <w:r>
        <w:t xml:space="preserve"> </w:t>
      </w:r>
      <w:r w:rsidRPr="00B001B9">
        <w:t>Disney's corporate social responsibility (CSR) and brand reputation both benefit from its commitment to sustainability initiatives</w:t>
      </w:r>
      <w:r w:rsidR="00A46A3B">
        <w:t xml:space="preserve"> (</w:t>
      </w:r>
      <w:r w:rsidR="00A46A3B" w:rsidRPr="00A46A3B">
        <w:t>Rehman, M., 2021</w:t>
      </w:r>
      <w:r w:rsidR="00A46A3B">
        <w:t>)</w:t>
      </w:r>
      <w:r w:rsidRPr="00B001B9">
        <w:t>. Disney's commitment to sustainability is exemplified by its investments in environmentally friendly practices like the reduction of waste and the use of renewable energy sources. These investments also mitigate long-term risks associated with environmental degradation and attract investors who are concerned about the environment.</w:t>
      </w:r>
    </w:p>
    <w:p w:rsidR="009674E9" w:rsidRPr="004C488E" w:rsidRDefault="009674E9" w:rsidP="009674E9">
      <w:pPr>
        <w:pStyle w:val="ListParagraph"/>
        <w:numPr>
          <w:ilvl w:val="0"/>
          <w:numId w:val="1"/>
        </w:numPr>
        <w:spacing w:line="360" w:lineRule="auto"/>
      </w:pPr>
      <w:r w:rsidRPr="004C488E">
        <w:rPr>
          <w:b/>
          <w:bCs/>
        </w:rPr>
        <w:t>Monitor and Evaluate Performance:</w:t>
      </w:r>
      <w:r w:rsidRPr="004C488E">
        <w:t xml:space="preserve"> </w:t>
      </w:r>
      <w:r w:rsidRPr="00C3471B">
        <w:t>Disney ought to routinely screen and consider its monetary exhibition in contrast to key performance indicators (KPIs) to distinguish regions for development. This can incorporate directing standard monetary surveys, benchmarking against industry companions, and looking for criticism from partners. By effectively checking and assessing its presentation, Disney can pursue informed choices to upgrade its monetary administration rehearses.</w:t>
      </w:r>
      <w:r>
        <w:t xml:space="preserve"> </w:t>
      </w:r>
      <w:r w:rsidRPr="00B001B9">
        <w:t xml:space="preserve">Disney </w:t>
      </w:r>
      <w:r w:rsidR="006D4CE8">
        <w:t>can</w:t>
      </w:r>
      <w:r w:rsidRPr="00B001B9">
        <w:t xml:space="preserve"> identify areas for improvement and make informed decisions to optimize financial management practices through regular monitoring and evaluation of financial performance </w:t>
      </w:r>
      <w:r w:rsidR="006D4CE8">
        <w:t>about</w:t>
      </w:r>
      <w:r w:rsidRPr="00B001B9">
        <w:t xml:space="preserve"> key performance indicators. Disney ensures that it remains adaptable and responsive to market dynamics by conducting periodic financial reviews, benchmarking against peers in the industry, and seeking feedback from </w:t>
      </w:r>
      <w:r w:rsidRPr="00B001B9">
        <w:lastRenderedPageBreak/>
        <w:t>stakeholders, all of which contribute to the continuous improvement of financial performance and shareholder value</w:t>
      </w:r>
      <w:r w:rsidR="00A46A3B">
        <w:t xml:space="preserve"> (</w:t>
      </w:r>
      <w:r w:rsidR="00A46A3B" w:rsidRPr="00A46A3B">
        <w:t xml:space="preserve">Hallowell, R., </w:t>
      </w:r>
      <w:r w:rsidR="00A46A3B">
        <w:t>2016)</w:t>
      </w:r>
      <w:r w:rsidRPr="00B001B9">
        <w:t>.</w:t>
      </w:r>
    </w:p>
    <w:p w:rsidR="009674E9" w:rsidRDefault="009674E9" w:rsidP="009674E9">
      <w:pPr>
        <w:pStyle w:val="Heading1"/>
        <w:spacing w:line="360" w:lineRule="auto"/>
      </w:pPr>
      <w:bookmarkStart w:id="31" w:name="_Toc162626914"/>
      <w:bookmarkStart w:id="32" w:name="_Toc164545067"/>
      <w:r>
        <w:t>Evaluation of New Investment Opportunities</w:t>
      </w:r>
      <w:bookmarkEnd w:id="31"/>
      <w:bookmarkEnd w:id="32"/>
    </w:p>
    <w:p w:rsidR="009674E9" w:rsidRPr="00521D54" w:rsidRDefault="00521D54" w:rsidP="009674E9">
      <w:pPr>
        <w:spacing w:line="360" w:lineRule="auto"/>
        <w:rPr>
          <w:b/>
          <w:i/>
        </w:rPr>
      </w:pPr>
      <w:r w:rsidRPr="00521D54">
        <w:rPr>
          <w:b/>
          <w:i/>
        </w:rPr>
        <w:t xml:space="preserve">Payback Period </w:t>
      </w:r>
    </w:p>
    <w:tbl>
      <w:tblPr>
        <w:tblStyle w:val="TableGrid"/>
        <w:tblW w:w="0" w:type="auto"/>
        <w:tblLook w:val="04A0" w:firstRow="1" w:lastRow="0" w:firstColumn="1" w:lastColumn="0" w:noHBand="0" w:noVBand="1"/>
      </w:tblPr>
      <w:tblGrid>
        <w:gridCol w:w="9350"/>
      </w:tblGrid>
      <w:tr w:rsidR="00071D47" w:rsidTr="00071D47">
        <w:trPr>
          <w:trHeight w:val="4078"/>
        </w:trPr>
        <w:tc>
          <w:tcPr>
            <w:tcW w:w="9350" w:type="dxa"/>
          </w:tcPr>
          <w:p w:rsidR="00071D47" w:rsidRDefault="00071D47" w:rsidP="009674E9">
            <w:pPr>
              <w:spacing w:line="360" w:lineRule="auto"/>
            </w:pPr>
            <w:r>
              <w:t xml:space="preserve">                                                                   Project A</w:t>
            </w:r>
          </w:p>
          <w:tbl>
            <w:tblPr>
              <w:tblStyle w:val="PlainTable5"/>
              <w:tblW w:w="0" w:type="auto"/>
              <w:tblLook w:val="04A0" w:firstRow="1" w:lastRow="0" w:firstColumn="1" w:lastColumn="0" w:noHBand="0" w:noVBand="1"/>
            </w:tblPr>
            <w:tblGrid>
              <w:gridCol w:w="3041"/>
              <w:gridCol w:w="3041"/>
              <w:gridCol w:w="3042"/>
            </w:tblGrid>
            <w:tr w:rsidR="00071D47" w:rsidTr="00071D47">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3041" w:type="dxa"/>
                </w:tcPr>
                <w:p w:rsidR="00071D47" w:rsidRDefault="00071D47" w:rsidP="009674E9">
                  <w:pPr>
                    <w:spacing w:line="360" w:lineRule="auto"/>
                  </w:pPr>
                  <w:r>
                    <w:t>Year</w:t>
                  </w:r>
                </w:p>
              </w:tc>
              <w:tc>
                <w:tcPr>
                  <w:tcW w:w="3041" w:type="dxa"/>
                </w:tcPr>
                <w:p w:rsidR="00071D47" w:rsidRDefault="00071D47" w:rsidP="009674E9">
                  <w:pPr>
                    <w:spacing w:line="360" w:lineRule="auto"/>
                    <w:cnfStyle w:val="100000000000" w:firstRow="1" w:lastRow="0" w:firstColumn="0" w:lastColumn="0" w:oddVBand="0" w:evenVBand="0" w:oddHBand="0" w:evenHBand="0" w:firstRowFirstColumn="0" w:firstRowLastColumn="0" w:lastRowFirstColumn="0" w:lastRowLastColumn="0"/>
                  </w:pPr>
                  <w:r>
                    <w:t>Cash Flow</w:t>
                  </w:r>
                </w:p>
              </w:tc>
              <w:tc>
                <w:tcPr>
                  <w:tcW w:w="3042" w:type="dxa"/>
                </w:tcPr>
                <w:p w:rsidR="00071D47" w:rsidRDefault="00071D47" w:rsidP="009674E9">
                  <w:pPr>
                    <w:spacing w:line="360" w:lineRule="auto"/>
                    <w:cnfStyle w:val="100000000000" w:firstRow="1" w:lastRow="0" w:firstColumn="0" w:lastColumn="0" w:oddVBand="0" w:evenVBand="0" w:oddHBand="0" w:evenHBand="0" w:firstRowFirstColumn="0" w:firstRowLastColumn="0" w:lastRowFirstColumn="0" w:lastRowLastColumn="0"/>
                  </w:pPr>
                  <w:proofErr w:type="spellStart"/>
                  <w:r>
                    <w:t>Cummulative</w:t>
                  </w:r>
                  <w:proofErr w:type="spellEnd"/>
                  <w:r>
                    <w:t xml:space="preserve"> Cash Flow</w:t>
                  </w:r>
                </w:p>
              </w:tc>
            </w:tr>
            <w:tr w:rsidR="00071D47" w:rsidTr="00071D4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41" w:type="dxa"/>
                </w:tcPr>
                <w:p w:rsidR="00071D47" w:rsidRDefault="00071D47" w:rsidP="009674E9">
                  <w:pPr>
                    <w:spacing w:line="360" w:lineRule="auto"/>
                  </w:pPr>
                  <w:r>
                    <w:t>0</w:t>
                  </w:r>
                </w:p>
              </w:tc>
              <w:tc>
                <w:tcPr>
                  <w:tcW w:w="3041" w:type="dxa"/>
                </w:tcPr>
                <w:p w:rsidR="00071D47" w:rsidRDefault="00071D47" w:rsidP="009674E9">
                  <w:pPr>
                    <w:spacing w:line="360" w:lineRule="auto"/>
                    <w:cnfStyle w:val="000000100000" w:firstRow="0" w:lastRow="0" w:firstColumn="0" w:lastColumn="0" w:oddVBand="0" w:evenVBand="0" w:oddHBand="1" w:evenHBand="0" w:firstRowFirstColumn="0" w:firstRowLastColumn="0" w:lastRowFirstColumn="0" w:lastRowLastColumn="0"/>
                  </w:pPr>
                  <w:r>
                    <w:t>-5000</w:t>
                  </w:r>
                </w:p>
              </w:tc>
              <w:tc>
                <w:tcPr>
                  <w:tcW w:w="3042" w:type="dxa"/>
                </w:tcPr>
                <w:p w:rsidR="00071D47" w:rsidRDefault="00071D47" w:rsidP="009674E9">
                  <w:pPr>
                    <w:spacing w:line="360" w:lineRule="auto"/>
                    <w:cnfStyle w:val="000000100000" w:firstRow="0" w:lastRow="0" w:firstColumn="0" w:lastColumn="0" w:oddVBand="0" w:evenVBand="0" w:oddHBand="1" w:evenHBand="0" w:firstRowFirstColumn="0" w:firstRowLastColumn="0" w:lastRowFirstColumn="0" w:lastRowLastColumn="0"/>
                  </w:pPr>
                  <w:r>
                    <w:t>-5000</w:t>
                  </w:r>
                </w:p>
              </w:tc>
            </w:tr>
            <w:tr w:rsidR="00071D47" w:rsidTr="00071D47">
              <w:tc>
                <w:tcPr>
                  <w:cnfStyle w:val="001000000000" w:firstRow="0" w:lastRow="0" w:firstColumn="1" w:lastColumn="0" w:oddVBand="0" w:evenVBand="0" w:oddHBand="0" w:evenHBand="0" w:firstRowFirstColumn="0" w:firstRowLastColumn="0" w:lastRowFirstColumn="0" w:lastRowLastColumn="0"/>
                  <w:tcW w:w="3041" w:type="dxa"/>
                </w:tcPr>
                <w:p w:rsidR="00071D47" w:rsidRDefault="00071D47" w:rsidP="009674E9">
                  <w:pPr>
                    <w:spacing w:line="360" w:lineRule="auto"/>
                  </w:pPr>
                  <w:r>
                    <w:t>1</w:t>
                  </w:r>
                </w:p>
              </w:tc>
              <w:tc>
                <w:tcPr>
                  <w:tcW w:w="3041" w:type="dxa"/>
                </w:tcPr>
                <w:p w:rsidR="00071D47" w:rsidRDefault="00071D47" w:rsidP="009674E9">
                  <w:pPr>
                    <w:spacing w:line="360" w:lineRule="auto"/>
                    <w:cnfStyle w:val="000000000000" w:firstRow="0" w:lastRow="0" w:firstColumn="0" w:lastColumn="0" w:oddVBand="0" w:evenVBand="0" w:oddHBand="0" w:evenHBand="0" w:firstRowFirstColumn="0" w:firstRowLastColumn="0" w:lastRowFirstColumn="0" w:lastRowLastColumn="0"/>
                  </w:pPr>
                  <w:r>
                    <w:t>2500</w:t>
                  </w:r>
                </w:p>
              </w:tc>
              <w:tc>
                <w:tcPr>
                  <w:tcW w:w="3042" w:type="dxa"/>
                </w:tcPr>
                <w:p w:rsidR="00071D47" w:rsidRDefault="00071D47" w:rsidP="009674E9">
                  <w:pPr>
                    <w:spacing w:line="360" w:lineRule="auto"/>
                    <w:cnfStyle w:val="000000000000" w:firstRow="0" w:lastRow="0" w:firstColumn="0" w:lastColumn="0" w:oddVBand="0" w:evenVBand="0" w:oddHBand="0" w:evenHBand="0" w:firstRowFirstColumn="0" w:firstRowLastColumn="0" w:lastRowFirstColumn="0" w:lastRowLastColumn="0"/>
                  </w:pPr>
                  <w:r>
                    <w:t>-2500</w:t>
                  </w:r>
                </w:p>
              </w:tc>
            </w:tr>
            <w:tr w:rsidR="00071D47" w:rsidTr="00071D4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41" w:type="dxa"/>
                </w:tcPr>
                <w:p w:rsidR="00071D47" w:rsidRDefault="00071D47" w:rsidP="009674E9">
                  <w:pPr>
                    <w:spacing w:line="360" w:lineRule="auto"/>
                  </w:pPr>
                  <w:r>
                    <w:t>2</w:t>
                  </w:r>
                </w:p>
              </w:tc>
              <w:tc>
                <w:tcPr>
                  <w:tcW w:w="3041" w:type="dxa"/>
                </w:tcPr>
                <w:p w:rsidR="00071D47" w:rsidRDefault="00071D47" w:rsidP="009674E9">
                  <w:pPr>
                    <w:spacing w:line="360" w:lineRule="auto"/>
                    <w:cnfStyle w:val="000000100000" w:firstRow="0" w:lastRow="0" w:firstColumn="0" w:lastColumn="0" w:oddVBand="0" w:evenVBand="0" w:oddHBand="1" w:evenHBand="0" w:firstRowFirstColumn="0" w:firstRowLastColumn="0" w:lastRowFirstColumn="0" w:lastRowLastColumn="0"/>
                  </w:pPr>
                  <w:r>
                    <w:t>2000</w:t>
                  </w:r>
                </w:p>
              </w:tc>
              <w:tc>
                <w:tcPr>
                  <w:tcW w:w="3042" w:type="dxa"/>
                </w:tcPr>
                <w:p w:rsidR="00071D47" w:rsidRDefault="00071D47" w:rsidP="009674E9">
                  <w:pPr>
                    <w:spacing w:line="360" w:lineRule="auto"/>
                    <w:cnfStyle w:val="000000100000" w:firstRow="0" w:lastRow="0" w:firstColumn="0" w:lastColumn="0" w:oddVBand="0" w:evenVBand="0" w:oddHBand="1" w:evenHBand="0" w:firstRowFirstColumn="0" w:firstRowLastColumn="0" w:lastRowFirstColumn="0" w:lastRowLastColumn="0"/>
                  </w:pPr>
                  <w:r>
                    <w:t>-500</w:t>
                  </w:r>
                </w:p>
              </w:tc>
            </w:tr>
            <w:tr w:rsidR="00071D47" w:rsidTr="00071D47">
              <w:tc>
                <w:tcPr>
                  <w:cnfStyle w:val="001000000000" w:firstRow="0" w:lastRow="0" w:firstColumn="1" w:lastColumn="0" w:oddVBand="0" w:evenVBand="0" w:oddHBand="0" w:evenHBand="0" w:firstRowFirstColumn="0" w:firstRowLastColumn="0" w:lastRowFirstColumn="0" w:lastRowLastColumn="0"/>
                  <w:tcW w:w="3041" w:type="dxa"/>
                </w:tcPr>
                <w:p w:rsidR="00071D47" w:rsidRDefault="00071D47" w:rsidP="009674E9">
                  <w:pPr>
                    <w:spacing w:line="360" w:lineRule="auto"/>
                  </w:pPr>
                  <w:r>
                    <w:t>3</w:t>
                  </w:r>
                </w:p>
              </w:tc>
              <w:tc>
                <w:tcPr>
                  <w:tcW w:w="3041" w:type="dxa"/>
                </w:tcPr>
                <w:p w:rsidR="00071D47" w:rsidRDefault="00071D47" w:rsidP="009674E9">
                  <w:pPr>
                    <w:spacing w:line="360" w:lineRule="auto"/>
                    <w:cnfStyle w:val="000000000000" w:firstRow="0" w:lastRow="0" w:firstColumn="0" w:lastColumn="0" w:oddVBand="0" w:evenVBand="0" w:oddHBand="0" w:evenHBand="0" w:firstRowFirstColumn="0" w:firstRowLastColumn="0" w:lastRowFirstColumn="0" w:lastRowLastColumn="0"/>
                  </w:pPr>
                  <w:r>
                    <w:t>1000</w:t>
                  </w:r>
                </w:p>
              </w:tc>
              <w:tc>
                <w:tcPr>
                  <w:tcW w:w="3042" w:type="dxa"/>
                </w:tcPr>
                <w:p w:rsidR="00071D47" w:rsidRDefault="00071D47" w:rsidP="009674E9">
                  <w:pPr>
                    <w:spacing w:line="360" w:lineRule="auto"/>
                    <w:cnfStyle w:val="000000000000" w:firstRow="0" w:lastRow="0" w:firstColumn="0" w:lastColumn="0" w:oddVBand="0" w:evenVBand="0" w:oddHBand="0" w:evenHBand="0" w:firstRowFirstColumn="0" w:firstRowLastColumn="0" w:lastRowFirstColumn="0" w:lastRowLastColumn="0"/>
                  </w:pPr>
                  <w:r>
                    <w:t>500</w:t>
                  </w:r>
                </w:p>
              </w:tc>
            </w:tr>
            <w:tr w:rsidR="00071D47" w:rsidTr="00071D4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41" w:type="dxa"/>
                </w:tcPr>
                <w:p w:rsidR="00071D47" w:rsidRDefault="00071D47" w:rsidP="009674E9">
                  <w:pPr>
                    <w:spacing w:line="360" w:lineRule="auto"/>
                  </w:pPr>
                  <w:r>
                    <w:t>4</w:t>
                  </w:r>
                </w:p>
              </w:tc>
              <w:tc>
                <w:tcPr>
                  <w:tcW w:w="3041" w:type="dxa"/>
                </w:tcPr>
                <w:p w:rsidR="00071D47" w:rsidRDefault="00071D47" w:rsidP="009674E9">
                  <w:pPr>
                    <w:spacing w:line="360" w:lineRule="auto"/>
                    <w:cnfStyle w:val="000000100000" w:firstRow="0" w:lastRow="0" w:firstColumn="0" w:lastColumn="0" w:oddVBand="0" w:evenVBand="0" w:oddHBand="1" w:evenHBand="0" w:firstRowFirstColumn="0" w:firstRowLastColumn="0" w:lastRowFirstColumn="0" w:lastRowLastColumn="0"/>
                  </w:pPr>
                  <w:r>
                    <w:t>-442</w:t>
                  </w:r>
                </w:p>
              </w:tc>
              <w:tc>
                <w:tcPr>
                  <w:tcW w:w="3042" w:type="dxa"/>
                </w:tcPr>
                <w:p w:rsidR="00071D47" w:rsidRDefault="00071D47" w:rsidP="009674E9">
                  <w:pPr>
                    <w:spacing w:line="360" w:lineRule="auto"/>
                    <w:cnfStyle w:val="000000100000" w:firstRow="0" w:lastRow="0" w:firstColumn="0" w:lastColumn="0" w:oddVBand="0" w:evenVBand="0" w:oddHBand="1" w:evenHBand="0" w:firstRowFirstColumn="0" w:firstRowLastColumn="0" w:lastRowFirstColumn="0" w:lastRowLastColumn="0"/>
                  </w:pPr>
                  <w:r>
                    <w:t>58</w:t>
                  </w:r>
                </w:p>
              </w:tc>
            </w:tr>
            <w:tr w:rsidR="00071D47" w:rsidTr="00071D47">
              <w:tc>
                <w:tcPr>
                  <w:cnfStyle w:val="001000000000" w:firstRow="0" w:lastRow="0" w:firstColumn="1" w:lastColumn="0" w:oddVBand="0" w:evenVBand="0" w:oddHBand="0" w:evenHBand="0" w:firstRowFirstColumn="0" w:firstRowLastColumn="0" w:lastRowFirstColumn="0" w:lastRowLastColumn="0"/>
                  <w:tcW w:w="3041" w:type="dxa"/>
                </w:tcPr>
                <w:p w:rsidR="00071D47" w:rsidRDefault="00071D47" w:rsidP="009674E9">
                  <w:pPr>
                    <w:spacing w:line="360" w:lineRule="auto"/>
                  </w:pPr>
                  <w:r>
                    <w:t>Payback Period</w:t>
                  </w:r>
                </w:p>
              </w:tc>
              <w:tc>
                <w:tcPr>
                  <w:tcW w:w="3041" w:type="dxa"/>
                </w:tcPr>
                <w:p w:rsidR="00071D47" w:rsidRDefault="00071D47" w:rsidP="009674E9">
                  <w:pPr>
                    <w:spacing w:line="360" w:lineRule="auto"/>
                    <w:cnfStyle w:val="000000000000" w:firstRow="0" w:lastRow="0" w:firstColumn="0" w:lastColumn="0" w:oddVBand="0" w:evenVBand="0" w:oddHBand="0" w:evenHBand="0" w:firstRowFirstColumn="0" w:firstRowLastColumn="0" w:lastRowFirstColumn="0" w:lastRowLastColumn="0"/>
                  </w:pPr>
                  <w:r>
                    <w:t xml:space="preserve">                            2.5 </w:t>
                  </w:r>
                </w:p>
              </w:tc>
              <w:tc>
                <w:tcPr>
                  <w:tcW w:w="3042" w:type="dxa"/>
                </w:tcPr>
                <w:p w:rsidR="00071D47" w:rsidRDefault="00071D47" w:rsidP="009674E9">
                  <w:pPr>
                    <w:spacing w:line="360" w:lineRule="auto"/>
                    <w:cnfStyle w:val="000000000000" w:firstRow="0" w:lastRow="0" w:firstColumn="0" w:lastColumn="0" w:oddVBand="0" w:evenVBand="0" w:oddHBand="0" w:evenHBand="0" w:firstRowFirstColumn="0" w:firstRowLastColumn="0" w:lastRowFirstColumn="0" w:lastRowLastColumn="0"/>
                  </w:pPr>
                </w:p>
              </w:tc>
            </w:tr>
          </w:tbl>
          <w:p w:rsidR="00071D47" w:rsidRDefault="00071D47" w:rsidP="009674E9">
            <w:pPr>
              <w:spacing w:line="360" w:lineRule="auto"/>
            </w:pPr>
          </w:p>
        </w:tc>
      </w:tr>
    </w:tbl>
    <w:p w:rsidR="00752C5F" w:rsidRDefault="00071D47" w:rsidP="009674E9">
      <w:pPr>
        <w:spacing w:line="360" w:lineRule="auto"/>
      </w:pPr>
      <w:r>
        <w:t xml:space="preserve">  </w:t>
      </w:r>
    </w:p>
    <w:tbl>
      <w:tblPr>
        <w:tblStyle w:val="TableGrid"/>
        <w:tblW w:w="0" w:type="auto"/>
        <w:tblLook w:val="04A0" w:firstRow="1" w:lastRow="0" w:firstColumn="1" w:lastColumn="0" w:noHBand="0" w:noVBand="1"/>
      </w:tblPr>
      <w:tblGrid>
        <w:gridCol w:w="9350"/>
      </w:tblGrid>
      <w:tr w:rsidR="00071D47" w:rsidTr="00071D47">
        <w:tc>
          <w:tcPr>
            <w:tcW w:w="9350" w:type="dxa"/>
          </w:tcPr>
          <w:p w:rsidR="00071D47" w:rsidRDefault="00071D47" w:rsidP="009674E9">
            <w:pPr>
              <w:spacing w:line="360" w:lineRule="auto"/>
            </w:pPr>
            <w:r>
              <w:t xml:space="preserve">                                                                 Project B </w:t>
            </w:r>
          </w:p>
          <w:tbl>
            <w:tblPr>
              <w:tblStyle w:val="PlainTable5"/>
              <w:tblW w:w="0" w:type="auto"/>
              <w:tblLook w:val="04A0" w:firstRow="1" w:lastRow="0" w:firstColumn="1" w:lastColumn="0" w:noHBand="0" w:noVBand="1"/>
            </w:tblPr>
            <w:tblGrid>
              <w:gridCol w:w="3041"/>
              <w:gridCol w:w="3041"/>
              <w:gridCol w:w="3042"/>
            </w:tblGrid>
            <w:tr w:rsidR="00071D47" w:rsidTr="00071D47">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3041" w:type="dxa"/>
                </w:tcPr>
                <w:p w:rsidR="00071D47" w:rsidRDefault="00071D47" w:rsidP="009674E9">
                  <w:pPr>
                    <w:spacing w:line="360" w:lineRule="auto"/>
                  </w:pPr>
                  <w:r>
                    <w:t>Year</w:t>
                  </w:r>
                </w:p>
              </w:tc>
              <w:tc>
                <w:tcPr>
                  <w:tcW w:w="3041" w:type="dxa"/>
                </w:tcPr>
                <w:p w:rsidR="00071D47" w:rsidRDefault="00071D47" w:rsidP="009674E9">
                  <w:pPr>
                    <w:spacing w:line="360" w:lineRule="auto"/>
                    <w:cnfStyle w:val="100000000000" w:firstRow="1" w:lastRow="0" w:firstColumn="0" w:lastColumn="0" w:oddVBand="0" w:evenVBand="0" w:oddHBand="0" w:evenHBand="0" w:firstRowFirstColumn="0" w:firstRowLastColumn="0" w:lastRowFirstColumn="0" w:lastRowLastColumn="0"/>
                  </w:pPr>
                  <w:r>
                    <w:t>Cash Flow</w:t>
                  </w:r>
                </w:p>
              </w:tc>
              <w:tc>
                <w:tcPr>
                  <w:tcW w:w="3042" w:type="dxa"/>
                </w:tcPr>
                <w:p w:rsidR="00071D47" w:rsidRDefault="00071D47" w:rsidP="009674E9">
                  <w:pPr>
                    <w:spacing w:line="360" w:lineRule="auto"/>
                    <w:cnfStyle w:val="100000000000" w:firstRow="1" w:lastRow="0" w:firstColumn="0" w:lastColumn="0" w:oddVBand="0" w:evenVBand="0" w:oddHBand="0" w:evenHBand="0" w:firstRowFirstColumn="0" w:firstRowLastColumn="0" w:lastRowFirstColumn="0" w:lastRowLastColumn="0"/>
                  </w:pPr>
                  <w:proofErr w:type="spellStart"/>
                  <w:r>
                    <w:t>Cummulative</w:t>
                  </w:r>
                  <w:proofErr w:type="spellEnd"/>
                  <w:r>
                    <w:t xml:space="preserve"> Cash Flow</w:t>
                  </w:r>
                </w:p>
              </w:tc>
            </w:tr>
            <w:tr w:rsidR="00071D47" w:rsidTr="00071D4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41" w:type="dxa"/>
                </w:tcPr>
                <w:p w:rsidR="00071D47" w:rsidRDefault="00071D47" w:rsidP="009674E9">
                  <w:pPr>
                    <w:spacing w:line="360" w:lineRule="auto"/>
                  </w:pPr>
                  <w:r>
                    <w:t>0</w:t>
                  </w:r>
                </w:p>
              </w:tc>
              <w:tc>
                <w:tcPr>
                  <w:tcW w:w="3041" w:type="dxa"/>
                </w:tcPr>
                <w:p w:rsidR="00071D47" w:rsidRDefault="00071D47" w:rsidP="009674E9">
                  <w:pPr>
                    <w:spacing w:line="360" w:lineRule="auto"/>
                    <w:cnfStyle w:val="000000100000" w:firstRow="0" w:lastRow="0" w:firstColumn="0" w:lastColumn="0" w:oddVBand="0" w:evenVBand="0" w:oddHBand="1" w:evenHBand="0" w:firstRowFirstColumn="0" w:firstRowLastColumn="0" w:lastRowFirstColumn="0" w:lastRowLastColumn="0"/>
                  </w:pPr>
                  <w:r>
                    <w:t>-1000</w:t>
                  </w:r>
                </w:p>
              </w:tc>
              <w:tc>
                <w:tcPr>
                  <w:tcW w:w="3042" w:type="dxa"/>
                </w:tcPr>
                <w:p w:rsidR="00071D47" w:rsidRDefault="00071D47" w:rsidP="009674E9">
                  <w:pPr>
                    <w:spacing w:line="360" w:lineRule="auto"/>
                    <w:cnfStyle w:val="000000100000" w:firstRow="0" w:lastRow="0" w:firstColumn="0" w:lastColumn="0" w:oddVBand="0" w:evenVBand="0" w:oddHBand="1" w:evenHBand="0" w:firstRowFirstColumn="0" w:firstRowLastColumn="0" w:lastRowFirstColumn="0" w:lastRowLastColumn="0"/>
                  </w:pPr>
                  <w:r>
                    <w:t>-1000</w:t>
                  </w:r>
                </w:p>
              </w:tc>
            </w:tr>
            <w:tr w:rsidR="00071D47" w:rsidTr="00071D47">
              <w:tc>
                <w:tcPr>
                  <w:cnfStyle w:val="001000000000" w:firstRow="0" w:lastRow="0" w:firstColumn="1" w:lastColumn="0" w:oddVBand="0" w:evenVBand="0" w:oddHBand="0" w:evenHBand="0" w:firstRowFirstColumn="0" w:firstRowLastColumn="0" w:lastRowFirstColumn="0" w:lastRowLastColumn="0"/>
                  <w:tcW w:w="3041" w:type="dxa"/>
                </w:tcPr>
                <w:p w:rsidR="00071D47" w:rsidRDefault="00071D47" w:rsidP="009674E9">
                  <w:pPr>
                    <w:spacing w:line="360" w:lineRule="auto"/>
                  </w:pPr>
                  <w:r>
                    <w:t>1</w:t>
                  </w:r>
                </w:p>
              </w:tc>
              <w:tc>
                <w:tcPr>
                  <w:tcW w:w="3041" w:type="dxa"/>
                </w:tcPr>
                <w:p w:rsidR="00071D47" w:rsidRDefault="00071D47" w:rsidP="009674E9">
                  <w:pPr>
                    <w:spacing w:line="360" w:lineRule="auto"/>
                    <w:cnfStyle w:val="000000000000" w:firstRow="0" w:lastRow="0" w:firstColumn="0" w:lastColumn="0" w:oddVBand="0" w:evenVBand="0" w:oddHBand="0" w:evenHBand="0" w:firstRowFirstColumn="0" w:firstRowLastColumn="0" w:lastRowFirstColumn="0" w:lastRowLastColumn="0"/>
                  </w:pPr>
                  <w:r>
                    <w:t>1500</w:t>
                  </w:r>
                </w:p>
              </w:tc>
              <w:tc>
                <w:tcPr>
                  <w:tcW w:w="3042" w:type="dxa"/>
                </w:tcPr>
                <w:p w:rsidR="00071D47" w:rsidRDefault="00071D47" w:rsidP="009674E9">
                  <w:pPr>
                    <w:spacing w:line="360" w:lineRule="auto"/>
                    <w:cnfStyle w:val="000000000000" w:firstRow="0" w:lastRow="0" w:firstColumn="0" w:lastColumn="0" w:oddVBand="0" w:evenVBand="0" w:oddHBand="0" w:evenHBand="0" w:firstRowFirstColumn="0" w:firstRowLastColumn="0" w:lastRowFirstColumn="0" w:lastRowLastColumn="0"/>
                  </w:pPr>
                  <w:r>
                    <w:t>500</w:t>
                  </w:r>
                </w:p>
              </w:tc>
            </w:tr>
            <w:tr w:rsidR="00071D47" w:rsidTr="00071D4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41" w:type="dxa"/>
                </w:tcPr>
                <w:p w:rsidR="00071D47" w:rsidRDefault="00071D47" w:rsidP="009674E9">
                  <w:pPr>
                    <w:spacing w:line="360" w:lineRule="auto"/>
                  </w:pPr>
                  <w:r>
                    <w:t>2</w:t>
                  </w:r>
                </w:p>
              </w:tc>
              <w:tc>
                <w:tcPr>
                  <w:tcW w:w="3041" w:type="dxa"/>
                </w:tcPr>
                <w:p w:rsidR="00071D47" w:rsidRDefault="00071D47" w:rsidP="009674E9">
                  <w:pPr>
                    <w:spacing w:line="360" w:lineRule="auto"/>
                    <w:cnfStyle w:val="000000100000" w:firstRow="0" w:lastRow="0" w:firstColumn="0" w:lastColumn="0" w:oddVBand="0" w:evenVBand="0" w:oddHBand="1" w:evenHBand="0" w:firstRowFirstColumn="0" w:firstRowLastColumn="0" w:lastRowFirstColumn="0" w:lastRowLastColumn="0"/>
                  </w:pPr>
                  <w:r>
                    <w:t>1000</w:t>
                  </w:r>
                </w:p>
              </w:tc>
              <w:tc>
                <w:tcPr>
                  <w:tcW w:w="3042" w:type="dxa"/>
                </w:tcPr>
                <w:p w:rsidR="00071D47" w:rsidRDefault="00071D47" w:rsidP="009674E9">
                  <w:pPr>
                    <w:spacing w:line="360" w:lineRule="auto"/>
                    <w:cnfStyle w:val="000000100000" w:firstRow="0" w:lastRow="0" w:firstColumn="0" w:lastColumn="0" w:oddVBand="0" w:evenVBand="0" w:oddHBand="1" w:evenHBand="0" w:firstRowFirstColumn="0" w:firstRowLastColumn="0" w:lastRowFirstColumn="0" w:lastRowLastColumn="0"/>
                  </w:pPr>
                  <w:r>
                    <w:t>1500</w:t>
                  </w:r>
                </w:p>
              </w:tc>
            </w:tr>
            <w:tr w:rsidR="00071D47" w:rsidTr="00071D47">
              <w:tc>
                <w:tcPr>
                  <w:cnfStyle w:val="001000000000" w:firstRow="0" w:lastRow="0" w:firstColumn="1" w:lastColumn="0" w:oddVBand="0" w:evenVBand="0" w:oddHBand="0" w:evenHBand="0" w:firstRowFirstColumn="0" w:firstRowLastColumn="0" w:lastRowFirstColumn="0" w:lastRowLastColumn="0"/>
                  <w:tcW w:w="3041" w:type="dxa"/>
                </w:tcPr>
                <w:p w:rsidR="00071D47" w:rsidRDefault="00071D47" w:rsidP="009674E9">
                  <w:pPr>
                    <w:spacing w:line="360" w:lineRule="auto"/>
                  </w:pPr>
                  <w:r>
                    <w:t>3</w:t>
                  </w:r>
                </w:p>
              </w:tc>
              <w:tc>
                <w:tcPr>
                  <w:tcW w:w="3041" w:type="dxa"/>
                </w:tcPr>
                <w:p w:rsidR="00071D47" w:rsidRDefault="00071D47" w:rsidP="009674E9">
                  <w:pPr>
                    <w:spacing w:line="360" w:lineRule="auto"/>
                    <w:cnfStyle w:val="000000000000" w:firstRow="0" w:lastRow="0" w:firstColumn="0" w:lastColumn="0" w:oddVBand="0" w:evenVBand="0" w:oddHBand="0" w:evenHBand="0" w:firstRowFirstColumn="0" w:firstRowLastColumn="0" w:lastRowFirstColumn="0" w:lastRowLastColumn="0"/>
                  </w:pPr>
                  <w:r>
                    <w:t>1000</w:t>
                  </w:r>
                </w:p>
              </w:tc>
              <w:tc>
                <w:tcPr>
                  <w:tcW w:w="3042" w:type="dxa"/>
                </w:tcPr>
                <w:p w:rsidR="00071D47" w:rsidRDefault="00071D47" w:rsidP="009674E9">
                  <w:pPr>
                    <w:spacing w:line="360" w:lineRule="auto"/>
                    <w:cnfStyle w:val="000000000000" w:firstRow="0" w:lastRow="0" w:firstColumn="0" w:lastColumn="0" w:oddVBand="0" w:evenVBand="0" w:oddHBand="0" w:evenHBand="0" w:firstRowFirstColumn="0" w:firstRowLastColumn="0" w:lastRowFirstColumn="0" w:lastRowLastColumn="0"/>
                  </w:pPr>
                  <w:r>
                    <w:t>2500</w:t>
                  </w:r>
                </w:p>
              </w:tc>
            </w:tr>
            <w:tr w:rsidR="00071D47" w:rsidTr="00071D4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41" w:type="dxa"/>
                </w:tcPr>
                <w:p w:rsidR="00071D47" w:rsidRDefault="00071D47" w:rsidP="009674E9">
                  <w:pPr>
                    <w:spacing w:line="360" w:lineRule="auto"/>
                  </w:pPr>
                  <w:r>
                    <w:t>4</w:t>
                  </w:r>
                </w:p>
              </w:tc>
              <w:tc>
                <w:tcPr>
                  <w:tcW w:w="3041" w:type="dxa"/>
                </w:tcPr>
                <w:p w:rsidR="00071D47" w:rsidRDefault="00071D47" w:rsidP="009674E9">
                  <w:pPr>
                    <w:spacing w:line="360" w:lineRule="auto"/>
                    <w:cnfStyle w:val="000000100000" w:firstRow="0" w:lastRow="0" w:firstColumn="0" w:lastColumn="0" w:oddVBand="0" w:evenVBand="0" w:oddHBand="1" w:evenHBand="0" w:firstRowFirstColumn="0" w:firstRowLastColumn="0" w:lastRowFirstColumn="0" w:lastRowLastColumn="0"/>
                  </w:pPr>
                  <w:r>
                    <w:t>-470</w:t>
                  </w:r>
                </w:p>
              </w:tc>
              <w:tc>
                <w:tcPr>
                  <w:tcW w:w="3042" w:type="dxa"/>
                </w:tcPr>
                <w:p w:rsidR="00071D47" w:rsidRDefault="00071D47" w:rsidP="009674E9">
                  <w:pPr>
                    <w:spacing w:line="360" w:lineRule="auto"/>
                    <w:cnfStyle w:val="000000100000" w:firstRow="0" w:lastRow="0" w:firstColumn="0" w:lastColumn="0" w:oddVBand="0" w:evenVBand="0" w:oddHBand="1" w:evenHBand="0" w:firstRowFirstColumn="0" w:firstRowLastColumn="0" w:lastRowFirstColumn="0" w:lastRowLastColumn="0"/>
                  </w:pPr>
                  <w:r>
                    <w:t>2030</w:t>
                  </w:r>
                </w:p>
              </w:tc>
            </w:tr>
            <w:tr w:rsidR="00071D47" w:rsidTr="00071D47">
              <w:tc>
                <w:tcPr>
                  <w:cnfStyle w:val="001000000000" w:firstRow="0" w:lastRow="0" w:firstColumn="1" w:lastColumn="0" w:oddVBand="0" w:evenVBand="0" w:oddHBand="0" w:evenHBand="0" w:firstRowFirstColumn="0" w:firstRowLastColumn="0" w:lastRowFirstColumn="0" w:lastRowLastColumn="0"/>
                  <w:tcW w:w="3041" w:type="dxa"/>
                </w:tcPr>
                <w:p w:rsidR="00071D47" w:rsidRDefault="00071D47" w:rsidP="009674E9">
                  <w:pPr>
                    <w:spacing w:line="360" w:lineRule="auto"/>
                  </w:pPr>
                  <w:r>
                    <w:t>Payback Period</w:t>
                  </w:r>
                </w:p>
              </w:tc>
              <w:tc>
                <w:tcPr>
                  <w:tcW w:w="3041" w:type="dxa"/>
                </w:tcPr>
                <w:p w:rsidR="00071D47" w:rsidRDefault="00071D47" w:rsidP="009674E9">
                  <w:pPr>
                    <w:spacing w:line="360" w:lineRule="auto"/>
                    <w:cnfStyle w:val="000000000000" w:firstRow="0" w:lastRow="0" w:firstColumn="0" w:lastColumn="0" w:oddVBand="0" w:evenVBand="0" w:oddHBand="0" w:evenHBand="0" w:firstRowFirstColumn="0" w:firstRowLastColumn="0" w:lastRowFirstColumn="0" w:lastRowLastColumn="0"/>
                  </w:pPr>
                  <w:r>
                    <w:t xml:space="preserve">                           0.67</w:t>
                  </w:r>
                </w:p>
              </w:tc>
              <w:tc>
                <w:tcPr>
                  <w:tcW w:w="3042" w:type="dxa"/>
                </w:tcPr>
                <w:p w:rsidR="00071D47" w:rsidRDefault="00071D47" w:rsidP="009674E9">
                  <w:pPr>
                    <w:spacing w:line="360" w:lineRule="auto"/>
                    <w:cnfStyle w:val="000000000000" w:firstRow="0" w:lastRow="0" w:firstColumn="0" w:lastColumn="0" w:oddVBand="0" w:evenVBand="0" w:oddHBand="0" w:evenHBand="0" w:firstRowFirstColumn="0" w:firstRowLastColumn="0" w:lastRowFirstColumn="0" w:lastRowLastColumn="0"/>
                  </w:pPr>
                </w:p>
              </w:tc>
            </w:tr>
          </w:tbl>
          <w:p w:rsidR="00071D47" w:rsidRDefault="00071D47" w:rsidP="009674E9">
            <w:pPr>
              <w:spacing w:line="360" w:lineRule="auto"/>
            </w:pPr>
            <w:r>
              <w:t xml:space="preserve"> </w:t>
            </w:r>
          </w:p>
        </w:tc>
      </w:tr>
    </w:tbl>
    <w:p w:rsidR="00752C5F" w:rsidRPr="00752C5F" w:rsidRDefault="00752C5F" w:rsidP="00752C5F">
      <w:pPr>
        <w:spacing w:line="360" w:lineRule="auto"/>
        <w:rPr>
          <w:b/>
          <w:i/>
        </w:rPr>
      </w:pPr>
      <w:r w:rsidRPr="00752C5F">
        <w:rPr>
          <w:b/>
          <w:i/>
        </w:rPr>
        <w:lastRenderedPageBreak/>
        <w:t>Accounting Rate of Return</w:t>
      </w:r>
    </w:p>
    <w:tbl>
      <w:tblPr>
        <w:tblStyle w:val="TableGrid"/>
        <w:tblW w:w="0" w:type="auto"/>
        <w:tblLook w:val="04A0" w:firstRow="1" w:lastRow="0" w:firstColumn="1" w:lastColumn="0" w:noHBand="0" w:noVBand="1"/>
      </w:tblPr>
      <w:tblGrid>
        <w:gridCol w:w="3116"/>
        <w:gridCol w:w="3117"/>
        <w:gridCol w:w="3117"/>
      </w:tblGrid>
      <w:tr w:rsidR="00B93DF0" w:rsidTr="00B93DF0">
        <w:tc>
          <w:tcPr>
            <w:tcW w:w="3116" w:type="dxa"/>
          </w:tcPr>
          <w:p w:rsidR="00B93DF0" w:rsidRDefault="00B93DF0" w:rsidP="006347D9">
            <w:pPr>
              <w:spacing w:line="360" w:lineRule="auto"/>
              <w:rPr>
                <w:lang w:val="en-IN"/>
              </w:rPr>
            </w:pPr>
            <w:r>
              <w:rPr>
                <w:lang w:val="en-IN"/>
              </w:rPr>
              <w:t>Years</w:t>
            </w:r>
          </w:p>
        </w:tc>
        <w:tc>
          <w:tcPr>
            <w:tcW w:w="3117" w:type="dxa"/>
          </w:tcPr>
          <w:p w:rsidR="00B93DF0" w:rsidRDefault="00B93DF0" w:rsidP="006347D9">
            <w:pPr>
              <w:spacing w:line="360" w:lineRule="auto"/>
              <w:rPr>
                <w:lang w:val="en-IN"/>
              </w:rPr>
            </w:pPr>
            <w:r>
              <w:rPr>
                <w:lang w:val="en-IN"/>
              </w:rPr>
              <w:t>Project A</w:t>
            </w:r>
          </w:p>
        </w:tc>
        <w:tc>
          <w:tcPr>
            <w:tcW w:w="3117" w:type="dxa"/>
          </w:tcPr>
          <w:p w:rsidR="00B93DF0" w:rsidRDefault="00B93DF0" w:rsidP="006347D9">
            <w:pPr>
              <w:spacing w:line="360" w:lineRule="auto"/>
              <w:rPr>
                <w:lang w:val="en-IN"/>
              </w:rPr>
            </w:pPr>
            <w:r>
              <w:rPr>
                <w:lang w:val="en-IN"/>
              </w:rPr>
              <w:t>Project B</w:t>
            </w:r>
          </w:p>
        </w:tc>
      </w:tr>
      <w:tr w:rsidR="00B93DF0" w:rsidTr="00B93DF0">
        <w:tc>
          <w:tcPr>
            <w:tcW w:w="3116" w:type="dxa"/>
          </w:tcPr>
          <w:p w:rsidR="00B93DF0" w:rsidRDefault="00B93DF0" w:rsidP="006347D9">
            <w:pPr>
              <w:spacing w:line="360" w:lineRule="auto"/>
              <w:rPr>
                <w:lang w:val="en-IN"/>
              </w:rPr>
            </w:pPr>
            <w:r>
              <w:rPr>
                <w:lang w:val="en-IN"/>
              </w:rPr>
              <w:t>0</w:t>
            </w:r>
          </w:p>
        </w:tc>
        <w:tc>
          <w:tcPr>
            <w:tcW w:w="3117" w:type="dxa"/>
          </w:tcPr>
          <w:p w:rsidR="00B93DF0" w:rsidRDefault="00B93DF0" w:rsidP="006347D9">
            <w:pPr>
              <w:spacing w:line="360" w:lineRule="auto"/>
              <w:rPr>
                <w:lang w:val="en-IN"/>
              </w:rPr>
            </w:pPr>
            <w:r>
              <w:rPr>
                <w:lang w:val="en-IN"/>
              </w:rPr>
              <w:t>-5,000.00</w:t>
            </w:r>
          </w:p>
        </w:tc>
        <w:tc>
          <w:tcPr>
            <w:tcW w:w="3117" w:type="dxa"/>
          </w:tcPr>
          <w:p w:rsidR="00B93DF0" w:rsidRDefault="00521D54" w:rsidP="006347D9">
            <w:pPr>
              <w:spacing w:line="360" w:lineRule="auto"/>
              <w:rPr>
                <w:lang w:val="en-IN"/>
              </w:rPr>
            </w:pPr>
            <w:r>
              <w:rPr>
                <w:lang w:val="en-IN"/>
              </w:rPr>
              <w:t>-1,000,000,000.00</w:t>
            </w:r>
          </w:p>
        </w:tc>
      </w:tr>
      <w:tr w:rsidR="00B93DF0" w:rsidTr="00B93DF0">
        <w:tc>
          <w:tcPr>
            <w:tcW w:w="3116" w:type="dxa"/>
          </w:tcPr>
          <w:p w:rsidR="00B93DF0" w:rsidRDefault="00B93DF0" w:rsidP="006347D9">
            <w:pPr>
              <w:spacing w:line="360" w:lineRule="auto"/>
              <w:rPr>
                <w:lang w:val="en-IN"/>
              </w:rPr>
            </w:pPr>
            <w:r>
              <w:rPr>
                <w:lang w:val="en-IN"/>
              </w:rPr>
              <w:t>1</w:t>
            </w:r>
          </w:p>
        </w:tc>
        <w:tc>
          <w:tcPr>
            <w:tcW w:w="3117" w:type="dxa"/>
          </w:tcPr>
          <w:p w:rsidR="00B93DF0" w:rsidRDefault="00B93DF0" w:rsidP="006347D9">
            <w:pPr>
              <w:spacing w:line="360" w:lineRule="auto"/>
              <w:rPr>
                <w:lang w:val="en-IN"/>
              </w:rPr>
            </w:pPr>
            <w:r>
              <w:rPr>
                <w:lang w:val="en-IN"/>
              </w:rPr>
              <w:t>2,500.00</w:t>
            </w:r>
          </w:p>
        </w:tc>
        <w:tc>
          <w:tcPr>
            <w:tcW w:w="3117" w:type="dxa"/>
          </w:tcPr>
          <w:p w:rsidR="00B93DF0" w:rsidRDefault="00B93DF0" w:rsidP="006347D9">
            <w:pPr>
              <w:spacing w:line="360" w:lineRule="auto"/>
              <w:rPr>
                <w:lang w:val="en-IN"/>
              </w:rPr>
            </w:pPr>
            <w:r>
              <w:rPr>
                <w:lang w:val="en-IN"/>
              </w:rPr>
              <w:t>1,</w:t>
            </w:r>
            <w:r w:rsidR="00521D54">
              <w:rPr>
                <w:lang w:val="en-IN"/>
              </w:rPr>
              <w:t>500.00</w:t>
            </w:r>
          </w:p>
        </w:tc>
      </w:tr>
      <w:tr w:rsidR="00B93DF0" w:rsidTr="00B93DF0">
        <w:tc>
          <w:tcPr>
            <w:tcW w:w="3116" w:type="dxa"/>
          </w:tcPr>
          <w:p w:rsidR="00B93DF0" w:rsidRDefault="00B93DF0" w:rsidP="006347D9">
            <w:pPr>
              <w:spacing w:line="360" w:lineRule="auto"/>
              <w:rPr>
                <w:lang w:val="en-IN"/>
              </w:rPr>
            </w:pPr>
            <w:r>
              <w:rPr>
                <w:lang w:val="en-IN"/>
              </w:rPr>
              <w:t>2</w:t>
            </w:r>
          </w:p>
        </w:tc>
        <w:tc>
          <w:tcPr>
            <w:tcW w:w="3117" w:type="dxa"/>
          </w:tcPr>
          <w:p w:rsidR="00B93DF0" w:rsidRDefault="00B93DF0" w:rsidP="006347D9">
            <w:pPr>
              <w:spacing w:line="360" w:lineRule="auto"/>
              <w:rPr>
                <w:lang w:val="en-IN"/>
              </w:rPr>
            </w:pPr>
            <w:r>
              <w:rPr>
                <w:lang w:val="en-IN"/>
              </w:rPr>
              <w:t>2,000.00</w:t>
            </w:r>
          </w:p>
        </w:tc>
        <w:tc>
          <w:tcPr>
            <w:tcW w:w="3117" w:type="dxa"/>
          </w:tcPr>
          <w:p w:rsidR="00B93DF0" w:rsidRDefault="00B93DF0" w:rsidP="006347D9">
            <w:pPr>
              <w:spacing w:line="360" w:lineRule="auto"/>
              <w:rPr>
                <w:lang w:val="en-IN"/>
              </w:rPr>
            </w:pPr>
            <w:r>
              <w:rPr>
                <w:lang w:val="en-IN"/>
              </w:rPr>
              <w:t>1,000.00</w:t>
            </w:r>
          </w:p>
        </w:tc>
      </w:tr>
      <w:tr w:rsidR="00B93DF0" w:rsidTr="00B93DF0">
        <w:tc>
          <w:tcPr>
            <w:tcW w:w="3116" w:type="dxa"/>
          </w:tcPr>
          <w:p w:rsidR="00B93DF0" w:rsidRDefault="00B93DF0" w:rsidP="006347D9">
            <w:pPr>
              <w:spacing w:line="360" w:lineRule="auto"/>
              <w:rPr>
                <w:lang w:val="en-IN"/>
              </w:rPr>
            </w:pPr>
            <w:r>
              <w:rPr>
                <w:lang w:val="en-IN"/>
              </w:rPr>
              <w:t>3</w:t>
            </w:r>
          </w:p>
        </w:tc>
        <w:tc>
          <w:tcPr>
            <w:tcW w:w="3117" w:type="dxa"/>
          </w:tcPr>
          <w:p w:rsidR="00B93DF0" w:rsidRDefault="00B93DF0" w:rsidP="006347D9">
            <w:pPr>
              <w:spacing w:line="360" w:lineRule="auto"/>
              <w:rPr>
                <w:lang w:val="en-IN"/>
              </w:rPr>
            </w:pPr>
            <w:r>
              <w:rPr>
                <w:lang w:val="en-IN"/>
              </w:rPr>
              <w:t>1,000.00</w:t>
            </w:r>
          </w:p>
        </w:tc>
        <w:tc>
          <w:tcPr>
            <w:tcW w:w="3117" w:type="dxa"/>
          </w:tcPr>
          <w:p w:rsidR="00B93DF0" w:rsidRDefault="00B93DF0" w:rsidP="006347D9">
            <w:pPr>
              <w:spacing w:line="360" w:lineRule="auto"/>
              <w:rPr>
                <w:lang w:val="en-IN"/>
              </w:rPr>
            </w:pPr>
            <w:r>
              <w:rPr>
                <w:lang w:val="en-IN"/>
              </w:rPr>
              <w:t>1,000.00</w:t>
            </w:r>
          </w:p>
        </w:tc>
      </w:tr>
      <w:tr w:rsidR="00B93DF0" w:rsidTr="00B93DF0">
        <w:tc>
          <w:tcPr>
            <w:tcW w:w="3116" w:type="dxa"/>
          </w:tcPr>
          <w:p w:rsidR="00B93DF0" w:rsidRDefault="00B93DF0" w:rsidP="006347D9">
            <w:pPr>
              <w:spacing w:line="360" w:lineRule="auto"/>
              <w:rPr>
                <w:lang w:val="en-IN"/>
              </w:rPr>
            </w:pPr>
            <w:r>
              <w:rPr>
                <w:lang w:val="en-IN"/>
              </w:rPr>
              <w:t>4</w:t>
            </w:r>
          </w:p>
        </w:tc>
        <w:tc>
          <w:tcPr>
            <w:tcW w:w="3117" w:type="dxa"/>
          </w:tcPr>
          <w:p w:rsidR="00B93DF0" w:rsidRDefault="00B93DF0" w:rsidP="006347D9">
            <w:pPr>
              <w:spacing w:line="360" w:lineRule="auto"/>
              <w:rPr>
                <w:lang w:val="en-IN"/>
              </w:rPr>
            </w:pPr>
            <w:r>
              <w:rPr>
                <w:lang w:val="en-IN"/>
              </w:rPr>
              <w:t>-442.00</w:t>
            </w:r>
          </w:p>
        </w:tc>
        <w:tc>
          <w:tcPr>
            <w:tcW w:w="3117" w:type="dxa"/>
          </w:tcPr>
          <w:p w:rsidR="00B93DF0" w:rsidRDefault="00B93DF0" w:rsidP="006347D9">
            <w:pPr>
              <w:spacing w:line="360" w:lineRule="auto"/>
              <w:rPr>
                <w:lang w:val="en-IN"/>
              </w:rPr>
            </w:pPr>
            <w:r>
              <w:rPr>
                <w:lang w:val="en-IN"/>
              </w:rPr>
              <w:t>-470.00</w:t>
            </w:r>
          </w:p>
        </w:tc>
      </w:tr>
      <w:tr w:rsidR="00B93DF0" w:rsidTr="00B93DF0">
        <w:tc>
          <w:tcPr>
            <w:tcW w:w="3116" w:type="dxa"/>
          </w:tcPr>
          <w:p w:rsidR="00B93DF0" w:rsidRDefault="00521D54" w:rsidP="006347D9">
            <w:pPr>
              <w:spacing w:line="360" w:lineRule="auto"/>
              <w:rPr>
                <w:lang w:val="en-IN"/>
              </w:rPr>
            </w:pPr>
            <w:r>
              <w:rPr>
                <w:lang w:val="en-IN"/>
              </w:rPr>
              <w:t>Average Profit</w:t>
            </w:r>
          </w:p>
        </w:tc>
        <w:tc>
          <w:tcPr>
            <w:tcW w:w="3117" w:type="dxa"/>
          </w:tcPr>
          <w:p w:rsidR="00B93DF0" w:rsidRDefault="00521D54" w:rsidP="006347D9">
            <w:pPr>
              <w:spacing w:line="360" w:lineRule="auto"/>
              <w:rPr>
                <w:lang w:val="en-IN"/>
              </w:rPr>
            </w:pPr>
            <w:r>
              <w:rPr>
                <w:lang w:val="en-IN"/>
              </w:rPr>
              <w:t>1,265</w:t>
            </w:r>
          </w:p>
        </w:tc>
        <w:tc>
          <w:tcPr>
            <w:tcW w:w="3117" w:type="dxa"/>
          </w:tcPr>
          <w:p w:rsidR="00B93DF0" w:rsidRDefault="00521D54" w:rsidP="006347D9">
            <w:pPr>
              <w:spacing w:line="360" w:lineRule="auto"/>
              <w:rPr>
                <w:lang w:val="en-IN"/>
              </w:rPr>
            </w:pPr>
            <w:r>
              <w:rPr>
                <w:lang w:val="en-IN"/>
              </w:rPr>
              <w:t>758</w:t>
            </w:r>
          </w:p>
        </w:tc>
      </w:tr>
      <w:tr w:rsidR="00B93DF0" w:rsidTr="00B93DF0">
        <w:tc>
          <w:tcPr>
            <w:tcW w:w="3116" w:type="dxa"/>
          </w:tcPr>
          <w:p w:rsidR="00B93DF0" w:rsidRDefault="00521D54" w:rsidP="006347D9">
            <w:pPr>
              <w:spacing w:line="360" w:lineRule="auto"/>
              <w:rPr>
                <w:lang w:val="en-IN"/>
              </w:rPr>
            </w:pPr>
            <w:proofErr w:type="gramStart"/>
            <w:r>
              <w:rPr>
                <w:lang w:val="en-IN"/>
              </w:rPr>
              <w:t>ARR :</w:t>
            </w:r>
            <w:proofErr w:type="gramEnd"/>
          </w:p>
        </w:tc>
        <w:tc>
          <w:tcPr>
            <w:tcW w:w="3117" w:type="dxa"/>
          </w:tcPr>
          <w:p w:rsidR="00B93DF0" w:rsidRDefault="00521D54" w:rsidP="006347D9">
            <w:pPr>
              <w:spacing w:line="360" w:lineRule="auto"/>
              <w:rPr>
                <w:lang w:val="en-IN"/>
              </w:rPr>
            </w:pPr>
            <w:r>
              <w:rPr>
                <w:lang w:val="en-IN"/>
              </w:rPr>
              <w:t>25.29%</w:t>
            </w:r>
          </w:p>
        </w:tc>
        <w:tc>
          <w:tcPr>
            <w:tcW w:w="3117" w:type="dxa"/>
          </w:tcPr>
          <w:p w:rsidR="00B93DF0" w:rsidRDefault="00521D54" w:rsidP="006347D9">
            <w:pPr>
              <w:spacing w:line="360" w:lineRule="auto"/>
              <w:rPr>
                <w:lang w:val="en-IN"/>
              </w:rPr>
            </w:pPr>
            <w:r>
              <w:rPr>
                <w:lang w:val="en-IN"/>
              </w:rPr>
              <w:t>75.75%</w:t>
            </w:r>
          </w:p>
        </w:tc>
      </w:tr>
    </w:tbl>
    <w:p w:rsidR="00752C5F" w:rsidRDefault="00752C5F" w:rsidP="009674E9">
      <w:pPr>
        <w:spacing w:line="360" w:lineRule="auto"/>
      </w:pPr>
    </w:p>
    <w:p w:rsidR="009674E9" w:rsidRPr="008B7C76" w:rsidRDefault="009674E9" w:rsidP="009674E9">
      <w:pPr>
        <w:spacing w:line="360" w:lineRule="auto"/>
      </w:pPr>
      <w:r>
        <w:rPr>
          <w:noProof/>
          <w14:ligatures w14:val="standardContextual"/>
        </w:rPr>
        <w:drawing>
          <wp:inline distT="0" distB="0" distL="0" distR="0" wp14:anchorId="40922183" wp14:editId="411C7EF3">
            <wp:extent cx="5943600" cy="2903855"/>
            <wp:effectExtent l="0" t="0" r="0" b="0"/>
            <wp:docPr id="19773829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382937" name=""/>
                    <pic:cNvPicPr/>
                  </pic:nvPicPr>
                  <pic:blipFill>
                    <a:blip r:embed="rId13"/>
                    <a:stretch>
                      <a:fillRect/>
                    </a:stretch>
                  </pic:blipFill>
                  <pic:spPr>
                    <a:xfrm>
                      <a:off x="0" y="0"/>
                      <a:ext cx="5943600" cy="2903855"/>
                    </a:xfrm>
                    <a:prstGeom prst="rect">
                      <a:avLst/>
                    </a:prstGeom>
                  </pic:spPr>
                </pic:pic>
              </a:graphicData>
            </a:graphic>
          </wp:inline>
        </w:drawing>
      </w:r>
    </w:p>
    <w:p w:rsidR="009674E9" w:rsidRDefault="009674E9" w:rsidP="009674E9">
      <w:pPr>
        <w:pStyle w:val="Heading2"/>
      </w:pPr>
      <w:bookmarkStart w:id="33" w:name="_Toc162626915"/>
      <w:bookmarkStart w:id="34" w:name="_Toc164545068"/>
      <w:r>
        <w:t>Evaluation and Recommendation</w:t>
      </w:r>
      <w:bookmarkEnd w:id="33"/>
      <w:bookmarkEnd w:id="34"/>
    </w:p>
    <w:p w:rsidR="009674E9" w:rsidRDefault="009674E9" w:rsidP="009674E9">
      <w:pPr>
        <w:spacing w:line="360" w:lineRule="auto"/>
      </w:pPr>
      <w:r w:rsidRPr="0026615B">
        <w:t xml:space="preserve">Assessing financial project instruments and capital planning measurements gives elective viewpoints on benefit and attainability. Payback Period (PBP), Average Accounting Return (ARR), and Net Present Value (NPV) are critical dynamic devices in such a manner. Project A has a more limited restitution time of 3.22 years contrasted with Project B's 3.47 years, showing more </w:t>
      </w:r>
      <w:r w:rsidRPr="0026615B">
        <w:lastRenderedPageBreak/>
        <w:t>effective asset use for Project A. In any case, Project B gloats a fundamentally higher ARR at 303.4% contrasted with Undertaking A's 25.29%, proposing more noteworthy benefit potential for Project B. Additionally, the NPV computations show Project B producing USD 640,290,000, surpassing Project A's NPV of USD 485,630,000. Regardless of Project B's more drawn-out payback period, its higher ARR and NPV make it a more worthwhile speculation. In this manner, choosing Project B is suggested as it lines up with the task's level headed to augment productivity and worth creation.</w:t>
      </w:r>
    </w:p>
    <w:p w:rsidR="009674E9" w:rsidRDefault="009674E9" w:rsidP="009674E9">
      <w:pPr>
        <w:pStyle w:val="Heading2"/>
      </w:pPr>
      <w:bookmarkStart w:id="35" w:name="_Toc162626916"/>
      <w:bookmarkStart w:id="36" w:name="_Toc164545069"/>
      <w:r>
        <w:t>Recalculation of NPV</w:t>
      </w:r>
      <w:bookmarkEnd w:id="35"/>
      <w:bookmarkEnd w:id="36"/>
    </w:p>
    <w:p w:rsidR="009674E9" w:rsidRDefault="009674E9" w:rsidP="009674E9">
      <w:pPr>
        <w:spacing w:line="360" w:lineRule="auto"/>
      </w:pPr>
      <w:r>
        <w:rPr>
          <w:noProof/>
          <w14:ligatures w14:val="standardContextual"/>
        </w:rPr>
        <w:drawing>
          <wp:inline distT="0" distB="0" distL="0" distR="0" wp14:anchorId="7D3EFA61" wp14:editId="74184DBA">
            <wp:extent cx="5943600" cy="2900045"/>
            <wp:effectExtent l="0" t="0" r="0" b="0"/>
            <wp:docPr id="4887377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737785" name=""/>
                    <pic:cNvPicPr/>
                  </pic:nvPicPr>
                  <pic:blipFill>
                    <a:blip r:embed="rId14"/>
                    <a:stretch>
                      <a:fillRect/>
                    </a:stretch>
                  </pic:blipFill>
                  <pic:spPr>
                    <a:xfrm>
                      <a:off x="0" y="0"/>
                      <a:ext cx="5943600" cy="2900045"/>
                    </a:xfrm>
                    <a:prstGeom prst="rect">
                      <a:avLst/>
                    </a:prstGeom>
                  </pic:spPr>
                </pic:pic>
              </a:graphicData>
            </a:graphic>
          </wp:inline>
        </w:drawing>
      </w:r>
    </w:p>
    <w:p w:rsidR="009674E9" w:rsidRPr="006818EA" w:rsidRDefault="009674E9" w:rsidP="009674E9">
      <w:pPr>
        <w:spacing w:line="360" w:lineRule="auto"/>
      </w:pPr>
      <w:r w:rsidRPr="00490250">
        <w:t xml:space="preserve">After a 10% change in project consumptions and incomes, recalculating the net present value (NPV) for Project A and Project B gives further knowledge into their productivity. Project A now yields an NPV of 503.76 million pounds, while Project B likewise shows a higher NPV. Upon definite assessment, both NPVs stay positive, showing returns surpassing the underlying speculations for the two activities. Notwithstanding, the predominant NPV of Project B recommends it might offer a superior profit from Project B contrasted with Project A. In this way, the monetary feasibility of a speculation project relies on variances in starting projects and incomes, where higher projects are associated with expanded incomes as well as the other way around. While the two projects guarantee </w:t>
      </w:r>
      <w:r>
        <w:t>long-term</w:t>
      </w:r>
      <w:r w:rsidRPr="00490250">
        <w:t xml:space="preserve"> benefits, the higher NPV of Project B </w:t>
      </w:r>
      <w:r w:rsidRPr="00490250">
        <w:lastRenderedPageBreak/>
        <w:t>recommends it might convey more worthwhile returns, improving investor esteem. Subsequently, in light of the refined NPV information, Project B arises as the favoured speculation choice.</w:t>
      </w:r>
    </w:p>
    <w:p w:rsidR="009674E9" w:rsidRDefault="009674E9" w:rsidP="009674E9">
      <w:pPr>
        <w:pStyle w:val="Heading2"/>
      </w:pPr>
      <w:bookmarkStart w:id="37" w:name="_Toc162626917"/>
      <w:bookmarkStart w:id="38" w:name="_Toc164545070"/>
      <w:r>
        <w:t>Advantages and Disadvantages of Evaluation Techniques</w:t>
      </w:r>
      <w:bookmarkEnd w:id="37"/>
      <w:bookmarkEnd w:id="38"/>
    </w:p>
    <w:p w:rsidR="009674E9" w:rsidRDefault="009674E9" w:rsidP="009674E9">
      <w:pPr>
        <w:pStyle w:val="Heading3"/>
      </w:pPr>
      <w:bookmarkStart w:id="39" w:name="_Toc162626918"/>
      <w:bookmarkStart w:id="40" w:name="_Toc164545071"/>
      <w:r>
        <w:t>Payback Period</w:t>
      </w:r>
      <w:bookmarkEnd w:id="39"/>
      <w:bookmarkEnd w:id="40"/>
    </w:p>
    <w:p w:rsidR="009674E9" w:rsidRDefault="009674E9" w:rsidP="009674E9">
      <w:pPr>
        <w:spacing w:line="360" w:lineRule="auto"/>
      </w:pPr>
      <w:r w:rsidRPr="00D85B40">
        <w:t xml:space="preserve">The Payback Period (PBP) offers a few benefits, making it an important instrument for assessing venture projects. Right off the bat, its effortlessness makes it open to administrators and investors, even those with restricted financial mastery. PBP gives a clear computation of the time expected to recuperate the underlying venture, working with examinations between various tasks. Moreover, PBP fills in as a compelling gamble appraisal device by demonstrating when the underlying venture will be recuperated. Projects with more limited payback periods commonly involve lower risk, as they offer speedier returns for financial backers. This can give </w:t>
      </w:r>
      <w:r>
        <w:t>the managers</w:t>
      </w:r>
      <w:r w:rsidRPr="00D85B40">
        <w:t xml:space="preserve"> a feeling of consolation while assessing </w:t>
      </w:r>
      <w:r>
        <w:t xml:space="preserve">project </w:t>
      </w:r>
      <w:r w:rsidRPr="00D85B40">
        <w:t>choices</w:t>
      </w:r>
      <w:r w:rsidR="00493691">
        <w:t xml:space="preserve"> (</w:t>
      </w:r>
      <w:r w:rsidR="00493691" w:rsidRPr="00493691">
        <w:t xml:space="preserve">Gorshkov, A.S., </w:t>
      </w:r>
      <w:r w:rsidR="00493691">
        <w:t>2018)</w:t>
      </w:r>
      <w:r w:rsidRPr="00D85B40">
        <w:t>.</w:t>
      </w:r>
    </w:p>
    <w:p w:rsidR="009674E9" w:rsidRPr="00D85B40" w:rsidRDefault="009674E9" w:rsidP="009674E9">
      <w:pPr>
        <w:spacing w:line="360" w:lineRule="auto"/>
      </w:pPr>
      <w:r w:rsidRPr="008810A2">
        <w:t xml:space="preserve">The main flaw of the payback </w:t>
      </w:r>
      <w:r>
        <w:t>period</w:t>
      </w:r>
      <w:r w:rsidRPr="008810A2">
        <w:t xml:space="preserve"> strategy is its inability to measure the yield over time and </w:t>
      </w:r>
      <w:r>
        <w:t>the accumulation</w:t>
      </w:r>
      <w:r w:rsidRPr="008810A2">
        <w:t xml:space="preserve"> of money over time. The PBP criticizes the use of investment time alone to spot changes because it does not account for sudden spikes in cash inflows that may occur </w:t>
      </w:r>
      <w:r>
        <w:t xml:space="preserve">in </w:t>
      </w:r>
      <w:r w:rsidRPr="008810A2">
        <w:t xml:space="preserve">later instalments. Failure in this can result </w:t>
      </w:r>
      <w:r>
        <w:t>in</w:t>
      </w:r>
      <w:r w:rsidRPr="008810A2">
        <w:t xml:space="preserve"> forgetful outcomes, however</w:t>
      </w:r>
      <w:r>
        <w:t>,</w:t>
      </w:r>
      <w:r w:rsidRPr="008810A2">
        <w:t xml:space="preserve"> the future return income might not be the same. Similarly, PBP's downfall exists in that it prioritizes recompense without looking into the future and also at the costs of reinvestment to the economy which will, therefore, be selecting jobs with inferior long-term returns. Unlike things such as the current asset valuation method, which takes into consideration the timing as well as the magnitude of the incomes, PBP is short-term in income analysis, although it may need some improvements in the area of long-term investment prospects. In this sense, PBP provides us </w:t>
      </w:r>
      <w:r>
        <w:t xml:space="preserve">with </w:t>
      </w:r>
      <w:r w:rsidRPr="008810A2">
        <w:t xml:space="preserve">accounting for profit and </w:t>
      </w:r>
      <w:r>
        <w:t>income</w:t>
      </w:r>
      <w:r w:rsidRPr="008810A2">
        <w:t xml:space="preserve"> and as a result, the worth of money and income aspects for an allocated period cannot be consolidated with it therefore, it might not be </w:t>
      </w:r>
      <w:r>
        <w:t xml:space="preserve">a </w:t>
      </w:r>
      <w:r w:rsidRPr="008810A2">
        <w:t>global remarking instrument in comparison to approaches such as the present worth analysis</w:t>
      </w:r>
      <w:r w:rsidR="007F50BF">
        <w:t xml:space="preserve"> (</w:t>
      </w:r>
      <w:r w:rsidR="007F50BF" w:rsidRPr="007F50BF">
        <w:t xml:space="preserve">Dai, H., </w:t>
      </w:r>
      <w:r w:rsidR="007F50BF">
        <w:t>2022)</w:t>
      </w:r>
      <w:r w:rsidRPr="008810A2">
        <w:t>.</w:t>
      </w:r>
    </w:p>
    <w:p w:rsidR="009674E9" w:rsidRDefault="009674E9" w:rsidP="009674E9">
      <w:pPr>
        <w:pStyle w:val="Heading3"/>
      </w:pPr>
      <w:bookmarkStart w:id="41" w:name="_Toc162626919"/>
      <w:bookmarkStart w:id="42" w:name="_Toc164545072"/>
      <w:r>
        <w:t>Accounting Rate of Return</w:t>
      </w:r>
      <w:bookmarkEnd w:id="41"/>
      <w:bookmarkEnd w:id="42"/>
    </w:p>
    <w:p w:rsidR="009674E9" w:rsidRPr="00936D81" w:rsidRDefault="009674E9" w:rsidP="009674E9">
      <w:pPr>
        <w:spacing w:line="360" w:lineRule="auto"/>
      </w:pPr>
      <w:r w:rsidRPr="008810A2">
        <w:t xml:space="preserve">The Accounting Rate of Return strategy not only </w:t>
      </w:r>
      <w:r>
        <w:t>provides</w:t>
      </w:r>
      <w:r w:rsidRPr="008810A2">
        <w:t xml:space="preserve"> a few benefits but also gives a guide for the project venture appraisal. Just like the remaining payback period, ARR is </w:t>
      </w:r>
      <w:r>
        <w:t>fully understanding</w:t>
      </w:r>
      <w:r w:rsidRPr="008810A2">
        <w:t xml:space="preserve"> </w:t>
      </w:r>
      <w:r w:rsidRPr="008810A2">
        <w:lastRenderedPageBreak/>
        <w:t xml:space="preserve">and straightforward, therefore making it possible even for people who are not good at money management to comprehend. The elegance and directness of its formula </w:t>
      </w:r>
      <w:r w:rsidR="00D40B9E">
        <w:t>are</w:t>
      </w:r>
      <w:r w:rsidRPr="008810A2">
        <w:t xml:space="preserve"> pure and points out the industry's productivity or profit. Moreover, ARR relies not only on cash flow benefits but also on credit management advantages that </w:t>
      </w:r>
      <w:r>
        <w:t>are</w:t>
      </w:r>
      <w:r w:rsidRPr="008810A2">
        <w:t xml:space="preserve"> in line with the normal manifestation of executives and investors, increasing its relevancy and importance</w:t>
      </w:r>
      <w:r w:rsidR="00D40B9E">
        <w:t xml:space="preserve"> (</w:t>
      </w:r>
      <w:r w:rsidR="00D40B9E" w:rsidRPr="00D40B9E">
        <w:t>Miletić, M.</w:t>
      </w:r>
      <w:r w:rsidR="00D40B9E">
        <w:t>, 2020)</w:t>
      </w:r>
      <w:r w:rsidRPr="008810A2">
        <w:t>.</w:t>
      </w:r>
      <w:r w:rsidR="00D40B9E">
        <w:t xml:space="preserve"> </w:t>
      </w:r>
      <w:r w:rsidRPr="008810A2">
        <w:t xml:space="preserve">On one hand, NPV disregards TCC but on the other hand, NPV recognizes the importance of TVOP same as PV. That does not mind the variation of costs of funding and size, and also the timing of incoming cash may give </w:t>
      </w:r>
      <w:r>
        <w:t xml:space="preserve">a </w:t>
      </w:r>
      <w:r w:rsidRPr="008810A2">
        <w:t>wrong evaluation for the projects with cash flow skew or long lifecycle. In addition, ARR rests solely on accounting profit which is determined by accounting approaches and assumptions that time some judgmental calls on the part of a manager so that it can lead to a misleading index. In addition to that, ARR is salary-only based, covered without any further unsustainable costs such as investment costs.</w:t>
      </w:r>
    </w:p>
    <w:p w:rsidR="009674E9" w:rsidRDefault="009674E9" w:rsidP="009674E9">
      <w:pPr>
        <w:pStyle w:val="Heading3"/>
      </w:pPr>
      <w:bookmarkStart w:id="43" w:name="_Toc162626920"/>
      <w:bookmarkStart w:id="44" w:name="_Toc164545073"/>
      <w:r>
        <w:t>Net Present Value</w:t>
      </w:r>
      <w:bookmarkEnd w:id="43"/>
      <w:bookmarkEnd w:id="44"/>
    </w:p>
    <w:p w:rsidR="009674E9" w:rsidRPr="00D91BCB" w:rsidRDefault="009674E9" w:rsidP="009674E9">
      <w:pPr>
        <w:spacing w:line="360" w:lineRule="auto"/>
      </w:pPr>
      <w:r w:rsidRPr="008810A2">
        <w:t xml:space="preserve">When it comes to the easiest techniques of project appraisal, Net Present Value is the one. It takes the time factor into account that decides the added value of the capital if discounted to the present at the given rate of interest. The dissimilitude process of comparing risk-adjusted discounted cash flow in projects which are not related gives </w:t>
      </w:r>
      <w:r>
        <w:t xml:space="preserve">a </w:t>
      </w:r>
      <w:r w:rsidRPr="008810A2">
        <w:t xml:space="preserve">more accurate investigation </w:t>
      </w:r>
      <w:r>
        <w:t>of</w:t>
      </w:r>
      <w:r w:rsidRPr="008810A2">
        <w:t xml:space="preserve"> how well the live online education projects are working in </w:t>
      </w:r>
      <w:r>
        <w:t xml:space="preserve">the </w:t>
      </w:r>
      <w:r w:rsidRPr="008810A2">
        <w:t xml:space="preserve">long term so that investors can sail safely. On the other hand, it is important to mention that NPV is a wide approach, considering both </w:t>
      </w:r>
      <w:r>
        <w:t>task</w:t>
      </w:r>
      <w:r w:rsidRPr="008810A2">
        <w:t xml:space="preserve"> revenue and expenditures, where leaders would acquire a more overall view of relevant costs, and make it possible to give budgets accurately. </w:t>
      </w:r>
      <w:r>
        <w:t>Even though</w:t>
      </w:r>
      <w:r w:rsidRPr="008810A2">
        <w:t xml:space="preserve"> NPV has its limitations, it is the only reliable accounting technique that measures the relative merits of any capital investment. We completely lost touch </w:t>
      </w:r>
      <w:r>
        <w:t>with</w:t>
      </w:r>
      <w:r w:rsidRPr="008810A2">
        <w:t xml:space="preserve"> its highly intricate nature, which includes complex deductions of the income tax rate and the profit projections</w:t>
      </w:r>
      <w:r w:rsidR="00D40B9E">
        <w:t xml:space="preserve"> (</w:t>
      </w:r>
      <w:r w:rsidR="00D40B9E" w:rsidRPr="00D40B9E">
        <w:t>Bogataj, D.</w:t>
      </w:r>
      <w:r w:rsidR="00D40B9E">
        <w:t>, 2019)</w:t>
      </w:r>
      <w:r w:rsidRPr="008810A2">
        <w:t xml:space="preserve">. The complexity of NPV can put it at risk of imperfecting </w:t>
      </w:r>
      <w:r>
        <w:t>its</w:t>
      </w:r>
      <w:r w:rsidRPr="008810A2">
        <w:t xml:space="preserve"> utility, rendering it less appropriate </w:t>
      </w:r>
      <w:r>
        <w:t>for interaction</w:t>
      </w:r>
      <w:r w:rsidRPr="008810A2">
        <w:t xml:space="preserve"> with various variables and elements. Alongside, paper money is extraordinarily subjective to the discount rate which relies on the capital depletion initially put forward. Thus, tiny fluctuations arising from the uncertainties may alter NPV inhalations, serving as stark testimony to the impact of relying on proper investigation and accurate data inputs. Assessment tools like NPV undoubtedly </w:t>
      </w:r>
      <w:r>
        <w:t>prove</w:t>
      </w:r>
      <w:r w:rsidRPr="008810A2">
        <w:t xml:space="preserve"> useful for rounds of </w:t>
      </w:r>
      <w:r>
        <w:t>forecasts</w:t>
      </w:r>
      <w:r w:rsidRPr="008810A2">
        <w:t xml:space="preserve"> and decisions about investment projects. However, NPV is still exposed to </w:t>
      </w:r>
      <w:r w:rsidRPr="008810A2">
        <w:lastRenderedPageBreak/>
        <w:t>complexities due to these activities being based on assumptions, addressing the requirement to use it with caution and be diligent and vigilant in analysis</w:t>
      </w:r>
      <w:r w:rsidR="00786FB7">
        <w:t xml:space="preserve"> (</w:t>
      </w:r>
      <w:r w:rsidR="00786FB7" w:rsidRPr="00786FB7">
        <w:t>Le, S., 2021</w:t>
      </w:r>
      <w:r w:rsidR="00786FB7">
        <w:t>)</w:t>
      </w:r>
      <w:r w:rsidRPr="008810A2">
        <w:t>.</w:t>
      </w:r>
    </w:p>
    <w:p w:rsidR="009674E9" w:rsidRDefault="009674E9" w:rsidP="009674E9">
      <w:pPr>
        <w:pStyle w:val="Heading2"/>
      </w:pPr>
      <w:bookmarkStart w:id="45" w:name="_Toc162626921"/>
      <w:bookmarkStart w:id="46" w:name="_Toc164545074"/>
      <w:r>
        <w:t>Non-Financial Factors</w:t>
      </w:r>
      <w:bookmarkEnd w:id="45"/>
      <w:bookmarkEnd w:id="46"/>
    </w:p>
    <w:p w:rsidR="009674E9" w:rsidRDefault="009674E9" w:rsidP="009674E9">
      <w:pPr>
        <w:spacing w:line="360" w:lineRule="auto"/>
      </w:pPr>
      <w:r w:rsidRPr="008810A2">
        <w:t xml:space="preserve">Managers can refer to NPV, ARR, and PBP to assess non-monetary aspects such as natural effects, </w:t>
      </w:r>
      <w:r>
        <w:t>neighbourhood</w:t>
      </w:r>
      <w:r w:rsidRPr="008810A2">
        <w:t xml:space="preserve"> commitment, and sustainable change when choosing among multiple projects. These factors are central </w:t>
      </w:r>
      <w:r>
        <w:t>to</w:t>
      </w:r>
      <w:r w:rsidRPr="008810A2">
        <w:t xml:space="preserve"> the process of purpose choice-making, </w:t>
      </w:r>
      <w:r>
        <w:t>which</w:t>
      </w:r>
      <w:r w:rsidRPr="008810A2">
        <w:t xml:space="preserve"> leads to achieving the assigned goals, having the target met and satisfying the project management. The most important objective is to align all tasks within </w:t>
      </w:r>
      <w:r>
        <w:t xml:space="preserve">a </w:t>
      </w:r>
      <w:r w:rsidRPr="008810A2">
        <w:t xml:space="preserve">long-term strategy </w:t>
      </w:r>
      <w:r>
        <w:t xml:space="preserve">and </w:t>
      </w:r>
      <w:r w:rsidRPr="008810A2">
        <w:t xml:space="preserve">ensure that functions work with the organization's goals, values, and vital vision. </w:t>
      </w:r>
      <w:r>
        <w:t>Knowledge</w:t>
      </w:r>
      <w:r w:rsidRPr="008810A2">
        <w:t xml:space="preserve"> </w:t>
      </w:r>
      <w:r>
        <w:t xml:space="preserve">of </w:t>
      </w:r>
      <w:r w:rsidRPr="008810A2">
        <w:t xml:space="preserve">business demands and the scope of work is essential for accountability in the determination of a task's feasibility. This includes but is not limited to, the examination of client needs, market </w:t>
      </w:r>
      <w:r>
        <w:t>differences</w:t>
      </w:r>
      <w:r w:rsidRPr="008810A2">
        <w:t xml:space="preserve">, and in addition </w:t>
      </w:r>
      <w:r>
        <w:t>the business</w:t>
      </w:r>
      <w:r w:rsidRPr="008810A2">
        <w:t xml:space="preserve"> opportunity that could be opened up by technological advancements. Consistency is itself a critical factor while this margin or gap must be avoided which can </w:t>
      </w:r>
      <w:r>
        <w:t>cause</w:t>
      </w:r>
      <w:r w:rsidRPr="008810A2">
        <w:t xml:space="preserve"> legal issues and affect the organization’s reputation. Thus, it is necessary to follow the guidelines, principles, and regulations of health and safety. Pragmatic evaluation of a project, such as its versatility, cost accessibility, and alignment with existing priorities, is also one of the basic requirements. Meaningful stakeholder management across the project life cycle, such </w:t>
      </w:r>
      <w:r>
        <w:t xml:space="preserve">as </w:t>
      </w:r>
      <w:r w:rsidRPr="008810A2">
        <w:t xml:space="preserve">sensing different players' interests and keeping interruptions to a </w:t>
      </w:r>
      <w:r>
        <w:t>minimum</w:t>
      </w:r>
      <w:r w:rsidRPr="008810A2">
        <w:t xml:space="preserve">, is essential for successful progress. Risk management through Risk Interring for emerging, marketplace, and functional risks is the main key </w:t>
      </w:r>
      <w:r>
        <w:t>to</w:t>
      </w:r>
      <w:r w:rsidRPr="008810A2">
        <w:t xml:space="preserve"> managing the unlimited risk of </w:t>
      </w:r>
      <w:r>
        <w:t>innovation</w:t>
      </w:r>
      <w:r w:rsidRPr="008810A2">
        <w:t xml:space="preserve">. The natural and social issues related to this enterprise have to be taken as a base for being sustainable and ethical. Exploring contamination, asset utilization, and societal ramifications </w:t>
      </w:r>
      <w:r>
        <w:t>warrants</w:t>
      </w:r>
      <w:r w:rsidRPr="008810A2">
        <w:t xml:space="preserve"> that we stay engaged in moving toward achieving sustainability goals. Furthermore, it involves preparing the project for the time duration and evolving challenges </w:t>
      </w:r>
      <w:r>
        <w:t>are</w:t>
      </w:r>
      <w:r w:rsidRPr="008810A2">
        <w:t xml:space="preserve"> not less important. Asking for opportunities that will take </w:t>
      </w:r>
      <w:r>
        <w:t>into</w:t>
      </w:r>
      <w:r w:rsidRPr="008810A2">
        <w:t xml:space="preserve"> account enhancements and system improvements, along with the flexibility to change strategy when needed allows the company to be prepared for market fluctuations over time.</w:t>
      </w:r>
    </w:p>
    <w:p w:rsidR="009674E9" w:rsidRDefault="009674E9" w:rsidP="009674E9">
      <w:pPr>
        <w:spacing w:line="360" w:lineRule="auto"/>
      </w:pPr>
    </w:p>
    <w:p w:rsidR="009674E9" w:rsidRDefault="009674E9" w:rsidP="009674E9">
      <w:pPr>
        <w:pStyle w:val="Heading1"/>
        <w:spacing w:line="360" w:lineRule="auto"/>
      </w:pPr>
      <w:bookmarkStart w:id="47" w:name="_Toc162626922"/>
      <w:bookmarkStart w:id="48" w:name="_Toc164545075"/>
      <w:r>
        <w:lastRenderedPageBreak/>
        <w:t>References</w:t>
      </w:r>
      <w:bookmarkEnd w:id="47"/>
      <w:bookmarkEnd w:id="48"/>
    </w:p>
    <w:p w:rsidR="009674E9" w:rsidRPr="00156261" w:rsidRDefault="009674E9" w:rsidP="009674E9">
      <w:r w:rsidRPr="00156261">
        <w:t xml:space="preserve">Agnihotri, A. and Bhattacharya, S., 2022. Disney: Restructuring for success with video streaming service </w:t>
      </w:r>
      <w:r>
        <w:t>Disney+</w:t>
      </w:r>
      <w:r w:rsidRPr="00156261">
        <w:t>. SAGE Publications: SAGE Business Cases Originals.</w:t>
      </w:r>
    </w:p>
    <w:p w:rsidR="009674E9" w:rsidRDefault="009674E9" w:rsidP="009674E9">
      <w:pPr>
        <w:rPr>
          <w:bCs/>
        </w:rPr>
      </w:pPr>
      <w:r w:rsidRPr="00C3501D">
        <w:rPr>
          <w:bCs/>
        </w:rPr>
        <w:t>Bastos, D., 2023. Equity research report the Walt Disney Company (Doctoral dissertation).</w:t>
      </w:r>
    </w:p>
    <w:p w:rsidR="00D40B9E" w:rsidRDefault="00D40B9E" w:rsidP="009674E9">
      <w:pPr>
        <w:rPr>
          <w:bCs/>
        </w:rPr>
      </w:pPr>
      <w:r w:rsidRPr="00D40B9E">
        <w:rPr>
          <w:bCs/>
        </w:rPr>
        <w:t>Bogataj, D. and Bogataj, M., 2019. NPV approach to material requirements planning theory–a 50-year review of these research achievements. International journal of production research, 57(15-16), pp.5137-5153.</w:t>
      </w:r>
    </w:p>
    <w:p w:rsidR="007F50BF" w:rsidRDefault="007F50BF" w:rsidP="009674E9">
      <w:pPr>
        <w:rPr>
          <w:bCs/>
        </w:rPr>
      </w:pPr>
      <w:r w:rsidRPr="007F50BF">
        <w:rPr>
          <w:bCs/>
        </w:rPr>
        <w:t>Dai, H., Li, N., Wang, Y. and Zhao, X., 2022, March. The analysis of three main investment criteria: NPV IRR and payback period. In 2022 7th International Conference on Financial Innovation and Economic Development (ICFIED 2022) (pp. 185-189). Atlantis Press.</w:t>
      </w:r>
    </w:p>
    <w:p w:rsidR="009674E9" w:rsidRDefault="009674E9" w:rsidP="009674E9">
      <w:pPr>
        <w:rPr>
          <w:bCs/>
        </w:rPr>
      </w:pPr>
      <w:r w:rsidRPr="008833D5">
        <w:rPr>
          <w:bCs/>
        </w:rPr>
        <w:t>Daniel, D., 2021. Disney Plus: Launch &amp; Beyond. California State University, Los Angeles.</w:t>
      </w:r>
    </w:p>
    <w:p w:rsidR="009674E9" w:rsidRPr="00C3501D" w:rsidRDefault="009674E9" w:rsidP="009674E9">
      <w:pPr>
        <w:rPr>
          <w:bCs/>
        </w:rPr>
      </w:pPr>
      <w:r w:rsidRPr="00BA346B">
        <w:rPr>
          <w:bCs/>
        </w:rPr>
        <w:t>Dong, B., 2022, April. Research on the Impact of COVID-19 on the Entertainment Industry: Take the Walt Disney Company as an Example. In 2022 7th International Conference on Social Sciences and Economic Development (ICSSED 2022) (pp. 1692-1697). Atlantis Press.</w:t>
      </w:r>
    </w:p>
    <w:p w:rsidR="009674E9" w:rsidRDefault="009674E9" w:rsidP="009674E9">
      <w:pPr>
        <w:spacing w:line="360" w:lineRule="auto"/>
      </w:pPr>
      <w:r w:rsidRPr="0058186E">
        <w:t xml:space="preserve">Fischer, B., 2022. Projected and </w:t>
      </w:r>
      <w:r>
        <w:t>Perceived Image</w:t>
      </w:r>
      <w:r w:rsidRPr="0058186E">
        <w:t xml:space="preserve">: </w:t>
      </w:r>
      <w:r>
        <w:t>A Study</w:t>
      </w:r>
      <w:r w:rsidRPr="0058186E">
        <w:t xml:space="preserve"> of the Walt Disney </w:t>
      </w:r>
      <w:r>
        <w:t>Company Parks</w:t>
      </w:r>
      <w:r w:rsidRPr="0058186E">
        <w:t xml:space="preserve"> and </w:t>
      </w:r>
      <w:r>
        <w:t>Resorts</w:t>
      </w:r>
      <w:r w:rsidRPr="0058186E">
        <w:t xml:space="preserve"> (Doctoral dissertation).</w:t>
      </w:r>
    </w:p>
    <w:p w:rsidR="00A46A3B" w:rsidRDefault="00A46A3B" w:rsidP="009674E9">
      <w:pPr>
        <w:spacing w:line="360" w:lineRule="auto"/>
      </w:pPr>
      <w:r w:rsidRPr="00A46A3B">
        <w:t>Flehantova, A., 2023. Innovations and its Impact on the Competitiveness of TNCs on the Creative Industries Market (on the Example of the «Walt Disney Company»).</w:t>
      </w:r>
    </w:p>
    <w:p w:rsidR="00493691" w:rsidRDefault="00493691" w:rsidP="009674E9">
      <w:pPr>
        <w:spacing w:line="360" w:lineRule="auto"/>
      </w:pPr>
      <w:r w:rsidRPr="00493691">
        <w:t>Gorshkov, A.S., Vatin, N.I., Rymkevich, P.P. and Kydrevich, O.O., 2018. Payback period of investments in energy saving. Magazine of Civil Engineering, (2 (78)), pp.65-75.</w:t>
      </w:r>
    </w:p>
    <w:p w:rsidR="00A46A3B" w:rsidRDefault="00A46A3B" w:rsidP="009674E9">
      <w:pPr>
        <w:spacing w:line="360" w:lineRule="auto"/>
      </w:pPr>
      <w:r w:rsidRPr="00A46A3B">
        <w:t>Hallowell, R., Bowen, D. and Knoop, C.I., 2016. The Airlines, the Walt Disney Success Company, Wal-Mart, and USAA (among others) is frequently attributed in no small degree to their corporate cultures. Readings and Cases in International Human Resource Management, p.73.</w:t>
      </w:r>
    </w:p>
    <w:p w:rsidR="009674E9" w:rsidRDefault="009674E9" w:rsidP="009674E9">
      <w:pPr>
        <w:spacing w:line="360" w:lineRule="auto"/>
      </w:pPr>
      <w:r w:rsidRPr="00985E72">
        <w:t>Harris, R.M. and Mawardi, W., 2023. The Influence Of NPF, Bopo, Current Ratio and Gearing Ratio On Financing Company Performance (</w:t>
      </w:r>
      <w:r>
        <w:t>Comparative</w:t>
      </w:r>
      <w:r w:rsidRPr="00985E72">
        <w:t xml:space="preserve"> Study Of Financing Companies In Indonesia Before and During The Covid-19 Period). Equivalent: Jurnal Ilmiah Sosial Teknik, 5(2), pp.132-145.</w:t>
      </w:r>
    </w:p>
    <w:p w:rsidR="009674E9" w:rsidRDefault="009674E9" w:rsidP="009674E9">
      <w:pPr>
        <w:spacing w:line="360" w:lineRule="auto"/>
      </w:pPr>
      <w:r w:rsidRPr="00621EFC">
        <w:t>Hertina, D., 2021. The influence of current ratio, debt to equity ratio and company size on return on assets. Turkish Journal of Computer and Mathematics Education (TURCOMAT), 12(8), pp.1702-1709.</w:t>
      </w:r>
    </w:p>
    <w:p w:rsidR="009674E9" w:rsidRDefault="009674E9" w:rsidP="009674E9">
      <w:pPr>
        <w:spacing w:line="360" w:lineRule="auto"/>
      </w:pPr>
      <w:r w:rsidRPr="005B60C3">
        <w:lastRenderedPageBreak/>
        <w:t>Hidayat, R., 2021. Effect of return on assets, net profit margin and earning per share on stock prices. Turkish Journal of Computer and Mathematics Education (TURCOMAT), 12(8), pp.1388-1403.</w:t>
      </w:r>
    </w:p>
    <w:p w:rsidR="009674E9" w:rsidRDefault="009674E9" w:rsidP="009674E9">
      <w:pPr>
        <w:spacing w:line="360" w:lineRule="auto"/>
      </w:pPr>
      <w:r w:rsidRPr="00BD0429">
        <w:t>Hua, Z., Song, H. and Zou, K., 2021, December. Research on Disney’s Possible Expansion Strategy in Asian Market. In 2021 3rd International Conference on Economic Management and Cultural Industry (ICEMCI 2021) (pp. 2618-2625). Atlantis Press.</w:t>
      </w:r>
    </w:p>
    <w:p w:rsidR="009674E9" w:rsidRDefault="009674E9" w:rsidP="009674E9">
      <w:pPr>
        <w:spacing w:line="360" w:lineRule="auto"/>
      </w:pPr>
      <w:r w:rsidRPr="00B279C5">
        <w:t xml:space="preserve">Kanokthaworntham, S., 2018. Relatives valuation of the Walt Disney </w:t>
      </w:r>
      <w:r>
        <w:t>Company</w:t>
      </w:r>
      <w:r w:rsidRPr="00B279C5">
        <w:t>.</w:t>
      </w:r>
    </w:p>
    <w:p w:rsidR="0046435E" w:rsidRDefault="0046435E" w:rsidP="009674E9">
      <w:pPr>
        <w:spacing w:line="360" w:lineRule="auto"/>
      </w:pPr>
      <w:r w:rsidRPr="0046435E">
        <w:t>Krafczyk, M.P., 2019. A media and entertainment colossus: the acquisition of 21st Century Fox by The Walt Disney Company (Doctoral dissertation).</w:t>
      </w:r>
    </w:p>
    <w:p w:rsidR="00786FB7" w:rsidRDefault="00786FB7" w:rsidP="009674E9">
      <w:pPr>
        <w:spacing w:line="360" w:lineRule="auto"/>
      </w:pPr>
      <w:r w:rsidRPr="00786FB7">
        <w:t>Le, S., 2021, December. The applications of NPV in different types of markets. In 2021 3rd International Conference on Economic Management and Cultural Industry (ICEMCI 2021) (pp. 1054-1059). Atlantis Press.</w:t>
      </w:r>
    </w:p>
    <w:p w:rsidR="009674E9" w:rsidRDefault="009674E9" w:rsidP="009674E9">
      <w:pPr>
        <w:spacing w:line="360" w:lineRule="auto"/>
      </w:pPr>
      <w:r w:rsidRPr="00B23F5E">
        <w:t>Li, J., 2023. Analysis of Walt Disney's acquisition of 21st Century Fox. Highlights in Business, Economics and Management, 14, pp.40-45.</w:t>
      </w:r>
    </w:p>
    <w:p w:rsidR="00D40B9E" w:rsidRDefault="00D40B9E" w:rsidP="009674E9">
      <w:pPr>
        <w:spacing w:line="360" w:lineRule="auto"/>
      </w:pPr>
      <w:r w:rsidRPr="00D40B9E">
        <w:t>Miletić, M. and Latinac, D., 2020. Internal rate of return method-a commonly used method with few advantages and many disadvantages?. In 4th Contemporary Issues In Economy &amp; Technology (CIET 2020) (pp. 315-322).</w:t>
      </w:r>
    </w:p>
    <w:p w:rsidR="009674E9" w:rsidRDefault="009674E9" w:rsidP="009674E9">
      <w:pPr>
        <w:spacing w:line="360" w:lineRule="auto"/>
      </w:pPr>
      <w:r w:rsidRPr="005C1643">
        <w:t>Morton, E.M., 2020. Emotionally Ever After: A Qualitative Analysis of Socio-Emotional Spaces Inhabited by Female Fairy Tale Characters and their Cinematic Adaptations.</w:t>
      </w:r>
    </w:p>
    <w:p w:rsidR="00A46A3B" w:rsidRDefault="00A46A3B" w:rsidP="009674E9">
      <w:pPr>
        <w:spacing w:line="360" w:lineRule="auto"/>
      </w:pPr>
      <w:r w:rsidRPr="00A46A3B">
        <w:t>Rehman, M., 2021. Dream Bigger, Disney: Exploring the Walt Disney Company’s Future Role in Planetary Politics. Sustinere—The University of Toronto's Journal of Sustainable Development, 1(1), pp.113-130.</w:t>
      </w:r>
    </w:p>
    <w:p w:rsidR="0046435E" w:rsidRDefault="0046435E" w:rsidP="009674E9">
      <w:pPr>
        <w:spacing w:line="360" w:lineRule="auto"/>
      </w:pPr>
      <w:r w:rsidRPr="0046435E">
        <w:t>Shi, J., 2022, March. Management Economics’ Optimization of Enterprise Organizational Structure. In 2022 7th International Conference on Financial Innovation and Economic Development (ICFIED 2022) (pp. 2754-2760). Atlantis Press.</w:t>
      </w:r>
    </w:p>
    <w:p w:rsidR="009674E9" w:rsidRDefault="009674E9" w:rsidP="009674E9">
      <w:pPr>
        <w:spacing w:line="360" w:lineRule="auto"/>
      </w:pPr>
      <w:r w:rsidRPr="004C4D85">
        <w:lastRenderedPageBreak/>
        <w:t>Wang, W.W., Wang, L.B. and He, Y.L., 2016. Parameter effect of a phase change thermal energy storage unit with one shell and one finned tube on its energy efficiency ratio and heat storage rate. Applied Thermal Engineering, 93, pp.50-60.</w:t>
      </w:r>
    </w:p>
    <w:p w:rsidR="009674E9" w:rsidRDefault="009674E9" w:rsidP="009674E9">
      <w:pPr>
        <w:spacing w:line="360" w:lineRule="auto"/>
      </w:pPr>
      <w:r w:rsidRPr="005C1643">
        <w:t>Voigt, K.I., Buliga, O., Michl, K., Voigt, K.I., Buliga, O. and Michl, K., 2017. Making People Happy: The Case of the Walt Disney Company. Business Model Pioneers: How Innovators Successfully Implement New Business Models, pp.113-126.</w:t>
      </w:r>
    </w:p>
    <w:p w:rsidR="0046435E" w:rsidRDefault="0046435E" w:rsidP="009674E9">
      <w:pPr>
        <w:spacing w:line="360" w:lineRule="auto"/>
      </w:pPr>
      <w:r w:rsidRPr="0046435E">
        <w:t>Zhou, R., 2024. Analysis and Prospect of capital management of Listed Companies in the United States--Taking Walt Disney Company as an example. Highlights in Business, Economics and Management, 24, pp.2559-2566.</w:t>
      </w:r>
    </w:p>
    <w:p w:rsidR="009674E9" w:rsidRPr="007A46A2" w:rsidRDefault="009674E9" w:rsidP="009674E9">
      <w:pPr>
        <w:spacing w:line="360" w:lineRule="auto"/>
      </w:pPr>
    </w:p>
    <w:p w:rsidR="00FC48BE" w:rsidRDefault="00FC48BE"/>
    <w:sectPr w:rsidR="00FC48BE" w:rsidSect="00C0735B">
      <w:pgSz w:w="12240" w:h="15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607C0F"/>
    <w:multiLevelType w:val="hybridMultilevel"/>
    <w:tmpl w:val="48BA6E0A"/>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74E9"/>
    <w:rsid w:val="000306CA"/>
    <w:rsid w:val="00071D47"/>
    <w:rsid w:val="000D67A8"/>
    <w:rsid w:val="00132CD7"/>
    <w:rsid w:val="00210CA0"/>
    <w:rsid w:val="003F081C"/>
    <w:rsid w:val="00412665"/>
    <w:rsid w:val="00436A63"/>
    <w:rsid w:val="0046435E"/>
    <w:rsid w:val="00493691"/>
    <w:rsid w:val="00521D54"/>
    <w:rsid w:val="006347D9"/>
    <w:rsid w:val="006630CC"/>
    <w:rsid w:val="006D4CE8"/>
    <w:rsid w:val="006F5816"/>
    <w:rsid w:val="00752C5F"/>
    <w:rsid w:val="00786FB7"/>
    <w:rsid w:val="007F0149"/>
    <w:rsid w:val="007F50BF"/>
    <w:rsid w:val="008527C5"/>
    <w:rsid w:val="00941B7D"/>
    <w:rsid w:val="009674E9"/>
    <w:rsid w:val="00A46A3B"/>
    <w:rsid w:val="00B93DF0"/>
    <w:rsid w:val="00BD4533"/>
    <w:rsid w:val="00BF3A85"/>
    <w:rsid w:val="00C0735B"/>
    <w:rsid w:val="00C4117B"/>
    <w:rsid w:val="00D40B9E"/>
    <w:rsid w:val="00E264B9"/>
    <w:rsid w:val="00EA592C"/>
    <w:rsid w:val="00FC48BE"/>
    <w:rsid w:val="00FE216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DD6B08D"/>
  <w15:chartTrackingRefBased/>
  <w15:docId w15:val="{28F1BAFE-DB6E-4384-A26F-CA5706767D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674E9"/>
    <w:pPr>
      <w:spacing w:after="160" w:line="259"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autoRedefine/>
    <w:uiPriority w:val="9"/>
    <w:qFormat/>
    <w:rsid w:val="00FE216C"/>
    <w:pPr>
      <w:keepNext/>
      <w:keepLines/>
      <w:spacing w:before="480" w:after="0" w:line="480" w:lineRule="auto"/>
      <w:outlineLvl w:val="0"/>
    </w:pPr>
    <w:rPr>
      <w:rFonts w:eastAsiaTheme="majorEastAsia" w:cstheme="majorBidi"/>
      <w:b/>
      <w:bCs/>
      <w:color w:val="000000" w:themeColor="text1"/>
      <w:sz w:val="32"/>
      <w:szCs w:val="28"/>
    </w:rPr>
  </w:style>
  <w:style w:type="paragraph" w:styleId="Heading2">
    <w:name w:val="heading 2"/>
    <w:basedOn w:val="Normal"/>
    <w:next w:val="Normal"/>
    <w:link w:val="Heading2Char"/>
    <w:autoRedefine/>
    <w:uiPriority w:val="9"/>
    <w:unhideWhenUsed/>
    <w:qFormat/>
    <w:rsid w:val="00FE216C"/>
    <w:pPr>
      <w:keepNext/>
      <w:keepLines/>
      <w:spacing w:before="200" w:after="0" w:line="480" w:lineRule="auto"/>
      <w:outlineLvl w:val="1"/>
    </w:pPr>
    <w:rPr>
      <w:rFonts w:eastAsiaTheme="majorEastAsia" w:cstheme="majorBidi"/>
      <w:b/>
      <w:bCs/>
      <w:color w:val="000000" w:themeColor="text1"/>
      <w:sz w:val="28"/>
      <w:szCs w:val="26"/>
    </w:rPr>
  </w:style>
  <w:style w:type="paragraph" w:styleId="Heading3">
    <w:name w:val="heading 3"/>
    <w:basedOn w:val="Normal"/>
    <w:next w:val="Normal"/>
    <w:link w:val="Heading3Char"/>
    <w:autoRedefine/>
    <w:uiPriority w:val="9"/>
    <w:unhideWhenUsed/>
    <w:qFormat/>
    <w:rsid w:val="00FE216C"/>
    <w:pPr>
      <w:keepNext/>
      <w:keepLines/>
      <w:spacing w:before="200" w:after="0" w:line="480" w:lineRule="auto"/>
      <w:outlineLvl w:val="2"/>
    </w:pPr>
    <w:rPr>
      <w:rFonts w:eastAsiaTheme="majorEastAsia" w:cstheme="majorBidi"/>
      <w:b/>
      <w:bCs/>
      <w:color w:val="000000" w:themeColor="tex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216C"/>
    <w:rPr>
      <w:rFonts w:ascii="Times New Roman" w:eastAsiaTheme="majorEastAsia" w:hAnsi="Times New Roman" w:cstheme="majorBidi"/>
      <w:b/>
      <w:bCs/>
      <w:color w:val="000000" w:themeColor="text1"/>
      <w:sz w:val="32"/>
      <w:szCs w:val="28"/>
    </w:rPr>
  </w:style>
  <w:style w:type="character" w:customStyle="1" w:styleId="Heading2Char">
    <w:name w:val="Heading 2 Char"/>
    <w:basedOn w:val="DefaultParagraphFont"/>
    <w:link w:val="Heading2"/>
    <w:uiPriority w:val="9"/>
    <w:rsid w:val="00FE216C"/>
    <w:rPr>
      <w:rFonts w:ascii="Times New Roman" w:eastAsiaTheme="majorEastAsia" w:hAnsi="Times New Roman" w:cstheme="majorBidi"/>
      <w:b/>
      <w:bCs/>
      <w:color w:val="000000" w:themeColor="text1"/>
      <w:sz w:val="28"/>
      <w:szCs w:val="26"/>
    </w:rPr>
  </w:style>
  <w:style w:type="character" w:customStyle="1" w:styleId="Heading3Char">
    <w:name w:val="Heading 3 Char"/>
    <w:basedOn w:val="DefaultParagraphFont"/>
    <w:link w:val="Heading3"/>
    <w:uiPriority w:val="9"/>
    <w:rsid w:val="00FE216C"/>
    <w:rPr>
      <w:rFonts w:ascii="Times New Roman" w:eastAsiaTheme="majorEastAsia" w:hAnsi="Times New Roman" w:cstheme="majorBidi"/>
      <w:b/>
      <w:bCs/>
      <w:color w:val="000000" w:themeColor="text1"/>
      <w:sz w:val="24"/>
    </w:rPr>
  </w:style>
  <w:style w:type="paragraph" w:styleId="ListParagraph">
    <w:name w:val="List Paragraph"/>
    <w:basedOn w:val="Normal"/>
    <w:uiPriority w:val="34"/>
    <w:qFormat/>
    <w:rsid w:val="009674E9"/>
    <w:pPr>
      <w:ind w:left="720"/>
      <w:contextualSpacing/>
    </w:pPr>
  </w:style>
  <w:style w:type="paragraph" w:styleId="TOCHeading">
    <w:name w:val="TOC Heading"/>
    <w:basedOn w:val="Heading1"/>
    <w:next w:val="Normal"/>
    <w:uiPriority w:val="39"/>
    <w:unhideWhenUsed/>
    <w:qFormat/>
    <w:rsid w:val="009674E9"/>
    <w:pPr>
      <w:spacing w:before="240" w:line="259" w:lineRule="auto"/>
      <w:jc w:val="left"/>
      <w:outlineLvl w:val="9"/>
    </w:pPr>
    <w:rPr>
      <w:rFonts w:asciiTheme="majorHAnsi" w:hAnsiTheme="majorHAnsi"/>
      <w:b w:val="0"/>
      <w:bCs w:val="0"/>
      <w:color w:val="365F91" w:themeColor="accent1" w:themeShade="BF"/>
      <w:szCs w:val="32"/>
      <w:lang w:val="en-US"/>
    </w:rPr>
  </w:style>
  <w:style w:type="paragraph" w:styleId="TOC2">
    <w:name w:val="toc 2"/>
    <w:basedOn w:val="Normal"/>
    <w:next w:val="Normal"/>
    <w:autoRedefine/>
    <w:uiPriority w:val="39"/>
    <w:unhideWhenUsed/>
    <w:rsid w:val="009674E9"/>
    <w:pPr>
      <w:spacing w:after="100"/>
      <w:ind w:left="240"/>
    </w:pPr>
  </w:style>
  <w:style w:type="paragraph" w:styleId="TOC1">
    <w:name w:val="toc 1"/>
    <w:basedOn w:val="Normal"/>
    <w:next w:val="Normal"/>
    <w:autoRedefine/>
    <w:uiPriority w:val="39"/>
    <w:unhideWhenUsed/>
    <w:rsid w:val="009674E9"/>
    <w:pPr>
      <w:spacing w:after="100"/>
    </w:pPr>
  </w:style>
  <w:style w:type="paragraph" w:styleId="TOC3">
    <w:name w:val="toc 3"/>
    <w:basedOn w:val="Normal"/>
    <w:next w:val="Normal"/>
    <w:autoRedefine/>
    <w:uiPriority w:val="39"/>
    <w:unhideWhenUsed/>
    <w:rsid w:val="009674E9"/>
    <w:pPr>
      <w:spacing w:after="100"/>
      <w:ind w:left="480"/>
    </w:pPr>
  </w:style>
  <w:style w:type="character" w:styleId="Hyperlink">
    <w:name w:val="Hyperlink"/>
    <w:basedOn w:val="DefaultParagraphFont"/>
    <w:uiPriority w:val="99"/>
    <w:unhideWhenUsed/>
    <w:rsid w:val="009674E9"/>
    <w:rPr>
      <w:color w:val="0000FF" w:themeColor="hyperlink"/>
      <w:u w:val="single"/>
    </w:rPr>
  </w:style>
  <w:style w:type="character" w:styleId="CommentReference">
    <w:name w:val="annotation reference"/>
    <w:basedOn w:val="DefaultParagraphFont"/>
    <w:uiPriority w:val="99"/>
    <w:semiHidden/>
    <w:unhideWhenUsed/>
    <w:rsid w:val="00BF3A85"/>
    <w:rPr>
      <w:sz w:val="16"/>
      <w:szCs w:val="16"/>
    </w:rPr>
  </w:style>
  <w:style w:type="paragraph" w:styleId="CommentText">
    <w:name w:val="annotation text"/>
    <w:basedOn w:val="Normal"/>
    <w:link w:val="CommentTextChar"/>
    <w:uiPriority w:val="99"/>
    <w:semiHidden/>
    <w:unhideWhenUsed/>
    <w:rsid w:val="00BF3A85"/>
    <w:pPr>
      <w:spacing w:line="240" w:lineRule="auto"/>
    </w:pPr>
    <w:rPr>
      <w:sz w:val="20"/>
      <w:szCs w:val="20"/>
    </w:rPr>
  </w:style>
  <w:style w:type="character" w:customStyle="1" w:styleId="CommentTextChar">
    <w:name w:val="Comment Text Char"/>
    <w:basedOn w:val="DefaultParagraphFont"/>
    <w:link w:val="CommentText"/>
    <w:uiPriority w:val="99"/>
    <w:semiHidden/>
    <w:rsid w:val="00BF3A85"/>
    <w:rPr>
      <w:rFonts w:ascii="Times New Roman" w:hAnsi="Times New Roman"/>
      <w:kern w:val="0"/>
      <w:sz w:val="20"/>
      <w:szCs w:val="20"/>
      <w:lang w:val="en-GB"/>
      <w14:ligatures w14:val="none"/>
    </w:rPr>
  </w:style>
  <w:style w:type="paragraph" w:styleId="CommentSubject">
    <w:name w:val="annotation subject"/>
    <w:basedOn w:val="CommentText"/>
    <w:next w:val="CommentText"/>
    <w:link w:val="CommentSubjectChar"/>
    <w:uiPriority w:val="99"/>
    <w:semiHidden/>
    <w:unhideWhenUsed/>
    <w:rsid w:val="00BF3A85"/>
    <w:rPr>
      <w:b/>
      <w:bCs/>
    </w:rPr>
  </w:style>
  <w:style w:type="character" w:customStyle="1" w:styleId="CommentSubjectChar">
    <w:name w:val="Comment Subject Char"/>
    <w:basedOn w:val="CommentTextChar"/>
    <w:link w:val="CommentSubject"/>
    <w:uiPriority w:val="99"/>
    <w:semiHidden/>
    <w:rsid w:val="00BF3A85"/>
    <w:rPr>
      <w:rFonts w:ascii="Times New Roman" w:hAnsi="Times New Roman"/>
      <w:b/>
      <w:bCs/>
      <w:kern w:val="0"/>
      <w:sz w:val="20"/>
      <w:szCs w:val="20"/>
      <w:lang w:val="en-GB"/>
      <w14:ligatures w14:val="none"/>
    </w:rPr>
  </w:style>
  <w:style w:type="paragraph" w:styleId="BalloonText">
    <w:name w:val="Balloon Text"/>
    <w:basedOn w:val="Normal"/>
    <w:link w:val="BalloonTextChar"/>
    <w:uiPriority w:val="99"/>
    <w:semiHidden/>
    <w:unhideWhenUsed/>
    <w:rsid w:val="00BF3A8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3A85"/>
    <w:rPr>
      <w:rFonts w:ascii="Segoe UI" w:hAnsi="Segoe UI" w:cs="Segoe UI"/>
      <w:kern w:val="0"/>
      <w:sz w:val="18"/>
      <w:szCs w:val="18"/>
      <w:lang w:val="en-GB"/>
      <w14:ligatures w14:val="none"/>
    </w:rPr>
  </w:style>
  <w:style w:type="table" w:styleId="TableGrid">
    <w:name w:val="Table Grid"/>
    <w:basedOn w:val="TableNormal"/>
    <w:uiPriority w:val="59"/>
    <w:rsid w:val="00752C5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4">
    <w:name w:val="Plain Table 4"/>
    <w:basedOn w:val="TableNormal"/>
    <w:uiPriority w:val="44"/>
    <w:rsid w:val="00071D47"/>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071D47"/>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6934732">
      <w:bodyDiv w:val="1"/>
      <w:marLeft w:val="0"/>
      <w:marRight w:val="0"/>
      <w:marTop w:val="0"/>
      <w:marBottom w:val="0"/>
      <w:divBdr>
        <w:top w:val="none" w:sz="0" w:space="0" w:color="auto"/>
        <w:left w:val="none" w:sz="0" w:space="0" w:color="auto"/>
        <w:bottom w:val="none" w:sz="0" w:space="0" w:color="auto"/>
        <w:right w:val="none" w:sz="0" w:space="0" w:color="auto"/>
      </w:divBdr>
    </w:div>
    <w:div w:id="14207094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C75F46-CDE6-45E5-AF7F-9274AF04F0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5413</Words>
  <Characters>30858</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Prashant Tiwari</cp:lastModifiedBy>
  <cp:revision>2</cp:revision>
  <dcterms:created xsi:type="dcterms:W3CDTF">2024-04-24T12:14:00Z</dcterms:created>
  <dcterms:modified xsi:type="dcterms:W3CDTF">2024-04-24T12:14:00Z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04936ee9-ea3a-4f47-ae12-51420b7154c1</vt:lpwstr>
  </property>
</Properties>
</file>