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A91" w:rsidR="00636897" w:rsidP="00636897" w:rsidRDefault="00636897" w14:paraId="12CBEDAE" w14:textId="77777777">
      <w:pPr>
        <w:rPr>
          <w:rFonts w:cs="Arial"/>
          <w:szCs w:val="24"/>
        </w:rPr>
      </w:pPr>
      <w:r w:rsidRPr="00C03A91">
        <w:rPr>
          <w:rFonts w:cs="Arial"/>
          <w:noProof/>
          <w:szCs w:val="24"/>
        </w:rPr>
        <w:drawing>
          <wp:anchor distT="0" distB="0" distL="114300" distR="114300" simplePos="0" relativeHeight="251659264" behindDoc="0" locked="0" layoutInCell="1" allowOverlap="1" wp14:anchorId="4487A1DC" wp14:editId="22595FEC">
            <wp:simplePos x="0" y="0"/>
            <wp:positionH relativeFrom="column">
              <wp:posOffset>0</wp:posOffset>
            </wp:positionH>
            <wp:positionV relativeFrom="paragraph">
              <wp:posOffset>354965</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03A91" w:rsidR="00636897" w:rsidP="00636897" w:rsidRDefault="00636897" w14:paraId="3469DEB7" w14:textId="77777777">
      <w:pPr>
        <w:rPr>
          <w:rFonts w:cs="Arial"/>
          <w:szCs w:val="24"/>
        </w:rPr>
      </w:pPr>
    </w:p>
    <w:p w:rsidRPr="00C03A91" w:rsidR="00636897" w:rsidP="00636897" w:rsidRDefault="00636897" w14:paraId="5C91D64A" w14:textId="77777777">
      <w:pPr>
        <w:rPr>
          <w:rFonts w:cs="Arial"/>
          <w:szCs w:val="24"/>
        </w:rPr>
      </w:pPr>
    </w:p>
    <w:p w:rsidRPr="00C03A91" w:rsidR="00636897" w:rsidP="00636897" w:rsidRDefault="00636897" w14:paraId="61D6BD7B" w14:textId="77777777">
      <w:pPr>
        <w:rPr>
          <w:rFonts w:cs="Arial"/>
          <w:szCs w:val="24"/>
        </w:rPr>
      </w:pPr>
    </w:p>
    <w:p w:rsidR="00636897" w:rsidP="00636897" w:rsidRDefault="00636897" w14:paraId="06300768" w14:textId="4F566545">
      <w:pPr>
        <w:tabs>
          <w:tab w:val="left" w:pos="6540"/>
        </w:tabs>
        <w:jc w:val="center"/>
        <w:rPr>
          <w:rFonts w:cs="Arial"/>
          <w:sz w:val="28"/>
          <w:szCs w:val="28"/>
          <w:lang w:val="nl-NL"/>
        </w:rPr>
      </w:pPr>
    </w:p>
    <w:p w:rsidRPr="00076AC0" w:rsidR="00F94E24" w:rsidP="00636897" w:rsidRDefault="00F94E24" w14:paraId="4077D791" w14:textId="77777777">
      <w:pPr>
        <w:tabs>
          <w:tab w:val="left" w:pos="6540"/>
        </w:tabs>
        <w:jc w:val="center"/>
        <w:rPr>
          <w:rFonts w:cs="Arial"/>
          <w:sz w:val="28"/>
          <w:szCs w:val="28"/>
          <w:lang w:val="nl-NL"/>
        </w:rPr>
      </w:pPr>
    </w:p>
    <w:p w:rsidRPr="00F94E24" w:rsidR="00636897" w:rsidP="00636897" w:rsidRDefault="00636897" w14:paraId="7B98CD96" w14:textId="41AE1B34">
      <w:pPr>
        <w:tabs>
          <w:tab w:val="left" w:pos="6540"/>
        </w:tabs>
        <w:jc w:val="center"/>
        <w:rPr>
          <w:rFonts w:cs="Arial"/>
          <w:sz w:val="32"/>
          <w:szCs w:val="32"/>
          <w:lang w:val="nl-NL"/>
        </w:rPr>
      </w:pPr>
      <w:r w:rsidRPr="4429A89B" w:rsidR="00636897">
        <w:rPr>
          <w:rFonts w:cs="Arial"/>
          <w:b w:val="1"/>
          <w:bCs w:val="1"/>
          <w:sz w:val="32"/>
          <w:szCs w:val="32"/>
          <w:lang w:val="nl-NL"/>
        </w:rPr>
        <w:t>Module name</w:t>
      </w:r>
      <w:r w:rsidRPr="4429A89B" w:rsidR="00636897">
        <w:rPr>
          <w:rFonts w:cs="Arial"/>
          <w:sz w:val="32"/>
          <w:szCs w:val="32"/>
          <w:lang w:val="nl-NL"/>
        </w:rPr>
        <w:t>:</w:t>
      </w:r>
      <w:r w:rsidRPr="4429A89B" w:rsidR="00F94E24">
        <w:rPr>
          <w:rFonts w:cs="Arial"/>
          <w:sz w:val="32"/>
          <w:szCs w:val="32"/>
          <w:lang w:val="nl-NL"/>
        </w:rPr>
        <w:t xml:space="preserve"> </w:t>
      </w:r>
      <w:r w:rsidRPr="4429A89B" w:rsidR="00636897">
        <w:rPr>
          <w:rFonts w:cs="Arial"/>
          <w:b w:val="1"/>
          <w:bCs w:val="1"/>
          <w:sz w:val="32"/>
          <w:szCs w:val="32"/>
          <w:lang w:val="nl-NL"/>
        </w:rPr>
        <w:t>Principles of Health and Social Care Practice</w:t>
      </w:r>
      <w:r w:rsidRPr="4429A89B" w:rsidR="00636897">
        <w:rPr>
          <w:rFonts w:cs="Arial"/>
          <w:sz w:val="32"/>
          <w:szCs w:val="32"/>
          <w:lang w:val="nl-NL"/>
        </w:rPr>
        <w:t xml:space="preserve"> </w:t>
      </w:r>
    </w:p>
    <w:p w:rsidRPr="00F94E24" w:rsidR="00636897" w:rsidP="4429A89B" w:rsidRDefault="00636897" w14:paraId="3013E529" w14:textId="56058FCF">
      <w:pPr>
        <w:pStyle w:val="Normal"/>
        <w:tabs>
          <w:tab w:val="left" w:pos="6540"/>
        </w:tabs>
        <w:jc w:val="center"/>
        <w:rPr>
          <w:rFonts w:cs="Arial"/>
          <w:sz w:val="32"/>
          <w:szCs w:val="32"/>
        </w:rPr>
      </w:pPr>
      <w:r w:rsidRPr="4429A89B" w:rsidR="00636897">
        <w:rPr>
          <w:rFonts w:cs="Arial"/>
          <w:b w:val="1"/>
          <w:bCs w:val="1"/>
          <w:sz w:val="32"/>
          <w:szCs w:val="32"/>
        </w:rPr>
        <w:t>Module code</w:t>
      </w:r>
      <w:r w:rsidRPr="4429A89B" w:rsidR="00636897">
        <w:rPr>
          <w:rFonts w:cs="Arial"/>
          <w:sz w:val="32"/>
          <w:szCs w:val="32"/>
        </w:rPr>
        <w:t xml:space="preserve">:  </w:t>
      </w:r>
      <w:r w:rsidRPr="4429A89B" w:rsidR="00636897">
        <w:rPr>
          <w:rFonts w:cs="Arial"/>
          <w:b w:val="1"/>
          <w:bCs w:val="1"/>
          <w:sz w:val="32"/>
          <w:szCs w:val="32"/>
        </w:rPr>
        <w:t xml:space="preserve">BMHP5016 </w:t>
      </w:r>
    </w:p>
    <w:p w:rsidR="6E11056F" w:rsidP="4429A89B" w:rsidRDefault="6E11056F" w14:paraId="71EC0114" w14:textId="3FFB7EB2">
      <w:pPr>
        <w:pStyle w:val="Normal"/>
        <w:tabs>
          <w:tab w:val="left" w:leader="none" w:pos="6540"/>
        </w:tabs>
        <w:jc w:val="center"/>
        <w:rPr>
          <w:rFonts w:cs="Arial"/>
          <w:b w:val="1"/>
          <w:bCs w:val="1"/>
          <w:sz w:val="32"/>
          <w:szCs w:val="32"/>
        </w:rPr>
      </w:pPr>
      <w:r w:rsidRPr="4429A89B" w:rsidR="6E11056F">
        <w:rPr>
          <w:rFonts w:cs="Arial"/>
          <w:b w:val="1"/>
          <w:bCs w:val="1"/>
          <w:sz w:val="32"/>
          <w:szCs w:val="32"/>
        </w:rPr>
        <w:t>Lecturer name: Farah W</w:t>
      </w:r>
      <w:r w:rsidRPr="4429A89B" w:rsidR="02403AB8">
        <w:rPr>
          <w:rFonts w:cs="Arial"/>
          <w:b w:val="1"/>
          <w:bCs w:val="1"/>
          <w:sz w:val="32"/>
          <w:szCs w:val="32"/>
        </w:rPr>
        <w:t>iita</w:t>
      </w:r>
    </w:p>
    <w:p w:rsidR="00636897" w:rsidP="00F94E24" w:rsidRDefault="00F94E24" w14:paraId="0ADDEEB8" w14:textId="617486CA">
      <w:pPr>
        <w:tabs>
          <w:tab w:val="left" w:pos="6540"/>
        </w:tabs>
        <w:jc w:val="center"/>
        <w:rPr>
          <w:rFonts w:cs="Arial"/>
          <w:b/>
          <w:bCs/>
          <w:sz w:val="28"/>
          <w:szCs w:val="28"/>
        </w:rPr>
      </w:pPr>
      <w:r w:rsidRPr="00F94E24">
        <w:rPr>
          <w:rFonts w:cs="Arial"/>
          <w:b/>
          <w:bCs/>
          <w:sz w:val="28"/>
          <w:szCs w:val="28"/>
        </w:rPr>
        <w:t xml:space="preserve">Component 1: Written Assignment (Reflective Report) </w:t>
      </w:r>
    </w:p>
    <w:p w:rsidR="00636897" w:rsidP="00636897" w:rsidRDefault="00636897" w14:paraId="7F1BB0A1" w14:textId="77777777">
      <w:pPr>
        <w:tabs>
          <w:tab w:val="left" w:pos="6540"/>
        </w:tabs>
        <w:rPr>
          <w:rFonts w:cs="Arial"/>
          <w:b/>
          <w:bCs/>
          <w:sz w:val="28"/>
          <w:szCs w:val="28"/>
        </w:rPr>
      </w:pPr>
    </w:p>
    <w:p w:rsidR="00636897" w:rsidP="00636897" w:rsidRDefault="00636897" w14:paraId="6453FBA2" w14:textId="77777777">
      <w:pPr>
        <w:tabs>
          <w:tab w:val="left" w:pos="6540"/>
        </w:tabs>
        <w:rPr>
          <w:rFonts w:cs="Arial"/>
          <w:b/>
          <w:bCs/>
          <w:sz w:val="28"/>
          <w:szCs w:val="28"/>
        </w:rPr>
      </w:pPr>
    </w:p>
    <w:p w:rsidRPr="00076AC0" w:rsidR="00636897" w:rsidP="00636897" w:rsidRDefault="00636897" w14:paraId="04E96C78" w14:textId="57D111D8">
      <w:pPr>
        <w:tabs>
          <w:tab w:val="left" w:pos="6540"/>
        </w:tabs>
        <w:rPr>
          <w:rFonts w:cs="Arial"/>
          <w:sz w:val="28"/>
          <w:szCs w:val="28"/>
          <w:lang w:val="nl-NL"/>
        </w:rPr>
      </w:pPr>
      <w:r w:rsidRPr="4429A89B" w:rsidR="00636897">
        <w:rPr>
          <w:rFonts w:cs="Arial"/>
          <w:b w:val="1"/>
          <w:bCs w:val="1"/>
          <w:sz w:val="28"/>
          <w:szCs w:val="28"/>
          <w:lang w:val="nl-NL"/>
        </w:rPr>
        <w:t xml:space="preserve">Student </w:t>
      </w:r>
      <w:r w:rsidRPr="4429A89B" w:rsidR="00535A4C">
        <w:rPr>
          <w:rFonts w:cs="Arial"/>
          <w:b w:val="1"/>
          <w:bCs w:val="1"/>
          <w:sz w:val="28"/>
          <w:szCs w:val="28"/>
          <w:lang w:val="nl-NL"/>
        </w:rPr>
        <w:t>N</w:t>
      </w:r>
      <w:r w:rsidRPr="4429A89B" w:rsidR="00636897">
        <w:rPr>
          <w:rFonts w:cs="Arial"/>
          <w:b w:val="1"/>
          <w:bCs w:val="1"/>
          <w:sz w:val="28"/>
          <w:szCs w:val="28"/>
          <w:lang w:val="nl-NL"/>
        </w:rPr>
        <w:t>ame</w:t>
      </w:r>
      <w:r w:rsidRPr="4429A89B" w:rsidR="00636897">
        <w:rPr>
          <w:rFonts w:cs="Arial"/>
          <w:sz w:val="28"/>
          <w:szCs w:val="28"/>
          <w:lang w:val="nl-NL"/>
        </w:rPr>
        <w:t>:</w:t>
      </w:r>
      <w:r w:rsidRPr="4429A89B" w:rsidR="79328D0E">
        <w:rPr>
          <w:rFonts w:cs="Arial"/>
          <w:sz w:val="28"/>
          <w:szCs w:val="28"/>
          <w:lang w:val="nl-NL"/>
        </w:rPr>
        <w:t xml:space="preserve"> </w:t>
      </w:r>
      <w:r w:rsidRPr="4429A89B" w:rsidR="79328D0E">
        <w:rPr>
          <w:rFonts w:cs="Arial"/>
          <w:sz w:val="28"/>
          <w:szCs w:val="28"/>
          <w:lang w:val="nl-NL"/>
        </w:rPr>
        <w:t>Berthe</w:t>
      </w:r>
      <w:r w:rsidRPr="4429A89B" w:rsidR="79328D0E">
        <w:rPr>
          <w:rFonts w:cs="Arial"/>
          <w:sz w:val="28"/>
          <w:szCs w:val="28"/>
          <w:lang w:val="nl-NL"/>
        </w:rPr>
        <w:t xml:space="preserve"> M Mutombo</w:t>
      </w:r>
    </w:p>
    <w:p w:rsidRPr="00076AC0" w:rsidR="00636897" w:rsidP="00636897" w:rsidRDefault="00636897" w14:paraId="09F2D951" w14:textId="1196F1D6">
      <w:pPr>
        <w:tabs>
          <w:tab w:val="left" w:pos="6540"/>
        </w:tabs>
        <w:rPr>
          <w:rFonts w:cs="Arial"/>
          <w:sz w:val="28"/>
          <w:szCs w:val="28"/>
          <w:lang w:val="nl-NL"/>
        </w:rPr>
      </w:pPr>
      <w:r w:rsidRPr="4429A89B" w:rsidR="00636897">
        <w:rPr>
          <w:rFonts w:cs="Arial"/>
          <w:b w:val="1"/>
          <w:bCs w:val="1"/>
          <w:sz w:val="28"/>
          <w:szCs w:val="28"/>
          <w:lang w:val="nl-NL"/>
        </w:rPr>
        <w:t>Student ID</w:t>
      </w:r>
      <w:r w:rsidRPr="4429A89B" w:rsidR="00636897">
        <w:rPr>
          <w:rFonts w:cs="Arial"/>
          <w:sz w:val="28"/>
          <w:szCs w:val="28"/>
          <w:lang w:val="nl-NL"/>
        </w:rPr>
        <w:t>:</w:t>
      </w:r>
      <w:r w:rsidRPr="4429A89B" w:rsidR="7099208F">
        <w:rPr>
          <w:rFonts w:cs="Arial"/>
          <w:sz w:val="28"/>
          <w:szCs w:val="28"/>
          <w:lang w:val="nl-NL"/>
        </w:rPr>
        <w:t xml:space="preserve"> 2427851</w:t>
      </w:r>
    </w:p>
    <w:p w:rsidR="00636897" w:rsidRDefault="00636897" w14:paraId="1C2BEB6A" w14:textId="77777777">
      <w:pPr>
        <w:spacing w:line="259" w:lineRule="auto"/>
        <w:jc w:val="left"/>
        <w:rPr>
          <w:b/>
          <w:sz w:val="28"/>
        </w:rPr>
      </w:pPr>
      <w:r>
        <w:br w:type="page"/>
      </w:r>
    </w:p>
    <w:sdt>
      <w:sdtPr>
        <w:id w:val="434647286"/>
        <w:docPartObj>
          <w:docPartGallery w:val="Table of Contents"/>
          <w:docPartUnique/>
        </w:docPartObj>
        <w:rPr>
          <w:rFonts w:ascii="Arial" w:hAnsi="Arial" w:eastAsia="Calibri" w:cs="" w:eastAsiaTheme="minorAscii" w:cstheme="minorBidi"/>
          <w:color w:val="auto"/>
          <w:sz w:val="22"/>
          <w:szCs w:val="22"/>
        </w:rPr>
      </w:sdtPr>
      <w:sdtEndPr>
        <w:rPr>
          <w:rFonts w:ascii="Arial" w:hAnsi="Arial" w:eastAsia="Calibri" w:cs="" w:eastAsiaTheme="minorAscii" w:cstheme="minorBidi"/>
          <w:b w:val="1"/>
          <w:bCs w:val="1"/>
          <w:noProof/>
          <w:color w:val="auto"/>
          <w:sz w:val="22"/>
          <w:szCs w:val="22"/>
        </w:rPr>
      </w:sdtEndPr>
      <w:sdtContent>
        <w:p w:rsidR="00636897" w:rsidRDefault="00636897" w14:paraId="6D561030" w14:textId="01B980CD">
          <w:pPr>
            <w:pStyle w:val="TOCHeading"/>
          </w:pPr>
          <w:r>
            <w:t>Table of Contents</w:t>
          </w:r>
        </w:p>
        <w:p w:rsidR="00636897" w:rsidRDefault="00636897" w14:paraId="5F3E92BC" w14:textId="4905057A">
          <w:pPr>
            <w:pStyle w:val="TOC1"/>
            <w:tabs>
              <w:tab w:val="right" w:leader="dot" w:pos="9350"/>
            </w:tabs>
            <w:rPr>
              <w:rFonts w:asciiTheme="minorHAnsi" w:hAnsiTheme="minorHAnsi" w:eastAsiaTheme="minorEastAsia"/>
              <w:noProof/>
            </w:rPr>
          </w:pPr>
          <w:r>
            <w:fldChar w:fldCharType="begin"/>
          </w:r>
          <w:r>
            <w:instrText xml:space="preserve"> TOC \o "1-3" \h \z \u </w:instrText>
          </w:r>
          <w:r>
            <w:fldChar w:fldCharType="separate"/>
          </w:r>
          <w:hyperlink w:history="1" w:anchor="_Toc225082023">
            <w:r w:rsidRPr="00AC426B">
              <w:rPr>
                <w:rStyle w:val="Hyperlink"/>
                <w:noProof/>
              </w:rPr>
              <w:t>Task 1: Reflection on the Importance of Principles of Health and Social Care</w:t>
            </w:r>
            <w:r>
              <w:rPr>
                <w:noProof/>
                <w:webHidden/>
              </w:rPr>
              <w:tab/>
            </w:r>
            <w:r>
              <w:rPr>
                <w:noProof/>
                <w:webHidden/>
              </w:rPr>
              <w:fldChar w:fldCharType="begin"/>
            </w:r>
            <w:r>
              <w:rPr>
                <w:noProof/>
                <w:webHidden/>
              </w:rPr>
              <w:instrText xml:space="preserve"> PAGEREF _Toc225082023 \h </w:instrText>
            </w:r>
            <w:r>
              <w:rPr>
                <w:noProof/>
                <w:webHidden/>
              </w:rPr>
            </w:r>
            <w:r>
              <w:rPr>
                <w:noProof/>
                <w:webHidden/>
              </w:rPr>
              <w:fldChar w:fldCharType="separate"/>
            </w:r>
            <w:r>
              <w:rPr>
                <w:noProof/>
                <w:webHidden/>
              </w:rPr>
              <w:t>3</w:t>
            </w:r>
            <w:r>
              <w:rPr>
                <w:noProof/>
                <w:webHidden/>
              </w:rPr>
              <w:fldChar w:fldCharType="end"/>
            </w:r>
          </w:hyperlink>
        </w:p>
        <w:p w:rsidR="00636897" w:rsidRDefault="00636897" w14:paraId="7E901620" w14:textId="59A6C891">
          <w:pPr>
            <w:pStyle w:val="TOC1"/>
            <w:tabs>
              <w:tab w:val="right" w:leader="dot" w:pos="9350"/>
            </w:tabs>
            <w:rPr>
              <w:rFonts w:asciiTheme="minorHAnsi" w:hAnsiTheme="minorHAnsi" w:eastAsiaTheme="minorEastAsia"/>
              <w:noProof/>
            </w:rPr>
          </w:pPr>
          <w:hyperlink w:history="1" w:anchor="_Toc225082024">
            <w:r w:rsidRPr="00AC426B">
              <w:rPr>
                <w:rStyle w:val="Hyperlink"/>
                <w:noProof/>
              </w:rPr>
              <w:t>Task 2: Practical Examples of Concepts in Practice</w:t>
            </w:r>
            <w:r>
              <w:rPr>
                <w:noProof/>
                <w:webHidden/>
              </w:rPr>
              <w:tab/>
            </w:r>
            <w:r>
              <w:rPr>
                <w:noProof/>
                <w:webHidden/>
              </w:rPr>
              <w:fldChar w:fldCharType="begin"/>
            </w:r>
            <w:r>
              <w:rPr>
                <w:noProof/>
                <w:webHidden/>
              </w:rPr>
              <w:instrText xml:space="preserve"> PAGEREF _Toc225082024 \h </w:instrText>
            </w:r>
            <w:r>
              <w:rPr>
                <w:noProof/>
                <w:webHidden/>
              </w:rPr>
            </w:r>
            <w:r>
              <w:rPr>
                <w:noProof/>
                <w:webHidden/>
              </w:rPr>
              <w:fldChar w:fldCharType="separate"/>
            </w:r>
            <w:r>
              <w:rPr>
                <w:noProof/>
                <w:webHidden/>
              </w:rPr>
              <w:t>4</w:t>
            </w:r>
            <w:r>
              <w:rPr>
                <w:noProof/>
                <w:webHidden/>
              </w:rPr>
              <w:fldChar w:fldCharType="end"/>
            </w:r>
          </w:hyperlink>
        </w:p>
        <w:p w:rsidR="00636897" w:rsidRDefault="00636897" w14:paraId="78ADD60A" w14:textId="211D3D19">
          <w:pPr>
            <w:pStyle w:val="TOC1"/>
            <w:tabs>
              <w:tab w:val="right" w:leader="dot" w:pos="9350"/>
            </w:tabs>
            <w:rPr>
              <w:rFonts w:asciiTheme="minorHAnsi" w:hAnsiTheme="minorHAnsi" w:eastAsiaTheme="minorEastAsia"/>
              <w:noProof/>
            </w:rPr>
          </w:pPr>
          <w:hyperlink w:history="1" w:anchor="_Toc225082025">
            <w:r w:rsidRPr="00AC426B">
              <w:rPr>
                <w:rStyle w:val="Hyperlink"/>
                <w:noProof/>
              </w:rPr>
              <w:t>Task 3: Self-Reflection as a Health and Social Care Professional</w:t>
            </w:r>
            <w:r>
              <w:rPr>
                <w:noProof/>
                <w:webHidden/>
              </w:rPr>
              <w:tab/>
            </w:r>
            <w:r>
              <w:rPr>
                <w:noProof/>
                <w:webHidden/>
              </w:rPr>
              <w:fldChar w:fldCharType="begin"/>
            </w:r>
            <w:r>
              <w:rPr>
                <w:noProof/>
                <w:webHidden/>
              </w:rPr>
              <w:instrText xml:space="preserve"> PAGEREF _Toc225082025 \h </w:instrText>
            </w:r>
            <w:r>
              <w:rPr>
                <w:noProof/>
                <w:webHidden/>
              </w:rPr>
            </w:r>
            <w:r>
              <w:rPr>
                <w:noProof/>
                <w:webHidden/>
              </w:rPr>
              <w:fldChar w:fldCharType="separate"/>
            </w:r>
            <w:r>
              <w:rPr>
                <w:noProof/>
                <w:webHidden/>
              </w:rPr>
              <w:t>5</w:t>
            </w:r>
            <w:r>
              <w:rPr>
                <w:noProof/>
                <w:webHidden/>
              </w:rPr>
              <w:fldChar w:fldCharType="end"/>
            </w:r>
          </w:hyperlink>
        </w:p>
        <w:p w:rsidR="00636897" w:rsidRDefault="00636897" w14:paraId="3FF926C2" w14:textId="26BA2DBE">
          <w:pPr>
            <w:pStyle w:val="TOC1"/>
            <w:tabs>
              <w:tab w:val="right" w:leader="dot" w:pos="9350"/>
            </w:tabs>
            <w:rPr>
              <w:rFonts w:asciiTheme="minorHAnsi" w:hAnsiTheme="minorHAnsi" w:eastAsiaTheme="minorEastAsia"/>
              <w:noProof/>
            </w:rPr>
          </w:pPr>
          <w:hyperlink w:history="1" w:anchor="_Toc225082026">
            <w:r w:rsidRPr="00AC426B">
              <w:rPr>
                <w:rStyle w:val="Hyperlink"/>
                <w:noProof/>
              </w:rPr>
              <w:t>Reference</w:t>
            </w:r>
            <w:r>
              <w:rPr>
                <w:noProof/>
                <w:webHidden/>
              </w:rPr>
              <w:tab/>
            </w:r>
            <w:r>
              <w:rPr>
                <w:noProof/>
                <w:webHidden/>
              </w:rPr>
              <w:fldChar w:fldCharType="begin"/>
            </w:r>
            <w:r>
              <w:rPr>
                <w:noProof/>
                <w:webHidden/>
              </w:rPr>
              <w:instrText xml:space="preserve"> PAGEREF _Toc225082026 \h </w:instrText>
            </w:r>
            <w:r>
              <w:rPr>
                <w:noProof/>
                <w:webHidden/>
              </w:rPr>
            </w:r>
            <w:r>
              <w:rPr>
                <w:noProof/>
                <w:webHidden/>
              </w:rPr>
              <w:fldChar w:fldCharType="separate"/>
            </w:r>
            <w:r>
              <w:rPr>
                <w:noProof/>
                <w:webHidden/>
              </w:rPr>
              <w:t>8</w:t>
            </w:r>
            <w:r>
              <w:rPr>
                <w:noProof/>
                <w:webHidden/>
              </w:rPr>
              <w:fldChar w:fldCharType="end"/>
            </w:r>
          </w:hyperlink>
        </w:p>
        <w:p w:rsidR="00636897" w:rsidRDefault="00636897" w14:paraId="19B802D7" w14:textId="5450B452">
          <w:r>
            <w:rPr>
              <w:b/>
              <w:bCs/>
              <w:noProof/>
            </w:rPr>
            <w:fldChar w:fldCharType="end"/>
          </w:r>
        </w:p>
      </w:sdtContent>
    </w:sdt>
    <w:p w:rsidR="00636897" w:rsidRDefault="00636897" w14:paraId="12513D5C" w14:textId="77777777">
      <w:pPr>
        <w:spacing w:line="259" w:lineRule="auto"/>
        <w:jc w:val="left"/>
        <w:rPr>
          <w:b/>
          <w:sz w:val="28"/>
        </w:rPr>
      </w:pPr>
      <w:r>
        <w:br w:type="page"/>
      </w:r>
    </w:p>
    <w:p w:rsidRPr="00636897" w:rsidR="00123210" w:rsidP="00123210" w:rsidRDefault="00123210" w14:paraId="77500E3D" w14:textId="77777777">
      <w:pPr>
        <w:pStyle w:val="Heading1"/>
      </w:pPr>
      <w:bookmarkStart w:name="_Toc225082023" w:id="0"/>
      <w:bookmarkStart w:name="_Toc225082026" w:id="1"/>
      <w:r>
        <w:lastRenderedPageBreak/>
        <w:t>Task 1: Reflection on the Importance of Principles of Health and Social Care</w:t>
      </w:r>
      <w:bookmarkEnd w:id="0"/>
    </w:p>
    <w:p w:rsidR="00123210" w:rsidP="00123210" w:rsidRDefault="00123210" w14:paraId="553F302C" w14:textId="4DCCD484">
      <w:r>
        <w:t>Person-centred care, partnership working, and ethics are three principles that shape how health and social care services are delivered across the United Kingdom. They are not just abstract ideas but are actively applied to service provision and the treatment of people every day.</w:t>
      </w:r>
      <w:r w:rsidR="00422746">
        <w:t xml:space="preserve"> </w:t>
      </w:r>
      <w:r w:rsidRPr="00B86A8A" w:rsidR="00B86A8A">
        <w:t>Person-centred care can be described as a model where the person is put at the core of care planning and delivery with regard to his or her values, preference and lived experience (Care Quality Commission, 2017). Partnership working involves the interaction of various professionals, organisations and service users with a view to attain common results. The term ethics in a professional health and social care setting defines the moral principles that shape the decision-making process and the behaviour as provided in NMC Code (Nursing and Midwifery Council, 2018).</w:t>
      </w:r>
    </w:p>
    <w:p w:rsidR="00123210" w:rsidP="00123210" w:rsidRDefault="00123210" w14:paraId="7427E51E" w14:textId="7A1BC9F3">
      <w:r>
        <w:t xml:space="preserve">Person-centred care places the individual at the heart of everything. Instead of asking what the service offers, the question becomes what this person needs. The Care Act 2014 makes this a legal duty, requiring local authorities to promote individual wellbeing and take into account each person's wishes, feelings, and beliefs when making care decisions (Care Act, 2014). </w:t>
      </w:r>
      <w:r w:rsidRPr="00C44427" w:rsidR="00C44427">
        <w:t xml:space="preserve">The Act further acknowledges the fact that the individual is in a better position to express his wellbeing thus </w:t>
      </w:r>
      <w:r w:rsidR="00C44427">
        <w:t>disheartening</w:t>
      </w:r>
      <w:r w:rsidRPr="00C44427" w:rsidR="00C44427">
        <w:t xml:space="preserve"> professional presumption and upholding personal freedom.</w:t>
      </w:r>
    </w:p>
    <w:p w:rsidR="00C44427" w:rsidP="00C44427" w:rsidRDefault="00C44427" w14:paraId="642F149F" w14:textId="77777777">
      <w:r>
        <w:t>The issue of partnership working is important since every agency cannot serve all the needs of a person independently. A physician cannot cure a medical situation but can offer house and mental health problems without collaborating with others. In health services, the Health and Social Care Act 2012 imposed a responsibility to the NHS bodies to maintain integrated care and minimise the occurrence of health disparities due to the coordinated provision of health services. As Glasby et al. (2011) admit, partnership working is easier said than done because organisations possess divergent interests and source of funds which do not want to see through. The Health and Care Act of 2022 has also proceeded to provide a legal basis to the Integrated Care Systems and to maximise the collaboration of the NHS and the local authority to achieve better health outcomes (GOV.UK, 2022).</w:t>
      </w:r>
    </w:p>
    <w:p w:rsidR="00C44427" w:rsidP="00C44427" w:rsidRDefault="00C44427" w14:paraId="470A6ABB" w14:textId="7D370D52">
      <w:r>
        <w:t>It is all based on ethics. According to Beauchamp and Childress (2019), there are only four principles, namely, autonomy, beneficence, non-maleficence, and justice. These provide practitioners with a guide in making hard decisions that reconcile the preferences of the patients and the perceived risks as well as fairly allocating resources to all. Lacking an explicit system of ethics, decisions will be arbitrary, making them difficult to explain.</w:t>
      </w:r>
    </w:p>
    <w:p w:rsidR="00123210" w:rsidP="00123210" w:rsidRDefault="00123210" w14:paraId="596E0562" w14:textId="383F755A">
      <w:r>
        <w:lastRenderedPageBreak/>
        <w:t>The principles of person-centred care, partnership working, and ethics combined contribute to safety, fairness, the targeted focus on the needs of the under-served populations in general, and, in turn, improve the overall quality of health and social care delivery.</w:t>
      </w:r>
      <w:r w:rsidR="00B86A8A">
        <w:t xml:space="preserve"> </w:t>
      </w:r>
      <w:r w:rsidRPr="00B86A8A" w:rsidR="00B86A8A">
        <w:t>Notably, these three principles do not come out in isolation. Person-centred care presupposes the implementation of ethical thinking that does not violate autonomy, and it relies on the work of partnerships to address the needs that cannot be met by an individual professional. The pair provide an interdependent base of safe, equal, and effective practise. When any of the three is not functioning together, there will be a risk of care being fragmented, haphazard, or paternalistic. This is one reason why professionalism in health and social care does not only require one to be aware of these principles but also to have a strong desire to make them applicable in all areas of the practise.</w:t>
      </w:r>
    </w:p>
    <w:p w:rsidRPr="001E13CD" w:rsidR="00123210" w:rsidP="00123210" w:rsidRDefault="00123210" w14:paraId="6CD168F9" w14:textId="77777777"/>
    <w:p w:rsidRPr="00636897" w:rsidR="00123210" w:rsidP="00123210" w:rsidRDefault="00123210" w14:paraId="38B519A2" w14:textId="77777777">
      <w:pPr>
        <w:pStyle w:val="Heading1"/>
      </w:pPr>
      <w:bookmarkStart w:name="_Toc225082024" w:id="2"/>
      <w:r>
        <w:t>Task 2: Practical Examples of Concepts in Practice</w:t>
      </w:r>
      <w:bookmarkEnd w:id="2"/>
    </w:p>
    <w:p w:rsidR="00123210" w:rsidP="00123210" w:rsidRDefault="00123210" w14:paraId="16A53B63" w14:textId="04489EBC">
      <w:r>
        <w:t xml:space="preserve">The integration of person-centred care, partnership working and ethics could be well demonstrated by the manner in which the Care Programme Approach (CPA) is applied to mental health services. </w:t>
      </w:r>
      <w:r w:rsidRPr="00B86A8A" w:rsidR="00B86A8A">
        <w:t>The context of this example is a community mental health team in England, where a care coordinator is involved with the service user, his family, and various professionals such as GPs, social workers, and housing officers.</w:t>
      </w:r>
      <w:r w:rsidR="00B86A8A">
        <w:t xml:space="preserve"> </w:t>
      </w:r>
      <w:r>
        <w:t>In the provinces of England and Wales, individuals with a complex mental</w:t>
      </w:r>
      <w:r w:rsidR="00E27112">
        <w:t xml:space="preserve"> </w:t>
      </w:r>
      <w:r>
        <w:t>health need receive a CPA, which involves the care planner, user, family or carer and anyone else who is also relevant to the case, to concur on a shared care plan. In simple terms, it is the real</w:t>
      </w:r>
      <w:r w:rsidR="00E27112">
        <w:t xml:space="preserve"> </w:t>
      </w:r>
      <w:r>
        <w:t>life implementation of the three principles at the same time.</w:t>
      </w:r>
    </w:p>
    <w:p w:rsidR="00123210" w:rsidP="00123210" w:rsidRDefault="00123210" w14:paraId="5BE40F24" w14:textId="6B1CD560">
      <w:r>
        <w:t>Consider a person with severe depression and housing problems. A mental health nurse, social worker, GP, and housing officer would all be involved in planning their care. The care plan would reflect what the person says matters most — perhaps getting stable housing before addressing medication. That is person-centred care in practice. It also shows why NHS services, social care, and housing must work together to respond to the whole person rather than one part of their problem.</w:t>
      </w:r>
      <w:r w:rsidR="00B86A8A">
        <w:t xml:space="preserve"> </w:t>
      </w:r>
      <w:r w:rsidRPr="00B86A8A" w:rsidR="00B86A8A">
        <w:t xml:space="preserve">The Health and Social Care Act 2012 imposes a responsibility on NHS organisations to strive to achieve such an approach to care and the Care Act 2014 codifies the same under the social care lens (Care Act, 2014). This was further reinforced by the Health and Care Act 2022 that saw Integrated Care Systems become a statutory requirement, which means that NHS and local authority partners now find themselves legally required to plan and provide services together. Practically, this strategy of joining up implies that the depressed individual will have a higher chance of accessing support in all aspects of </w:t>
      </w:r>
      <w:r w:rsidRPr="00B86A8A" w:rsidR="00B86A8A">
        <w:lastRenderedPageBreak/>
        <w:t>his or her need at the right time, contributing to improved health results and reduced crisis admissions (GOV.UK, 2022).</w:t>
      </w:r>
    </w:p>
    <w:p w:rsidR="00EF1023" w:rsidP="00EF1023" w:rsidRDefault="00EF1023" w14:paraId="70FE406A" w14:textId="77777777">
      <w:r>
        <w:t>Ethics come in when making decisions are complicated. According to the Mental Capacity Act 2005, all adults have to be presumed to be of capacity unless it is demonstrated to the contrary (GOV.UK, 2005). This prevents the act of a professional taking the choice of a person and making it due to the fact that he or she is sick. In the case of patient refusals, the care team should not ignore the decision as long as adequate capacity assessment is done to prove they are able to comprehend and assess the options. Ethical care also respects autonomy even in instances when this is not comfortable.</w:t>
      </w:r>
    </w:p>
    <w:p w:rsidR="00123210" w:rsidP="00123210" w:rsidRDefault="00EF1023" w14:paraId="60E45F77" w14:textId="38DC4537">
      <w:r>
        <w:t xml:space="preserve">According to SCIE (2022), partnership working in the UK continues to experience such issues as ineffective communication among agencies, failure in timely assessment, and absence of common records. These loopholes make individuals to be left in between service loopholes. This will need to be rectified by investing in common systems and showing real organisational dedication rather than good intentions. </w:t>
      </w:r>
      <w:r w:rsidRPr="00E27112" w:rsidR="00E27112">
        <w:t>The most important lesson of this example is that person-centred care, partnership working, and ethics can be the most effective, but only in the case when they are introduced as a part of the everyday processes and systems instead of being used in theory only. Professionals should be able to listen to and engage with service users in a way that builds collaboration across boundaries and makes ethical decisions based on the legislation, such as the Mental Capacity Act of 2005, and the quality and safety of care will be much better. These values should be dealt with as a group obligation and not as duties.</w:t>
      </w:r>
    </w:p>
    <w:p w:rsidR="00123210" w:rsidP="00123210" w:rsidRDefault="00123210" w14:paraId="342F4B3F" w14:textId="77777777">
      <w:pPr>
        <w:pStyle w:val="Heading1"/>
        <w:rPr>
          <w:rFonts w:eastAsia="Arial" w:cs="Arial"/>
          <w:bCs/>
          <w:color w:val="000000"/>
          <w:sz w:val="22"/>
        </w:rPr>
      </w:pPr>
    </w:p>
    <w:p w:rsidRPr="00636897" w:rsidR="00123210" w:rsidP="00123210" w:rsidRDefault="00123210" w14:paraId="156682C3" w14:textId="77777777">
      <w:pPr>
        <w:pStyle w:val="Heading1"/>
      </w:pPr>
      <w:bookmarkStart w:name="_Toc225082025" w:id="3"/>
      <w:r>
        <w:t>Task 3: Self-Reflection as a Health and Social Care Professional</w:t>
      </w:r>
      <w:bookmarkEnd w:id="3"/>
    </w:p>
    <w:p w:rsidRPr="00636897" w:rsidR="00123210" w:rsidP="00123210" w:rsidRDefault="00123210" w14:paraId="18B32246" w14:textId="1EBF2A49">
      <w:r>
        <w:t xml:space="preserve">Being honest to reflect on my own practise is something I consider not only useful but also a little bit uncomfortable. It is effective since it makes me see what I really do, not just what I believe I do. It is </w:t>
      </w:r>
      <w:r w:rsidRPr="00E27112">
        <w:t>challenging at times, as</w:t>
      </w:r>
      <w:r>
        <w:t xml:space="preserve"> the two do not always coincide.</w:t>
      </w:r>
      <w:r>
        <w:rPr>
          <w:highlight w:val="yellow"/>
        </w:rPr>
        <w:t xml:space="preserve"> </w:t>
      </w:r>
      <w:r w:rsidRPr="00E27112" w:rsidR="00E27112">
        <w:t>Being a student health and social care professional who is still building my practise as a student and a working experience, I am being taught on how to apply these principles in actual contexts. The reflection is based on my daily experience and connected with the applicable theory, legislation and professional standards.</w:t>
      </w:r>
    </w:p>
    <w:p w:rsidRPr="00E27112" w:rsidR="00123210" w:rsidP="00123210" w:rsidRDefault="00123210" w14:paraId="2B368A15" w14:textId="77777777">
      <w:r>
        <w:t xml:space="preserve">I believe that listening is one of my best strengths, and I would start with person-centred care. This is something that I attempt to ensure when conversing with a patient or service user that I am actually listening to what they are saying and not merely waiting to hear what I am thinking they would say. According to the NMC Code (Nursing and Midwifery Council, 2018), nurses have </w:t>
      </w:r>
      <w:r w:rsidRPr="00E27112">
        <w:t xml:space="preserve">to focus on people and address every single person as an individual, and I consider that </w:t>
      </w:r>
      <w:r w:rsidRPr="00E27112">
        <w:lastRenderedPageBreak/>
        <w:t>very seriously. However, I understand that I cannot always do it as well as I should when I am busy or tired. A few months ago I successfully finished a regular check-up and proceeded rather fast. Then I realised that the person had been trying to say something personal, but I had maintained things very much in a clinical manner and they were not given the opportunity to say it. That stayed with me. It was not a bad assessment on paper, though it was not very much person-centred.</w:t>
      </w:r>
    </w:p>
    <w:p w:rsidRPr="00636897" w:rsidR="00123210" w:rsidP="00123210" w:rsidRDefault="00123210" w14:paraId="665C1960" w14:textId="77777777">
      <w:r w:rsidRPr="00E27112">
        <w:t>Here, it is useful to use the Reflective Cycle offered by Gibbs (1988). Gibbs asks you to describe what happened, explore your feelings, consider what worked, what did not, reason why, make a conclusion and then plan what you would do differently. At the time when I underwent such an experience of taking the assessment discussed, I realised that my habit to rush when in a busy situation is not a single instance, but an actual pattern. My conclusion was that the person-centred approach takes effort, particularly when dealing with pressured situations, which would be easy to simply go through the task.</w:t>
      </w:r>
    </w:p>
    <w:p w:rsidRPr="00636897" w:rsidR="00123210" w:rsidP="00123210" w:rsidRDefault="00123210" w14:paraId="7646583B" w14:textId="77777777">
      <w:r>
        <w:t>Partnership working is one of the areas that I am yet to learn a great deal. I recognise the significance of it. Integrated working in an integrated manner as a duty of services is explicitly spelled out in the Care Act 2014, and is from the NHS side in the Health and Social Care Act 2012. Being knowledgeable about the legislation and being confident in a cross-professional setting are two different things. I have been in multi-disciplinary team meetings where I refrained talking to give my insight since I did not know whether I should talk or not. Considering this frankly, such a hesitation was most likely due to a deficiency in confidence, and not a good professional judgement. As Glasby et al. (2011) make it clear, the hindrances to the successful partnership working are both structural and cultural and prevent professional to professional relationships. That rang true for me.</w:t>
      </w:r>
    </w:p>
    <w:p w:rsidRPr="00636897" w:rsidR="00123210" w:rsidP="00123210" w:rsidRDefault="00123210" w14:paraId="03B3BFE8" w14:textId="77777777">
      <w:r>
        <w:t>I would like to be more active in such environments. A particular step which I am going to do is to request my manager to allow me shadow a social worker during a couple of sessions so that I can have a clearer understanding of how the job of a social worker differs with that of mine and the natural points of transition. Such learning cannot possibly be acquired through reading only.</w:t>
      </w:r>
    </w:p>
    <w:p w:rsidR="00442DD2" w:rsidP="00442DD2" w:rsidRDefault="00123210" w14:paraId="2276F5D3" w14:textId="63A32EAD">
      <w:r>
        <w:t xml:space="preserve">I feel more confident with ethics than the other two areas, though there is still room to grow. I apply the Mental Capacity Act 2005 principles regularly in practice, particularly around the assumption of capacity and supporting people to make their own decisions (GOV.UK, 2005). Where I feel less sure is the justice principle. Beauchamp and Childress (2019) describe justice as thinking about fair treatment and the distribution of resources. I have noticed that some patients seem to receive less attention based on their background, but I have not always felt confident enough to address this constructively. </w:t>
      </w:r>
      <w:r w:rsidR="00442DD2">
        <w:t>That is one of the things I wish to recover.</w:t>
      </w:r>
    </w:p>
    <w:p w:rsidR="00442DD2" w:rsidP="00442DD2" w:rsidRDefault="00442DD2" w14:paraId="21D5CD1F" w14:textId="48C17419">
      <w:r>
        <w:lastRenderedPageBreak/>
        <w:t>Moving forward, there are three plans that I would like to make. To start with, I will attend more meetings of MDT and challenge myself to speak up even in times of uncertainty. Second, I will also read more on person-centred practise through the SCIE site other than just what I have already studied as part of my university education. Third, I will still utilise the reflective model of Gibbs (1988) following crucial encounters in the work place, especially the unpleasant ones, as a way of shifting the bad feeling about something to what I would change.</w:t>
      </w:r>
    </w:p>
    <w:p w:rsidRPr="00636897" w:rsidR="00123210" w:rsidP="00123210" w:rsidRDefault="00123210" w14:paraId="222AEDB0" w14:textId="6B0E58B4">
      <w:r>
        <w:t>Maslow's (1943) hierarchy also reminds me that I need to feel secure in the basics of my role before I can develop higher-level skills such as leadership and ethical advocacy. To support this, I plan to undertake a CPD activity related to person-centred practice within the next six months, seek regular supervision to discuss ethical dilemmas, and engage in peer review sessions with colleagues to build confidence in partnership working.</w:t>
      </w:r>
    </w:p>
    <w:p w:rsidR="00123210" w:rsidP="00123210" w:rsidRDefault="00123210" w14:paraId="6B98FB68" w14:textId="06D5CFAE">
      <w:r>
        <w:t>I believe that the greatest thing that I learned in reading these principles is that intentions are not sufficient in themselves. Individualised care, collaborative work, and ethics are not easy to practise. These are the skills that you develop over time as you experience, reflect and tell yourself where you are failing. I am not always right, and I also am determined to get better at it, and I find that commitment seems to be the place where I should begin.</w:t>
      </w:r>
      <w:r w:rsidR="00E27112">
        <w:t xml:space="preserve"> </w:t>
      </w:r>
      <w:r w:rsidRPr="00E27112" w:rsidR="00E27112">
        <w:t xml:space="preserve">Person-centred care, partnership working, ethics will also remain part of me as a professional in the long-term. They remind me that it is people that make health and social care, not processes. </w:t>
      </w:r>
      <w:r w:rsidRPr="00EF1023" w:rsidR="00EF1023">
        <w:t>I would be happy to introduce these principles not as rules to be observed but values that I use in the development of my career. It is what it takes to be a committed and caring health and social care practitioner to me.</w:t>
      </w:r>
    </w:p>
    <w:p w:rsidR="00DE10FE" w:rsidP="00123210" w:rsidRDefault="00DE10FE" w14:paraId="538CF2A4" w14:textId="710A28FA"/>
    <w:p w:rsidR="00DE10FE" w:rsidP="00123210" w:rsidRDefault="00DE10FE" w14:paraId="2DD2E2B3" w14:textId="77777777"/>
    <w:p w:rsidR="00123210" w:rsidRDefault="00123210" w14:paraId="617867D0" w14:textId="77777777">
      <w:pPr>
        <w:spacing w:line="259" w:lineRule="auto"/>
        <w:jc w:val="left"/>
        <w:rPr>
          <w:b/>
          <w:sz w:val="28"/>
        </w:rPr>
      </w:pPr>
      <w:r>
        <w:br w:type="page"/>
      </w:r>
    </w:p>
    <w:p w:rsidRPr="00636897" w:rsidR="00E86160" w:rsidP="00636897" w:rsidRDefault="00E86160" w14:paraId="485E0C39" w14:textId="66F1B34C">
      <w:pPr>
        <w:pStyle w:val="Heading1"/>
      </w:pPr>
      <w:r w:rsidRPr="00636897">
        <w:lastRenderedPageBreak/>
        <w:t>Reference</w:t>
      </w:r>
      <w:bookmarkEnd w:id="1"/>
    </w:p>
    <w:p w:rsidRPr="00E86160" w:rsidR="00E27112" w:rsidP="00E86160" w:rsidRDefault="00E27112" w14:paraId="505C933C" w14:textId="77777777">
      <w:pPr>
        <w:pStyle w:val="NormalWeb"/>
        <w:spacing w:before="0" w:beforeAutospacing="0" w:after="240" w:afterAutospacing="0"/>
        <w:rPr>
          <w:rFonts w:ascii="Arial" w:hAnsi="Arial" w:cs="Arial"/>
          <w:sz w:val="22"/>
          <w:szCs w:val="22"/>
        </w:rPr>
      </w:pPr>
      <w:r w:rsidRPr="00E86160">
        <w:rPr>
          <w:rFonts w:ascii="Arial" w:hAnsi="Arial" w:cs="Arial"/>
          <w:sz w:val="22"/>
          <w:szCs w:val="22"/>
        </w:rPr>
        <w:t xml:space="preserve">Beauchamp, T. and Childress, J. (2019) ‘Principles of Biomedical Ethics: Marking Its Fortieth Anniversary’. </w:t>
      </w:r>
      <w:r w:rsidRPr="00E86160">
        <w:rPr>
          <w:rFonts w:ascii="Arial" w:hAnsi="Arial" w:cs="Arial"/>
          <w:i/>
          <w:iCs/>
          <w:sz w:val="22"/>
          <w:szCs w:val="22"/>
        </w:rPr>
        <w:t>The American Journal of Bioethics</w:t>
      </w:r>
      <w:r w:rsidRPr="00E86160">
        <w:rPr>
          <w:rFonts w:ascii="Arial" w:hAnsi="Arial" w:cs="Arial"/>
          <w:sz w:val="22"/>
          <w:szCs w:val="22"/>
        </w:rPr>
        <w:t xml:space="preserve"> 19(11), pp. 9–12. Available at: </w:t>
      </w:r>
      <w:hyperlink w:history="1" r:id="rId10">
        <w:r w:rsidRPr="00E86160">
          <w:rPr>
            <w:rStyle w:val="Hyperlink"/>
            <w:rFonts w:ascii="Arial" w:hAnsi="Arial" w:cs="Arial"/>
            <w:sz w:val="22"/>
            <w:szCs w:val="22"/>
          </w:rPr>
          <w:t>https://pubmed.ncbi.nlm.nih.gov/31647760/</w:t>
        </w:r>
      </w:hyperlink>
      <w:r w:rsidRPr="00E86160">
        <w:rPr>
          <w:rFonts w:ascii="Arial" w:hAnsi="Arial" w:cs="Arial"/>
          <w:sz w:val="22"/>
          <w:szCs w:val="22"/>
        </w:rPr>
        <w:t>.</w:t>
      </w:r>
    </w:p>
    <w:p w:rsidR="00E27112" w:rsidP="00E86160" w:rsidRDefault="00E27112" w14:paraId="0A89350C" w14:textId="77777777">
      <w:pPr>
        <w:spacing w:after="240"/>
        <w:rPr>
          <w:rFonts w:eastAsia="Times New Roman" w:cs="Arial"/>
        </w:rPr>
      </w:pPr>
      <w:r w:rsidRPr="009109AE">
        <w:rPr>
          <w:rFonts w:eastAsia="Times New Roman" w:cs="Arial"/>
        </w:rPr>
        <w:t xml:space="preserve">Care Act (2014) </w:t>
      </w:r>
      <w:r w:rsidRPr="009109AE">
        <w:rPr>
          <w:rFonts w:eastAsia="Times New Roman" w:cs="Arial"/>
          <w:i/>
          <w:iCs/>
        </w:rPr>
        <w:t>Care Act 2014</w:t>
      </w:r>
      <w:r w:rsidRPr="009109AE">
        <w:rPr>
          <w:rFonts w:eastAsia="Times New Roman" w:cs="Arial"/>
        </w:rPr>
        <w:t>. Available at:</w:t>
      </w:r>
      <w:r w:rsidRPr="00E86160">
        <w:rPr>
          <w:rFonts w:eastAsia="Times New Roman" w:cs="Arial"/>
        </w:rPr>
        <w:t xml:space="preserve"> </w:t>
      </w:r>
      <w:hyperlink w:history="1" r:id="rId11">
        <w:r w:rsidRPr="00EC6269">
          <w:rPr>
            <w:rStyle w:val="Hyperlink"/>
            <w:rFonts w:eastAsia="Times New Roman" w:cs="Arial"/>
          </w:rPr>
          <w:t>https://www.legislation.gov.uk/ukpga/2014/23/contents</w:t>
        </w:r>
      </w:hyperlink>
      <w:r w:rsidRPr="009109AE">
        <w:rPr>
          <w:rFonts w:eastAsia="Times New Roman" w:cs="Arial"/>
        </w:rPr>
        <w:t>.</w:t>
      </w:r>
    </w:p>
    <w:p w:rsidRPr="00123210" w:rsidR="00E27112" w:rsidP="00123210" w:rsidRDefault="00E27112" w14:paraId="4CC4D571" w14:textId="77777777">
      <w:pPr>
        <w:spacing w:after="240"/>
        <w:jc w:val="left"/>
        <w:rPr>
          <w:rFonts w:eastAsia="Times New Roman" w:cs="Arial"/>
        </w:rPr>
      </w:pPr>
      <w:r w:rsidRPr="00123210">
        <w:rPr>
          <w:rFonts w:eastAsia="Times New Roman" w:cs="Arial"/>
        </w:rPr>
        <w:t xml:space="preserve">CQC (2022) </w:t>
      </w:r>
      <w:r w:rsidRPr="00123210">
        <w:rPr>
          <w:rFonts w:eastAsia="Times New Roman" w:cs="Arial"/>
          <w:i/>
          <w:iCs/>
        </w:rPr>
        <w:t>Care Quality Commission</w:t>
      </w:r>
      <w:r w:rsidRPr="00123210">
        <w:rPr>
          <w:rFonts w:eastAsia="Times New Roman" w:cs="Arial"/>
        </w:rPr>
        <w:t xml:space="preserve">. Available at: </w:t>
      </w:r>
      <w:hyperlink w:history="1" r:id="rId12">
        <w:r w:rsidRPr="00123210">
          <w:rPr>
            <w:rStyle w:val="Hyperlink"/>
            <w:rFonts w:eastAsia="Times New Roman" w:cs="Arial"/>
          </w:rPr>
          <w:t>https://www.cqc.org.uk</w:t>
        </w:r>
      </w:hyperlink>
      <w:r w:rsidRPr="00123210">
        <w:rPr>
          <w:rFonts w:eastAsia="Times New Roman" w:cs="Arial"/>
        </w:rPr>
        <w:t>.</w:t>
      </w:r>
      <w:r>
        <w:rPr>
          <w:rFonts w:eastAsia="Times New Roman" w:cs="Arial"/>
        </w:rPr>
        <w:t xml:space="preserve"> </w:t>
      </w:r>
    </w:p>
    <w:p w:rsidRPr="00E86160" w:rsidR="00E27112" w:rsidP="00E86160" w:rsidRDefault="00E27112" w14:paraId="363D1FDA" w14:textId="77777777">
      <w:pPr>
        <w:spacing w:after="240"/>
        <w:rPr>
          <w:rFonts w:eastAsia="Times New Roman" w:cs="Arial"/>
        </w:rPr>
      </w:pPr>
      <w:r w:rsidRPr="00063628">
        <w:rPr>
          <w:rFonts w:eastAsia="Times New Roman" w:cs="Arial"/>
        </w:rPr>
        <w:t xml:space="preserve">Gibbs, G. (1988) ‘Learning by doing: a Guide to Teaching and Learning Methods.’ </w:t>
      </w:r>
      <w:r w:rsidRPr="00063628">
        <w:rPr>
          <w:rFonts w:eastAsia="Times New Roman" w:cs="Arial"/>
          <w:i/>
          <w:iCs/>
        </w:rPr>
        <w:t>Programmed Learning &amp; Educational Technology</w:t>
      </w:r>
      <w:r w:rsidRPr="00063628">
        <w:rPr>
          <w:rFonts w:eastAsia="Times New Roman" w:cs="Arial"/>
        </w:rPr>
        <w:t xml:space="preserve"> 25(2)</w:t>
      </w:r>
    </w:p>
    <w:p w:rsidRPr="00E86160" w:rsidR="00E27112" w:rsidP="00E86160" w:rsidRDefault="00E27112" w14:paraId="61FBB2D4" w14:textId="77777777">
      <w:pPr>
        <w:spacing w:after="240"/>
        <w:rPr>
          <w:rFonts w:eastAsia="Times New Roman" w:cs="Arial"/>
        </w:rPr>
      </w:pPr>
      <w:r w:rsidRPr="00063628">
        <w:rPr>
          <w:rFonts w:eastAsia="Times New Roman" w:cs="Arial"/>
        </w:rPr>
        <w:t xml:space="preserve">Glasby, J., Dickinson, H. and Miller, R. (2011) ‘Partnership working in England—where we are now and where we’ve come from’. </w:t>
      </w:r>
      <w:r w:rsidRPr="00063628">
        <w:rPr>
          <w:rFonts w:eastAsia="Times New Roman" w:cs="Arial"/>
          <w:i/>
          <w:iCs/>
        </w:rPr>
        <w:t>International Journal of Integrated Care</w:t>
      </w:r>
      <w:r w:rsidRPr="00063628">
        <w:rPr>
          <w:rFonts w:eastAsia="Times New Roman" w:cs="Arial"/>
        </w:rPr>
        <w:t xml:space="preserve"> 11(5). Available at: </w:t>
      </w:r>
      <w:hyperlink w:history="1" r:id="rId13">
        <w:r w:rsidRPr="00063628">
          <w:rPr>
            <w:rStyle w:val="Hyperlink"/>
            <w:rFonts w:eastAsia="Times New Roman" w:cs="Arial"/>
          </w:rPr>
          <w:t>https://www.ncbi.nlm.nih.gov/pmc/articles/PMC3111890/</w:t>
        </w:r>
      </w:hyperlink>
      <w:r w:rsidRPr="00063628">
        <w:rPr>
          <w:rFonts w:eastAsia="Times New Roman" w:cs="Arial"/>
        </w:rPr>
        <w:t>.</w:t>
      </w:r>
      <w:r w:rsidRPr="00E86160">
        <w:rPr>
          <w:rFonts w:eastAsia="Times New Roman" w:cs="Arial"/>
        </w:rPr>
        <w:t xml:space="preserve"> </w:t>
      </w:r>
    </w:p>
    <w:p w:rsidRPr="00E86160" w:rsidR="00E27112" w:rsidP="00E86160" w:rsidRDefault="00E27112" w14:paraId="1008578B" w14:textId="77777777">
      <w:pPr>
        <w:rPr>
          <w:rFonts w:cs="Arial"/>
        </w:rPr>
      </w:pPr>
      <w:r w:rsidRPr="00E86160">
        <w:rPr>
          <w:rFonts w:cs="Arial"/>
        </w:rPr>
        <w:t xml:space="preserve">GOV.UK (2005) </w:t>
      </w:r>
      <w:r w:rsidRPr="00E86160">
        <w:rPr>
          <w:rFonts w:cs="Arial"/>
          <w:i/>
          <w:iCs/>
        </w:rPr>
        <w:t>Mental Capacity Act 2005</w:t>
      </w:r>
      <w:r w:rsidRPr="00E86160">
        <w:rPr>
          <w:rFonts w:cs="Arial"/>
        </w:rPr>
        <w:t>. Available at: https://www.legislation.gov.uk/ukpga/2005/9/contents.</w:t>
      </w:r>
    </w:p>
    <w:p w:rsidRPr="00E86160" w:rsidR="00E27112" w:rsidP="00E86160" w:rsidRDefault="00E27112" w14:paraId="2B1331E2" w14:textId="77777777">
      <w:pPr>
        <w:spacing w:after="240"/>
        <w:rPr>
          <w:rFonts w:eastAsia="Times New Roman" w:cs="Arial"/>
        </w:rPr>
      </w:pPr>
      <w:bookmarkStart w:name="_Hlk225030153" w:id="4"/>
      <w:r w:rsidRPr="00063628">
        <w:rPr>
          <w:rFonts w:eastAsia="Times New Roman" w:cs="Arial"/>
        </w:rPr>
        <w:t xml:space="preserve">GOV.UK </w:t>
      </w:r>
      <w:bookmarkEnd w:id="4"/>
      <w:r w:rsidRPr="00063628">
        <w:rPr>
          <w:rFonts w:eastAsia="Times New Roman" w:cs="Arial"/>
        </w:rPr>
        <w:t xml:space="preserve">(2012) </w:t>
      </w:r>
      <w:r w:rsidRPr="00063628">
        <w:rPr>
          <w:rFonts w:eastAsia="Times New Roman" w:cs="Arial"/>
          <w:i/>
          <w:iCs/>
        </w:rPr>
        <w:t>Health and Social Care Act 2012</w:t>
      </w:r>
      <w:r w:rsidRPr="00063628">
        <w:rPr>
          <w:rFonts w:eastAsia="Times New Roman" w:cs="Arial"/>
        </w:rPr>
        <w:t xml:space="preserve">. Available at: </w:t>
      </w:r>
      <w:hyperlink w:history="1" r:id="rId14">
        <w:r w:rsidRPr="00063628">
          <w:rPr>
            <w:rStyle w:val="Hyperlink"/>
            <w:rFonts w:eastAsia="Times New Roman" w:cs="Arial"/>
          </w:rPr>
          <w:t>https://www.legislation.gov.uk/ukpga/2012/7</w:t>
        </w:r>
      </w:hyperlink>
      <w:r w:rsidRPr="00063628">
        <w:rPr>
          <w:rFonts w:eastAsia="Times New Roman" w:cs="Arial"/>
        </w:rPr>
        <w:t>.</w:t>
      </w:r>
      <w:r w:rsidRPr="00E86160">
        <w:rPr>
          <w:rFonts w:eastAsia="Times New Roman" w:cs="Arial"/>
        </w:rPr>
        <w:t xml:space="preserve"> </w:t>
      </w:r>
    </w:p>
    <w:p w:rsidRPr="00347A48" w:rsidR="00E27112" w:rsidP="00347A48" w:rsidRDefault="00E27112" w14:paraId="1A6D8265" w14:textId="77777777">
      <w:r w:rsidRPr="00347A48">
        <w:t xml:space="preserve">Maslow, A.H. (1943) ‘A Theory of Human Motivation’. </w:t>
      </w:r>
      <w:r w:rsidRPr="00347A48">
        <w:rPr>
          <w:i/>
          <w:iCs/>
        </w:rPr>
        <w:t>Psychological Review</w:t>
      </w:r>
      <w:r w:rsidRPr="00347A48">
        <w:t xml:space="preserve"> 50(4), pp. 370–396. doi: </w:t>
      </w:r>
      <w:hyperlink w:history="1" r:id="rId15">
        <w:r w:rsidRPr="00347A48">
          <w:rPr>
            <w:rStyle w:val="Hyperlink"/>
            <w:rFonts w:ascii="Times New Roman" w:hAnsi="Times New Roman" w:eastAsia="Times New Roman" w:cs="Times New Roman"/>
            <w:sz w:val="24"/>
            <w:szCs w:val="24"/>
          </w:rPr>
          <w:t>https://doi.org/10.1037/h0054346</w:t>
        </w:r>
      </w:hyperlink>
      <w:r w:rsidRPr="00347A48">
        <w:t>.</w:t>
      </w:r>
      <w:r>
        <w:t xml:space="preserve"> </w:t>
      </w:r>
    </w:p>
    <w:p w:rsidRPr="00E86160" w:rsidR="00E27112" w:rsidP="00E86160" w:rsidRDefault="00E27112" w14:paraId="7630279E" w14:textId="77777777">
      <w:pPr>
        <w:spacing w:after="240"/>
        <w:rPr>
          <w:rFonts w:eastAsia="Times New Roman" w:cs="Arial"/>
        </w:rPr>
      </w:pPr>
      <w:r w:rsidRPr="009109AE">
        <w:rPr>
          <w:rFonts w:eastAsia="Times New Roman" w:cs="Arial"/>
        </w:rPr>
        <w:t xml:space="preserve">Nursing and Midwifery Council (2018) </w:t>
      </w:r>
      <w:r w:rsidRPr="009109AE">
        <w:rPr>
          <w:rFonts w:eastAsia="Times New Roman" w:cs="Arial"/>
          <w:i/>
          <w:iCs/>
        </w:rPr>
        <w:t>The Code Professional Standards of Practice and Behaviour for Nurses and Midwives Nursing and Midwifery Council</w:t>
      </w:r>
      <w:r w:rsidRPr="009109AE">
        <w:rPr>
          <w:rFonts w:eastAsia="Times New Roman" w:cs="Arial"/>
        </w:rPr>
        <w:t xml:space="preserve">. London: Nursing and Midwifery Council. Available at: </w:t>
      </w:r>
      <w:hyperlink w:history="1" r:id="rId16">
        <w:r w:rsidRPr="009109AE">
          <w:rPr>
            <w:rStyle w:val="Hyperlink"/>
            <w:rFonts w:eastAsia="Times New Roman" w:cs="Arial"/>
          </w:rPr>
          <w:t>https://www.nmc.org.uk/globalassets/sitedocuments/nmc-publications/nmc-code.pdf</w:t>
        </w:r>
      </w:hyperlink>
      <w:r w:rsidRPr="009109AE">
        <w:rPr>
          <w:rFonts w:eastAsia="Times New Roman" w:cs="Arial"/>
        </w:rPr>
        <w:t>.</w:t>
      </w:r>
      <w:r w:rsidRPr="00E86160">
        <w:rPr>
          <w:rFonts w:eastAsia="Times New Roman" w:cs="Arial"/>
        </w:rPr>
        <w:t xml:space="preserve"> </w:t>
      </w:r>
    </w:p>
    <w:p w:rsidR="00E27112" w:rsidP="00E86160" w:rsidRDefault="00E27112" w14:paraId="306CCAD1" w14:textId="77777777">
      <w:pPr>
        <w:spacing w:after="240"/>
        <w:rPr>
          <w:rFonts w:eastAsia="Times New Roman" w:cs="Arial"/>
        </w:rPr>
      </w:pPr>
      <w:r w:rsidRPr="009109AE">
        <w:rPr>
          <w:rFonts w:eastAsia="Times New Roman" w:cs="Arial"/>
        </w:rPr>
        <w:t xml:space="preserve">Social Care Institute for Excellence (2022) </w:t>
      </w:r>
      <w:r w:rsidRPr="009109AE">
        <w:rPr>
          <w:rFonts w:eastAsia="Times New Roman" w:cs="Arial"/>
          <w:i/>
          <w:iCs/>
        </w:rPr>
        <w:t>Mental Capacity Act 2005 at a Glance</w:t>
      </w:r>
      <w:r w:rsidRPr="009109AE">
        <w:rPr>
          <w:rFonts w:eastAsia="Times New Roman" w:cs="Arial"/>
        </w:rPr>
        <w:t xml:space="preserve">. Available at: </w:t>
      </w:r>
      <w:hyperlink w:history="1" r:id="rId17">
        <w:r w:rsidRPr="009109AE">
          <w:rPr>
            <w:rStyle w:val="Hyperlink"/>
            <w:rFonts w:eastAsia="Times New Roman" w:cs="Arial"/>
          </w:rPr>
          <w:t>https://www.scie.org.uk/mca/introduction/mental-capacity-act-2005-at-a-glance/</w:t>
        </w:r>
      </w:hyperlink>
      <w:r w:rsidRPr="009109AE">
        <w:rPr>
          <w:rFonts w:eastAsia="Times New Roman" w:cs="Arial"/>
        </w:rPr>
        <w:t>.</w:t>
      </w:r>
    </w:p>
    <w:p w:rsidRPr="00E86160" w:rsidR="00123210" w:rsidP="00E86160" w:rsidRDefault="00123210" w14:paraId="3276A289" w14:textId="77777777">
      <w:pPr>
        <w:spacing w:after="240"/>
        <w:rPr>
          <w:rFonts w:eastAsia="Times New Roman" w:cs="Arial"/>
        </w:rPr>
      </w:pPr>
    </w:p>
    <w:p w:rsidRPr="009109AE" w:rsidR="00347A48" w:rsidP="00E86160" w:rsidRDefault="00347A48" w14:paraId="6BF8A55D" w14:textId="77777777">
      <w:pPr>
        <w:spacing w:after="240"/>
        <w:rPr>
          <w:rFonts w:eastAsia="Times New Roman" w:cs="Arial"/>
        </w:rPr>
      </w:pPr>
    </w:p>
    <w:p w:rsidRPr="00E86160" w:rsidR="00E86160" w:rsidP="00DE10FE" w:rsidRDefault="00E86160" w14:paraId="5987D3E6" w14:textId="23F0B646"/>
    <w:sectPr w:rsidRPr="00E86160" w:rsidR="00E86160" w:rsidSect="00DE10FE">
      <w:footerReference w:type="default" r:id="rId18"/>
      <w:pgSz w:w="11906" w:h="16838" w:orient="portrait"/>
      <w:pgMar w:top="1440" w:right="1440" w:bottom="1440" w:left="1440" w:header="708" w:footer="708" w:gutter="0"/>
      <w:pgNumType w:fmt="lowerRoman"/>
      <w:cols w:space="720"/>
      <w:headerReference w:type="default" r:id="R6acf3e8af97d48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F2658" w:rsidP="00636897" w:rsidRDefault="000F2658" w14:paraId="01F6E3D2" w14:textId="77777777">
      <w:pPr>
        <w:spacing w:after="0" w:line="240" w:lineRule="auto"/>
      </w:pPr>
      <w:r>
        <w:separator/>
      </w:r>
    </w:p>
  </w:endnote>
  <w:endnote w:type="continuationSeparator" w:id="0">
    <w:p w:rsidR="000F2658" w:rsidP="00636897" w:rsidRDefault="000F2658" w14:paraId="350A164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5920854"/>
      <w:docPartObj>
        <w:docPartGallery w:val="Page Numbers (Bottom of Page)"/>
        <w:docPartUnique/>
      </w:docPartObj>
    </w:sdtPr>
    <w:sdtEndPr>
      <w:rPr>
        <w:color w:val="7F7F7F" w:themeColor="background1" w:themeShade="7F"/>
        <w:spacing w:val="60"/>
      </w:rPr>
    </w:sdtEndPr>
    <w:sdtContent>
      <w:p w:rsidR="00442DD2" w:rsidRDefault="00442DD2" w14:paraId="30F89C02" w14:textId="4395C5BD">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636897" w:rsidRDefault="00636897" w14:paraId="1D00763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F2658" w:rsidP="00636897" w:rsidRDefault="000F2658" w14:paraId="4257264E" w14:textId="77777777">
      <w:pPr>
        <w:spacing w:after="0" w:line="240" w:lineRule="auto"/>
      </w:pPr>
      <w:r>
        <w:separator/>
      </w:r>
    </w:p>
  </w:footnote>
  <w:footnote w:type="continuationSeparator" w:id="0">
    <w:p w:rsidR="000F2658" w:rsidP="00636897" w:rsidRDefault="000F2658" w14:paraId="61222EEE"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429A89B" w:rsidTr="4429A89B" w14:paraId="53F5894E">
      <w:trPr>
        <w:trHeight w:val="300"/>
      </w:trPr>
      <w:tc>
        <w:tcPr>
          <w:tcW w:w="3005" w:type="dxa"/>
          <w:tcMar/>
        </w:tcPr>
        <w:p w:rsidR="4429A89B" w:rsidP="4429A89B" w:rsidRDefault="4429A89B" w14:paraId="63F167E1" w14:textId="3C0F78A1">
          <w:pPr>
            <w:pStyle w:val="Header"/>
            <w:bidi w:val="0"/>
            <w:ind w:left="-115"/>
            <w:jc w:val="left"/>
          </w:pPr>
        </w:p>
      </w:tc>
      <w:tc>
        <w:tcPr>
          <w:tcW w:w="3005" w:type="dxa"/>
          <w:tcMar/>
        </w:tcPr>
        <w:p w:rsidR="4429A89B" w:rsidP="4429A89B" w:rsidRDefault="4429A89B" w14:paraId="5CFFC0A0" w14:textId="2520B402">
          <w:pPr>
            <w:pStyle w:val="Header"/>
            <w:bidi w:val="0"/>
            <w:jc w:val="center"/>
          </w:pPr>
        </w:p>
      </w:tc>
      <w:tc>
        <w:tcPr>
          <w:tcW w:w="3005" w:type="dxa"/>
          <w:tcMar/>
        </w:tcPr>
        <w:p w:rsidR="4429A89B" w:rsidP="4429A89B" w:rsidRDefault="4429A89B" w14:paraId="7BD7F9C6" w14:textId="5CCAA592">
          <w:pPr>
            <w:pStyle w:val="Header"/>
            <w:bidi w:val="0"/>
            <w:ind w:right="-115"/>
            <w:jc w:val="right"/>
          </w:pPr>
        </w:p>
      </w:tc>
    </w:tr>
  </w:tbl>
  <w:p w:rsidR="4429A89B" w:rsidP="4429A89B" w:rsidRDefault="4429A89B" w14:paraId="3C709E68" w14:textId="49674BFB">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7413"/>
    <w:multiLevelType w:val="hybridMultilevel"/>
    <w:tmpl w:val="7BBE9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2498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160"/>
    <w:rsid w:val="000F2658"/>
    <w:rsid w:val="00123210"/>
    <w:rsid w:val="001E13CD"/>
    <w:rsid w:val="00246E8A"/>
    <w:rsid w:val="00343D2B"/>
    <w:rsid w:val="00347A48"/>
    <w:rsid w:val="00422746"/>
    <w:rsid w:val="00442DD2"/>
    <w:rsid w:val="00535A4C"/>
    <w:rsid w:val="00566EF4"/>
    <w:rsid w:val="00636897"/>
    <w:rsid w:val="00804FED"/>
    <w:rsid w:val="00844582"/>
    <w:rsid w:val="008B224F"/>
    <w:rsid w:val="00915F9A"/>
    <w:rsid w:val="0093306F"/>
    <w:rsid w:val="009F50B7"/>
    <w:rsid w:val="00A96807"/>
    <w:rsid w:val="00B05AA0"/>
    <w:rsid w:val="00B86A8A"/>
    <w:rsid w:val="00C05E3E"/>
    <w:rsid w:val="00C12783"/>
    <w:rsid w:val="00C44427"/>
    <w:rsid w:val="00C739A4"/>
    <w:rsid w:val="00D57D0A"/>
    <w:rsid w:val="00D74D44"/>
    <w:rsid w:val="00DE10FE"/>
    <w:rsid w:val="00E27112"/>
    <w:rsid w:val="00E312E7"/>
    <w:rsid w:val="00E86160"/>
    <w:rsid w:val="00EF1023"/>
    <w:rsid w:val="00F94E24"/>
    <w:rsid w:val="00FB48F7"/>
    <w:rsid w:val="02403AB8"/>
    <w:rsid w:val="03750EA4"/>
    <w:rsid w:val="198F07B2"/>
    <w:rsid w:val="1F5EAA71"/>
    <w:rsid w:val="30190D6E"/>
    <w:rsid w:val="4429A89B"/>
    <w:rsid w:val="6E11056F"/>
    <w:rsid w:val="7099208F"/>
    <w:rsid w:val="79328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6AB0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6160"/>
    <w:pPr>
      <w:spacing w:line="360" w:lineRule="auto"/>
      <w:jc w:val="both"/>
    </w:pPr>
    <w:rPr>
      <w:rFonts w:ascii="Arial" w:hAnsi="Arial"/>
    </w:rPr>
  </w:style>
  <w:style w:type="paragraph" w:styleId="Heading1">
    <w:name w:val="heading 1"/>
    <w:basedOn w:val="Normal"/>
    <w:next w:val="Normal"/>
    <w:link w:val="Heading1Char"/>
    <w:uiPriority w:val="9"/>
    <w:qFormat/>
    <w:rsid w:val="00E86160"/>
    <w:pPr>
      <w:outlineLvl w:val="0"/>
    </w:pPr>
    <w:rPr>
      <w:b/>
      <w:sz w:val="28"/>
    </w:rPr>
  </w:style>
  <w:style w:type="paragraph" w:styleId="Heading2">
    <w:name w:val="heading 2"/>
    <w:basedOn w:val="Normal"/>
    <w:next w:val="Normal"/>
    <w:link w:val="Heading2Char"/>
    <w:uiPriority w:val="9"/>
    <w:semiHidden/>
    <w:unhideWhenUsed/>
    <w:qFormat/>
    <w:rsid w:val="00EF1023"/>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86160"/>
    <w:rPr>
      <w:rFonts w:ascii="Arial" w:hAnsi="Arial"/>
      <w:b/>
      <w:sz w:val="28"/>
    </w:rPr>
  </w:style>
  <w:style w:type="character" w:styleId="Hyperlink">
    <w:name w:val="Hyperlink"/>
    <w:uiPriority w:val="99"/>
    <w:unhideWhenUsed/>
    <w:rsid w:val="00E86160"/>
    <w:rPr>
      <w:color w:val="0563C1"/>
      <w:u w:val="single"/>
    </w:rPr>
  </w:style>
  <w:style w:type="paragraph" w:styleId="NormalWeb">
    <w:name w:val="Normal (Web)"/>
    <w:basedOn w:val="Normal"/>
    <w:uiPriority w:val="99"/>
    <w:semiHidden/>
    <w:unhideWhenUsed/>
    <w:rsid w:val="00E86160"/>
    <w:pPr>
      <w:spacing w:before="100" w:beforeAutospacing="1" w:after="100" w:afterAutospacing="1"/>
    </w:pPr>
    <w:rPr>
      <w:rFonts w:ascii="Times New Roman" w:hAnsi="Times New Roman" w:eastAsia="Times New Roman" w:cs="Times New Roman"/>
      <w:sz w:val="24"/>
      <w:szCs w:val="24"/>
    </w:rPr>
  </w:style>
  <w:style w:type="paragraph" w:styleId="TOCHeading">
    <w:name w:val="TOC Heading"/>
    <w:basedOn w:val="Heading1"/>
    <w:next w:val="Normal"/>
    <w:uiPriority w:val="39"/>
    <w:unhideWhenUsed/>
    <w:qFormat/>
    <w:rsid w:val="00636897"/>
    <w:pPr>
      <w:keepNext/>
      <w:keepLines/>
      <w:spacing w:before="240" w:after="0" w:line="259" w:lineRule="auto"/>
      <w:jc w:val="left"/>
      <w:outlineLvl w:val="9"/>
    </w:pPr>
    <w:rPr>
      <w:rFonts w:asciiTheme="majorHAnsi" w:hAnsiTheme="majorHAnsi" w:eastAsiaTheme="majorEastAsia" w:cstheme="majorBidi"/>
      <w:b w:val="0"/>
      <w:color w:val="2F5496" w:themeColor="accent1" w:themeShade="BF"/>
      <w:sz w:val="32"/>
      <w:szCs w:val="32"/>
    </w:rPr>
  </w:style>
  <w:style w:type="paragraph" w:styleId="TOC1">
    <w:name w:val="toc 1"/>
    <w:basedOn w:val="Normal"/>
    <w:next w:val="Normal"/>
    <w:autoRedefine/>
    <w:uiPriority w:val="39"/>
    <w:unhideWhenUsed/>
    <w:rsid w:val="00636897"/>
    <w:pPr>
      <w:spacing w:after="100"/>
    </w:pPr>
  </w:style>
  <w:style w:type="paragraph" w:styleId="Header">
    <w:name w:val="header"/>
    <w:basedOn w:val="Normal"/>
    <w:link w:val="HeaderChar"/>
    <w:uiPriority w:val="99"/>
    <w:unhideWhenUsed/>
    <w:rsid w:val="00636897"/>
    <w:pPr>
      <w:tabs>
        <w:tab w:val="center" w:pos="4680"/>
        <w:tab w:val="right" w:pos="9360"/>
      </w:tabs>
      <w:spacing w:after="0" w:line="240" w:lineRule="auto"/>
    </w:pPr>
  </w:style>
  <w:style w:type="character" w:styleId="HeaderChar" w:customStyle="1">
    <w:name w:val="Header Char"/>
    <w:basedOn w:val="DefaultParagraphFont"/>
    <w:link w:val="Header"/>
    <w:uiPriority w:val="99"/>
    <w:rsid w:val="00636897"/>
    <w:rPr>
      <w:rFonts w:ascii="Arial" w:hAnsi="Arial"/>
    </w:rPr>
  </w:style>
  <w:style w:type="paragraph" w:styleId="Footer">
    <w:name w:val="footer"/>
    <w:basedOn w:val="Normal"/>
    <w:link w:val="FooterChar"/>
    <w:uiPriority w:val="99"/>
    <w:unhideWhenUsed/>
    <w:rsid w:val="00636897"/>
    <w:pPr>
      <w:tabs>
        <w:tab w:val="center" w:pos="4680"/>
        <w:tab w:val="right" w:pos="9360"/>
      </w:tabs>
      <w:spacing w:after="0" w:line="240" w:lineRule="auto"/>
    </w:pPr>
  </w:style>
  <w:style w:type="character" w:styleId="FooterChar" w:customStyle="1">
    <w:name w:val="Footer Char"/>
    <w:basedOn w:val="DefaultParagraphFont"/>
    <w:link w:val="Footer"/>
    <w:uiPriority w:val="99"/>
    <w:rsid w:val="00636897"/>
    <w:rPr>
      <w:rFonts w:ascii="Arial" w:hAnsi="Arial"/>
    </w:rPr>
  </w:style>
  <w:style w:type="character" w:styleId="UnresolvedMention">
    <w:name w:val="Unresolved Mention"/>
    <w:basedOn w:val="DefaultParagraphFont"/>
    <w:uiPriority w:val="99"/>
    <w:semiHidden/>
    <w:unhideWhenUsed/>
    <w:rsid w:val="00347A48"/>
    <w:rPr>
      <w:color w:val="605E5C"/>
      <w:shd w:val="clear" w:color="auto" w:fill="E1DFDD"/>
    </w:rPr>
  </w:style>
  <w:style w:type="character" w:styleId="Heading2Char" w:customStyle="1">
    <w:name w:val="Heading 2 Char"/>
    <w:basedOn w:val="DefaultParagraphFont"/>
    <w:link w:val="Heading2"/>
    <w:uiPriority w:val="9"/>
    <w:semiHidden/>
    <w:rsid w:val="00EF1023"/>
    <w:rPr>
      <w:rFonts w:asciiTheme="majorHAnsi" w:hAnsiTheme="majorHAnsi" w:eastAsiaTheme="majorEastAsia" w:cstheme="majorBidi"/>
      <w:color w:val="2F5496" w:themeColor="accent1" w:themeShade="BF"/>
      <w:sz w:val="26"/>
      <w:szCs w:val="26"/>
    </w:rPr>
  </w:style>
  <w:style w:type="character" w:styleId="Emphasis">
    <w:name w:val="Emphasis"/>
    <w:basedOn w:val="DefaultParagraphFont"/>
    <w:uiPriority w:val="20"/>
    <w:qFormat/>
    <w:rsid w:val="00EF1023"/>
    <w:rPr>
      <w:i/>
      <w:iCs/>
    </w:rPr>
  </w:style>
  <w:style w:type="paragraph" w:styleId="TOC2">
    <w:name w:val="toc 2"/>
    <w:basedOn w:val="Normal"/>
    <w:next w:val="Normal"/>
    <w:autoRedefine/>
    <w:uiPriority w:val="39"/>
    <w:unhideWhenUsed/>
    <w:rsid w:val="00EF1023"/>
    <w:pPr>
      <w:spacing w:after="100"/>
      <w:ind w:left="240"/>
    </w:pPr>
    <w:rPr>
      <w:rFonts w:ascii="Times New Roman" w:hAnsi="Times New Roman" w:eastAsia="Times New Roman" w:cs="Times New Roman"/>
      <w:sz w:val="24"/>
      <w:szCs w:val="24"/>
    </w:rPr>
  </w:style>
  <w:style w:type="paragraph" w:styleId="ListParagraph">
    <w:name w:val="List Paragraph"/>
    <w:basedOn w:val="Normal"/>
    <w:uiPriority w:val="34"/>
    <w:qFormat/>
    <w:rsid w:val="00FB48F7"/>
    <w:pPr>
      <w:ind w:left="720"/>
      <w:contextualSpacing/>
    </w:pPr>
  </w:style>
  <w:style w:type="table" w:styleId="TableGrid1" w:customStyle="1">
    <w:name w:val="Table Grid1"/>
    <w:basedOn w:val="TableNormal"/>
    <w:uiPriority w:val="59"/>
    <w:rsid w:val="00C44427"/>
    <w:pPr>
      <w:spacing w:after="0" w:line="240" w:lineRule="auto"/>
    </w:pPr>
    <w:rPr>
      <w:kern w:val="2"/>
      <w:lang w:val="en-GB"/>
      <w14:ligatures w14:val="standardContextual"/>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636800">
      <w:bodyDiv w:val="1"/>
      <w:marLeft w:val="0"/>
      <w:marRight w:val="0"/>
      <w:marTop w:val="0"/>
      <w:marBottom w:val="0"/>
      <w:divBdr>
        <w:top w:val="none" w:sz="0" w:space="0" w:color="auto"/>
        <w:left w:val="none" w:sz="0" w:space="0" w:color="auto"/>
        <w:bottom w:val="none" w:sz="0" w:space="0" w:color="auto"/>
        <w:right w:val="none" w:sz="0" w:space="0" w:color="auto"/>
      </w:divBdr>
      <w:divsChild>
        <w:div w:id="1590891648">
          <w:marLeft w:val="0"/>
          <w:marRight w:val="0"/>
          <w:marTop w:val="0"/>
          <w:marBottom w:val="0"/>
          <w:divBdr>
            <w:top w:val="none" w:sz="0" w:space="0" w:color="auto"/>
            <w:left w:val="none" w:sz="0" w:space="0" w:color="auto"/>
            <w:bottom w:val="none" w:sz="0" w:space="0" w:color="auto"/>
            <w:right w:val="none" w:sz="0" w:space="0" w:color="auto"/>
          </w:divBdr>
        </w:div>
      </w:divsChild>
    </w:div>
    <w:div w:id="378945505">
      <w:bodyDiv w:val="1"/>
      <w:marLeft w:val="0"/>
      <w:marRight w:val="0"/>
      <w:marTop w:val="0"/>
      <w:marBottom w:val="0"/>
      <w:divBdr>
        <w:top w:val="none" w:sz="0" w:space="0" w:color="auto"/>
        <w:left w:val="none" w:sz="0" w:space="0" w:color="auto"/>
        <w:bottom w:val="none" w:sz="0" w:space="0" w:color="auto"/>
        <w:right w:val="none" w:sz="0" w:space="0" w:color="auto"/>
      </w:divBdr>
      <w:divsChild>
        <w:div w:id="974914654">
          <w:marLeft w:val="0"/>
          <w:marRight w:val="0"/>
          <w:marTop w:val="0"/>
          <w:marBottom w:val="0"/>
          <w:divBdr>
            <w:top w:val="none" w:sz="0" w:space="0" w:color="auto"/>
            <w:left w:val="none" w:sz="0" w:space="0" w:color="auto"/>
            <w:bottom w:val="none" w:sz="0" w:space="0" w:color="auto"/>
            <w:right w:val="none" w:sz="0" w:space="0" w:color="auto"/>
          </w:divBdr>
        </w:div>
      </w:divsChild>
    </w:div>
    <w:div w:id="1141266469">
      <w:bodyDiv w:val="1"/>
      <w:marLeft w:val="0"/>
      <w:marRight w:val="0"/>
      <w:marTop w:val="0"/>
      <w:marBottom w:val="0"/>
      <w:divBdr>
        <w:top w:val="none" w:sz="0" w:space="0" w:color="auto"/>
        <w:left w:val="none" w:sz="0" w:space="0" w:color="auto"/>
        <w:bottom w:val="none" w:sz="0" w:space="0" w:color="auto"/>
        <w:right w:val="none" w:sz="0" w:space="0" w:color="auto"/>
      </w:divBdr>
      <w:divsChild>
        <w:div w:id="602761045">
          <w:marLeft w:val="0"/>
          <w:marRight w:val="0"/>
          <w:marTop w:val="0"/>
          <w:marBottom w:val="0"/>
          <w:divBdr>
            <w:top w:val="none" w:sz="0" w:space="0" w:color="auto"/>
            <w:left w:val="none" w:sz="0" w:space="0" w:color="auto"/>
            <w:bottom w:val="none" w:sz="0" w:space="0" w:color="auto"/>
            <w:right w:val="none" w:sz="0" w:space="0" w:color="auto"/>
          </w:divBdr>
        </w:div>
      </w:divsChild>
    </w:div>
    <w:div w:id="1394619800">
      <w:bodyDiv w:val="1"/>
      <w:marLeft w:val="0"/>
      <w:marRight w:val="0"/>
      <w:marTop w:val="0"/>
      <w:marBottom w:val="0"/>
      <w:divBdr>
        <w:top w:val="none" w:sz="0" w:space="0" w:color="auto"/>
        <w:left w:val="none" w:sz="0" w:space="0" w:color="auto"/>
        <w:bottom w:val="none" w:sz="0" w:space="0" w:color="auto"/>
        <w:right w:val="none" w:sz="0" w:space="0" w:color="auto"/>
      </w:divBdr>
    </w:div>
    <w:div w:id="1513303428">
      <w:bodyDiv w:val="1"/>
      <w:marLeft w:val="0"/>
      <w:marRight w:val="0"/>
      <w:marTop w:val="0"/>
      <w:marBottom w:val="0"/>
      <w:divBdr>
        <w:top w:val="none" w:sz="0" w:space="0" w:color="auto"/>
        <w:left w:val="none" w:sz="0" w:space="0" w:color="auto"/>
        <w:bottom w:val="none" w:sz="0" w:space="0" w:color="auto"/>
        <w:right w:val="none" w:sz="0" w:space="0" w:color="auto"/>
      </w:divBdr>
      <w:divsChild>
        <w:div w:id="114833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ncbi.nlm.nih.gov/pmc/articles/PMC3111890/" TargetMode="External" Id="rId13" /><Relationship Type="http://schemas.openxmlformats.org/officeDocument/2006/relationships/footer" Target="footer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cqc.org.uk" TargetMode="External" Id="rId12" /><Relationship Type="http://schemas.openxmlformats.org/officeDocument/2006/relationships/hyperlink" Target="https://www.scie.org.uk/mca/introduction/mental-capacity-act-2005-at-a-glance/" TargetMode="External" Id="rId17" /><Relationship Type="http://schemas.openxmlformats.org/officeDocument/2006/relationships/numbering" Target="numbering.xml" Id="rId2" /><Relationship Type="http://schemas.openxmlformats.org/officeDocument/2006/relationships/hyperlink" Target="https://www.nmc.org.uk/globalassets/sitedocuments/nmc-publications/nmc-code.pdf"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legislation.gov.uk/ukpga/2014/23/contents" TargetMode="External" Id="rId11" /><Relationship Type="http://schemas.openxmlformats.org/officeDocument/2006/relationships/webSettings" Target="webSettings.xml" Id="rId5" /><Relationship Type="http://schemas.openxmlformats.org/officeDocument/2006/relationships/hyperlink" Target="https://doi.org/10.1037/h0054346" TargetMode="External" Id="rId15" /><Relationship Type="http://schemas.openxmlformats.org/officeDocument/2006/relationships/hyperlink" Target="https://pubmed.ncbi.nlm.nih.gov/31647760/" TargetMode="External"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hyperlink" Target="https://www.legislation.gov.uk/ukpga/2012/7" TargetMode="External" Id="rId14" /><Relationship Type="http://schemas.openxmlformats.org/officeDocument/2006/relationships/header" Target="header.xml" Id="R6acf3e8af97d482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E17C2-A39B-4DF9-802C-366510BB7A2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Berthe Mukendi Mutombo (2427851)</lastModifiedBy>
  <revision>2</revision>
  <dcterms:created xsi:type="dcterms:W3CDTF">2026-03-26T01:30:00.0000000Z</dcterms:created>
  <dcterms:modified xsi:type="dcterms:W3CDTF">2026-03-31T13:22:12.5740423Z</dcterms:modified>
</coreProperties>
</file>